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EA54CB0" w14:textId="77777777" w:rsidR="00C93E3D" w:rsidRPr="00462676" w:rsidRDefault="00C93E3D" w:rsidP="00E83867">
      <w:pPr>
        <w:jc w:val="center"/>
        <w:rPr>
          <w:b/>
          <w:bCs/>
          <w:color w:val="000000" w:themeColor="text1"/>
          <w:lang w:val="en-US" w:eastAsia="en-US"/>
        </w:rPr>
      </w:pPr>
      <w:r w:rsidRPr="00462676">
        <w:rPr>
          <w:b/>
          <w:bCs/>
          <w:color w:val="000000" w:themeColor="text1"/>
          <w:lang w:val="en-US" w:eastAsia="en-US"/>
        </w:rPr>
        <w:t>Supplemental Material</w:t>
      </w:r>
    </w:p>
    <w:p w14:paraId="7DD9DC71" w14:textId="77777777" w:rsidR="00980B2B" w:rsidRPr="00462676" w:rsidRDefault="00980B2B" w:rsidP="00E627CD">
      <w:pPr>
        <w:rPr>
          <w:b/>
          <w:color w:val="000000" w:themeColor="text1"/>
          <w:lang w:val="en-US" w:eastAsia="en-US"/>
        </w:rPr>
      </w:pPr>
    </w:p>
    <w:p w14:paraId="25081D33" w14:textId="77777777" w:rsidR="000D3F18" w:rsidRPr="00462676" w:rsidRDefault="000D3F18" w:rsidP="000D3F18">
      <w:pPr>
        <w:jc w:val="center"/>
        <w:rPr>
          <w:b/>
          <w:color w:val="000000" w:themeColor="text1"/>
          <w:lang w:val="en-US"/>
        </w:rPr>
      </w:pPr>
      <w:bookmarkStart w:id="0" w:name="_Hlk41310341"/>
      <w:r w:rsidRPr="00462676">
        <w:rPr>
          <w:b/>
          <w:color w:val="000000" w:themeColor="text1"/>
          <w:lang w:val="en-US"/>
        </w:rPr>
        <w:t>Changes in opioid prescribing after implementation of mandatory registration and proactive reports within California’s prescription drug monitoring program</w:t>
      </w:r>
      <w:bookmarkEnd w:id="0"/>
    </w:p>
    <w:p w14:paraId="1B32E00E" w14:textId="77777777" w:rsidR="00980B2B" w:rsidRPr="00462676" w:rsidRDefault="00980B2B" w:rsidP="00E627CD">
      <w:pPr>
        <w:rPr>
          <w:b/>
          <w:color w:val="000000" w:themeColor="text1"/>
          <w:lang w:val="en-US" w:eastAsia="en-US"/>
        </w:rPr>
      </w:pPr>
    </w:p>
    <w:p w14:paraId="3B6602FA" w14:textId="77777777" w:rsidR="00E627CD" w:rsidRPr="00462676" w:rsidRDefault="00E627CD" w:rsidP="00E627CD">
      <w:pPr>
        <w:rPr>
          <w:b/>
          <w:color w:val="000000" w:themeColor="text1"/>
          <w:lang w:val="en-US" w:eastAsia="en-US"/>
        </w:rPr>
      </w:pPr>
    </w:p>
    <w:p w14:paraId="61CF3C0B" w14:textId="77777777" w:rsidR="00994B6B" w:rsidRPr="00462676" w:rsidRDefault="00994B6B" w:rsidP="00994B6B">
      <w:pPr>
        <w:jc w:val="center"/>
        <w:rPr>
          <w:color w:val="000000" w:themeColor="text1"/>
          <w:vertAlign w:val="superscript"/>
          <w:lang w:val="en-US"/>
        </w:rPr>
      </w:pPr>
      <w:r w:rsidRPr="00462676">
        <w:rPr>
          <w:color w:val="000000" w:themeColor="text1"/>
          <w:lang w:val="en-US"/>
        </w:rPr>
        <w:t>Alvaro Castillo-Carniglia</w:t>
      </w:r>
      <w:r w:rsidRPr="00462676">
        <w:rPr>
          <w:color w:val="000000" w:themeColor="text1"/>
          <w:vertAlign w:val="superscript"/>
          <w:lang w:val="en-US"/>
        </w:rPr>
        <w:t>1,2,3</w:t>
      </w:r>
      <w:r w:rsidRPr="00462676">
        <w:rPr>
          <w:color w:val="000000" w:themeColor="text1"/>
          <w:lang w:val="en-US"/>
        </w:rPr>
        <w:t xml:space="preserve"> Andrés González-Santa Cruz</w:t>
      </w:r>
      <w:r w:rsidRPr="00462676">
        <w:rPr>
          <w:color w:val="000000" w:themeColor="text1"/>
          <w:vertAlign w:val="superscript"/>
          <w:lang w:val="en-US"/>
        </w:rPr>
        <w:t>1</w:t>
      </w:r>
      <w:r w:rsidRPr="00462676">
        <w:rPr>
          <w:color w:val="000000" w:themeColor="text1"/>
          <w:lang w:val="en-US"/>
        </w:rPr>
        <w:t xml:space="preserve"> Magdalena Cerdá</w:t>
      </w:r>
      <w:r w:rsidRPr="00462676">
        <w:rPr>
          <w:color w:val="000000" w:themeColor="text1"/>
          <w:vertAlign w:val="superscript"/>
          <w:lang w:val="en-US"/>
        </w:rPr>
        <w:t>3</w:t>
      </w:r>
      <w:r w:rsidRPr="00462676">
        <w:rPr>
          <w:color w:val="000000" w:themeColor="text1"/>
          <w:lang w:val="en-US"/>
        </w:rPr>
        <w:t xml:space="preserve"> Chris Delcher</w:t>
      </w:r>
      <w:r w:rsidRPr="00462676">
        <w:rPr>
          <w:color w:val="000000" w:themeColor="text1"/>
          <w:vertAlign w:val="superscript"/>
          <w:lang w:val="en-US"/>
        </w:rPr>
        <w:t>4</w:t>
      </w:r>
      <w:r w:rsidRPr="00462676">
        <w:rPr>
          <w:color w:val="000000" w:themeColor="text1"/>
          <w:lang w:val="en-US"/>
        </w:rPr>
        <w:t xml:space="preserve"> Aaron B. Shev</w:t>
      </w:r>
      <w:r w:rsidRPr="00462676">
        <w:rPr>
          <w:color w:val="000000" w:themeColor="text1"/>
          <w:vertAlign w:val="superscript"/>
          <w:lang w:val="en-US"/>
        </w:rPr>
        <w:t>5</w:t>
      </w:r>
      <w:r w:rsidRPr="00462676">
        <w:rPr>
          <w:color w:val="000000" w:themeColor="text1"/>
          <w:lang w:val="en-US"/>
        </w:rPr>
        <w:t xml:space="preserve"> </w:t>
      </w:r>
      <w:proofErr w:type="spellStart"/>
      <w:r w:rsidRPr="00462676">
        <w:rPr>
          <w:color w:val="000000" w:themeColor="text1"/>
          <w:lang w:val="en-US"/>
        </w:rPr>
        <w:t>Garen</w:t>
      </w:r>
      <w:proofErr w:type="spellEnd"/>
      <w:r w:rsidRPr="00462676">
        <w:rPr>
          <w:color w:val="000000" w:themeColor="text1"/>
          <w:lang w:val="en-US"/>
        </w:rPr>
        <w:t xml:space="preserve"> J. Wintemute</w:t>
      </w:r>
      <w:r w:rsidRPr="00462676">
        <w:rPr>
          <w:color w:val="000000" w:themeColor="text1"/>
          <w:vertAlign w:val="superscript"/>
          <w:lang w:val="en-US"/>
        </w:rPr>
        <w:t>5</w:t>
      </w:r>
      <w:r w:rsidRPr="00462676">
        <w:rPr>
          <w:color w:val="000000" w:themeColor="text1"/>
          <w:lang w:val="en-US"/>
        </w:rPr>
        <w:t>, and Stephen G. Henry</w:t>
      </w:r>
      <w:r w:rsidRPr="00462676">
        <w:rPr>
          <w:color w:val="000000" w:themeColor="text1"/>
          <w:vertAlign w:val="superscript"/>
          <w:lang w:val="en-US"/>
        </w:rPr>
        <w:t>6,7</w:t>
      </w:r>
    </w:p>
    <w:p w14:paraId="663F4A1D" w14:textId="77777777" w:rsidR="00994B6B" w:rsidRPr="00462676" w:rsidRDefault="00994B6B" w:rsidP="00994B6B">
      <w:pPr>
        <w:jc w:val="center"/>
        <w:rPr>
          <w:color w:val="000000" w:themeColor="text1"/>
          <w:vertAlign w:val="superscript"/>
          <w:lang w:val="en-US"/>
        </w:rPr>
      </w:pPr>
    </w:p>
    <w:p w14:paraId="250B1C65" w14:textId="77777777" w:rsidR="00994B6B" w:rsidRPr="00462676" w:rsidRDefault="00994B6B" w:rsidP="00994B6B">
      <w:pPr>
        <w:jc w:val="center"/>
        <w:rPr>
          <w:color w:val="000000" w:themeColor="text1"/>
          <w:lang w:val="en-US" w:eastAsia="es-ES"/>
        </w:rPr>
      </w:pPr>
      <w:r w:rsidRPr="00462676">
        <w:rPr>
          <w:color w:val="000000" w:themeColor="text1"/>
          <w:lang w:val="en-US"/>
        </w:rPr>
        <w:t xml:space="preserve">1. Society and Health Research Center, </w:t>
      </w:r>
      <w:r w:rsidRPr="00462676">
        <w:rPr>
          <w:color w:val="000000" w:themeColor="text1"/>
          <w:lang w:val="en-US" w:eastAsia="es-ES"/>
        </w:rPr>
        <w:t>Universidad Mayor, Chile.</w:t>
      </w:r>
    </w:p>
    <w:p w14:paraId="364D0AB6" w14:textId="77777777" w:rsidR="00994B6B" w:rsidRPr="00462676" w:rsidRDefault="00994B6B" w:rsidP="00994B6B">
      <w:pPr>
        <w:jc w:val="center"/>
        <w:rPr>
          <w:color w:val="000000" w:themeColor="text1"/>
          <w:lang w:val="en-US" w:eastAsia="es-ES"/>
        </w:rPr>
      </w:pPr>
      <w:r w:rsidRPr="00462676">
        <w:rPr>
          <w:color w:val="000000" w:themeColor="text1"/>
          <w:lang w:val="en-US" w:eastAsia="es-ES"/>
        </w:rPr>
        <w:t>2. School of Public Health, Universidad Mayor, Chile.</w:t>
      </w:r>
    </w:p>
    <w:p w14:paraId="44A0AE8D" w14:textId="5D9EBE6B" w:rsidR="00994B6B" w:rsidRPr="00462676" w:rsidRDefault="00994B6B" w:rsidP="00994B6B">
      <w:pPr>
        <w:jc w:val="center"/>
        <w:rPr>
          <w:color w:val="000000" w:themeColor="text1"/>
          <w:lang w:val="en-US"/>
        </w:rPr>
      </w:pPr>
      <w:r w:rsidRPr="00462676">
        <w:rPr>
          <w:color w:val="000000" w:themeColor="text1"/>
          <w:lang w:val="en-US"/>
        </w:rPr>
        <w:t>3. Department of Population Health, New York University, United States.</w:t>
      </w:r>
    </w:p>
    <w:p w14:paraId="6355272B" w14:textId="77777777" w:rsidR="00994B6B" w:rsidRPr="00462676" w:rsidRDefault="00994B6B" w:rsidP="00994B6B">
      <w:pPr>
        <w:jc w:val="center"/>
        <w:rPr>
          <w:color w:val="000000" w:themeColor="text1"/>
          <w:lang w:val="en-US"/>
        </w:rPr>
      </w:pPr>
      <w:r w:rsidRPr="00462676">
        <w:rPr>
          <w:color w:val="000000" w:themeColor="text1"/>
          <w:lang w:val="en-US"/>
        </w:rPr>
        <w:t>4. Department of Pharmacy Practice and Science, University of Kentucky, United States.</w:t>
      </w:r>
    </w:p>
    <w:p w14:paraId="54CC958E" w14:textId="2DFBF9F2" w:rsidR="00994B6B" w:rsidRPr="00462676" w:rsidRDefault="00994B6B" w:rsidP="00994B6B">
      <w:pPr>
        <w:jc w:val="center"/>
        <w:rPr>
          <w:color w:val="000000" w:themeColor="text1"/>
          <w:lang w:val="en-US"/>
        </w:rPr>
      </w:pPr>
      <w:r w:rsidRPr="00462676">
        <w:rPr>
          <w:color w:val="000000" w:themeColor="text1"/>
          <w:lang w:val="en-US"/>
        </w:rPr>
        <w:t>5. Violence Prevention Research Program, University of California, Davis, United States.</w:t>
      </w:r>
    </w:p>
    <w:p w14:paraId="479248DE" w14:textId="77777777" w:rsidR="00994B6B" w:rsidRPr="00462676" w:rsidRDefault="00994B6B" w:rsidP="00994B6B">
      <w:pPr>
        <w:jc w:val="center"/>
        <w:rPr>
          <w:color w:val="000000" w:themeColor="text1"/>
          <w:lang w:val="en-US"/>
        </w:rPr>
      </w:pPr>
      <w:r w:rsidRPr="00462676">
        <w:rPr>
          <w:color w:val="000000" w:themeColor="text1"/>
          <w:lang w:val="en-US"/>
        </w:rPr>
        <w:t>6. Department of Internal Medicine, University of California, Davis, United States.</w:t>
      </w:r>
    </w:p>
    <w:p w14:paraId="52025626" w14:textId="77777777" w:rsidR="00994B6B" w:rsidRPr="00462676" w:rsidRDefault="00994B6B" w:rsidP="00994B6B">
      <w:pPr>
        <w:jc w:val="center"/>
        <w:rPr>
          <w:color w:val="000000" w:themeColor="text1"/>
          <w:lang w:val="en-US"/>
        </w:rPr>
      </w:pPr>
      <w:r w:rsidRPr="00462676">
        <w:rPr>
          <w:color w:val="000000" w:themeColor="text1"/>
          <w:lang w:val="en-US"/>
        </w:rPr>
        <w:t>7. Center for Healthcare Policy and Research, University of California, Davis, United States.</w:t>
      </w:r>
    </w:p>
    <w:p w14:paraId="640CF081" w14:textId="77777777" w:rsidR="00E627CD" w:rsidRPr="00462676" w:rsidRDefault="00E627CD" w:rsidP="00E627CD">
      <w:pPr>
        <w:rPr>
          <w:b/>
          <w:color w:val="000000" w:themeColor="text1"/>
          <w:lang w:val="en-US" w:eastAsia="en-US"/>
        </w:rPr>
      </w:pPr>
    </w:p>
    <w:p w14:paraId="6CCA9A19" w14:textId="77777777" w:rsidR="00E627CD" w:rsidRPr="00462676" w:rsidRDefault="00E627CD" w:rsidP="00E627CD">
      <w:pPr>
        <w:rPr>
          <w:b/>
          <w:color w:val="000000" w:themeColor="text1"/>
          <w:lang w:val="en-US" w:eastAsia="en-US"/>
        </w:rPr>
      </w:pPr>
    </w:p>
    <w:p w14:paraId="4D77DB71" w14:textId="77777777" w:rsidR="00E627CD" w:rsidRPr="00462676" w:rsidRDefault="00E627CD" w:rsidP="00E627CD">
      <w:pPr>
        <w:rPr>
          <w:b/>
          <w:color w:val="000000" w:themeColor="text1"/>
          <w:lang w:val="en-US" w:eastAsia="en-US"/>
        </w:rPr>
      </w:pPr>
    </w:p>
    <w:p w14:paraId="1560B8AB" w14:textId="77777777" w:rsidR="00E627CD" w:rsidRPr="00462676" w:rsidRDefault="00E627CD" w:rsidP="00E627CD">
      <w:pPr>
        <w:rPr>
          <w:b/>
          <w:color w:val="000000" w:themeColor="text1"/>
          <w:lang w:val="en-US" w:eastAsia="en-US"/>
        </w:rPr>
      </w:pPr>
    </w:p>
    <w:p w14:paraId="20E8413B" w14:textId="77777777" w:rsidR="00E627CD" w:rsidRPr="00462676" w:rsidRDefault="00E627CD" w:rsidP="00E627CD">
      <w:pPr>
        <w:rPr>
          <w:b/>
          <w:color w:val="000000" w:themeColor="text1"/>
          <w:lang w:val="en-US" w:eastAsia="en-US"/>
        </w:rPr>
      </w:pPr>
    </w:p>
    <w:p w14:paraId="747A68EC" w14:textId="77777777" w:rsidR="00E627CD" w:rsidRPr="00462676" w:rsidRDefault="00E627CD" w:rsidP="00E627CD">
      <w:pPr>
        <w:rPr>
          <w:b/>
          <w:color w:val="000000" w:themeColor="text1"/>
          <w:lang w:val="en-US" w:eastAsia="en-US"/>
        </w:rPr>
      </w:pPr>
    </w:p>
    <w:p w14:paraId="12FBAACE" w14:textId="77777777" w:rsidR="00E627CD" w:rsidRPr="00462676" w:rsidRDefault="00E627CD" w:rsidP="00E627CD">
      <w:pPr>
        <w:rPr>
          <w:b/>
          <w:color w:val="000000" w:themeColor="text1"/>
          <w:lang w:val="en-US" w:eastAsia="en-US"/>
        </w:rPr>
      </w:pPr>
    </w:p>
    <w:p w14:paraId="4E646BDA" w14:textId="773BA26D" w:rsidR="00980B2B" w:rsidRPr="00462676" w:rsidRDefault="00980B2B" w:rsidP="00E627CD">
      <w:pPr>
        <w:rPr>
          <w:color w:val="000000" w:themeColor="text1"/>
          <w:lang w:val="en-US"/>
        </w:rPr>
      </w:pPr>
    </w:p>
    <w:p w14:paraId="7D8A7677" w14:textId="77777777" w:rsidR="00980B2B" w:rsidRPr="00462676" w:rsidRDefault="00980B2B" w:rsidP="00E627CD">
      <w:pPr>
        <w:rPr>
          <w:color w:val="000000" w:themeColor="text1"/>
          <w:lang w:val="en-US" w:eastAsia="en-US"/>
        </w:rPr>
      </w:pPr>
    </w:p>
    <w:p w14:paraId="43EF9F21" w14:textId="77777777" w:rsidR="00980B2B" w:rsidRPr="00462676" w:rsidRDefault="00980B2B" w:rsidP="00E627CD">
      <w:pPr>
        <w:rPr>
          <w:color w:val="000000" w:themeColor="text1"/>
          <w:lang w:val="en-US" w:eastAsia="en-US"/>
        </w:rPr>
        <w:sectPr w:rsidR="00980B2B" w:rsidRPr="00462676" w:rsidSect="00522703">
          <w:headerReference w:type="even" r:id="rId10"/>
          <w:headerReference w:type="default" r:id="rId11"/>
          <w:footerReference w:type="even" r:id="rId12"/>
          <w:footerReference w:type="default" r:id="rId13"/>
          <w:type w:val="continuous"/>
          <w:pgSz w:w="12240" w:h="15840"/>
          <w:pgMar w:top="1440" w:right="1440" w:bottom="1440" w:left="1440" w:header="708" w:footer="708" w:gutter="0"/>
          <w:cols w:space="708"/>
          <w:docGrid w:linePitch="360"/>
        </w:sectPr>
      </w:pPr>
    </w:p>
    <w:p w14:paraId="5AB87E0B" w14:textId="11C0E510" w:rsidR="00980B2B" w:rsidRPr="00462676" w:rsidRDefault="00980B2B" w:rsidP="001B6B1B">
      <w:pPr>
        <w:pStyle w:val="Ttulo2"/>
        <w:spacing w:before="0" w:line="480" w:lineRule="auto"/>
        <w:rPr>
          <w:color w:val="000000" w:themeColor="text1"/>
        </w:rPr>
      </w:pPr>
      <w:bookmarkStart w:id="1" w:name="_Toc30437252"/>
      <w:bookmarkStart w:id="2" w:name="_Toc53559388"/>
      <w:r w:rsidRPr="00462676">
        <w:rPr>
          <w:color w:val="000000" w:themeColor="text1"/>
        </w:rPr>
        <w:lastRenderedPageBreak/>
        <w:t>1. Generalized Synthetic Control Method</w:t>
      </w:r>
      <w:bookmarkEnd w:id="1"/>
      <w:bookmarkEnd w:id="2"/>
    </w:p>
    <w:p w14:paraId="08BE8DD2" w14:textId="7BBEFDE0" w:rsidR="00980B2B" w:rsidRPr="00462676" w:rsidRDefault="00980B2B" w:rsidP="001B6B1B">
      <w:pPr>
        <w:spacing w:line="480" w:lineRule="auto"/>
        <w:rPr>
          <w:color w:val="000000" w:themeColor="text1"/>
          <w:lang w:val="en-US"/>
        </w:rPr>
      </w:pPr>
      <w:r w:rsidRPr="00462676">
        <w:rPr>
          <w:color w:val="000000" w:themeColor="text1"/>
          <w:lang w:val="en-US"/>
        </w:rPr>
        <w:t xml:space="preserve">The synthetic control approach does not assume either homogenous intervention effects or parallel trends between control and treated units </w:t>
      </w:r>
      <w:r w:rsidRPr="00462676">
        <w:rPr>
          <w:color w:val="000000" w:themeColor="text1"/>
          <w:lang w:val="en-US"/>
        </w:rPr>
        <w:fldChar w:fldCharType="begin"/>
      </w:r>
      <w:r w:rsidR="0019213B">
        <w:rPr>
          <w:color w:val="000000" w:themeColor="text1"/>
          <w:lang w:val="en-US"/>
        </w:rPr>
        <w:instrText xml:space="preserve"> ADDIN EN.CITE &lt;EndNote&gt;&lt;Cite&gt;&lt;Author&gt;Xu&lt;/Author&gt;&lt;Year&gt;2015&lt;/Year&gt;&lt;RecNum&gt;101&lt;/RecNum&gt;&lt;DisplayText&gt;(Xu, 2015)&lt;/DisplayText&gt;&lt;record&gt;&lt;rec-number&gt;101&lt;/rec-number&gt;&lt;foreign-keys&gt;&lt;key app="EN" db-id="twfvx2527dae5zeftwnxfad5w2we5zav9t5d" timestamp="1576081469" guid="f7501cd2-f5cb-4373-a822-ba5afc002fe3"&gt;101&lt;/key&gt;&lt;/foreign-keys&gt;&lt;ref-type name="Audiovisual Material"&gt;3&lt;/ref-type&gt;&lt;contributors&gt;&lt;authors&gt;&lt;author&gt;Xu, Y.&lt;/author&gt;&lt;/authors&gt;&lt;/contributors&gt;&lt;titles&gt;&lt;title&gt;17.802: Lecture: Synthetic Control Methods [PowerPoint slides]&lt;/title&gt;&lt;/titles&gt;&lt;dates&gt;&lt;year&gt;2015&lt;/year&gt;&lt;/dates&gt;&lt;pub-location&gt;MIT&lt;/pub-location&gt;&lt;publisher&gt;17.802 Quantitative Research Methods II Spring 2015 - MIT&lt;/publisher&gt;&lt;urls&gt;&lt;related-urls&gt;&lt;url&gt;https://yiqingxu.org/teaching/17802/synth.pdf&lt;/url&gt;&lt;/related-urls&gt;&lt;/urls&gt;&lt;/record&gt;&lt;/Cite&gt;&lt;Cite&gt;&lt;Author&gt;Xu&lt;/Author&gt;&lt;Year&gt;2015&lt;/Year&gt;&lt;RecNum&gt;101&lt;/RecNum&gt;&lt;record&gt;&lt;rec-number&gt;101&lt;/rec-number&gt;&lt;foreign-keys&gt;&lt;key app="EN" db-id="twfvx2527dae5zeftwnxfad5w2we5zav9t5d" timestamp="1576081469" guid="f7501cd2-f5cb-4373-a822-ba5afc002fe3"&gt;101&lt;/key&gt;&lt;/foreign-keys&gt;&lt;ref-type name="Audiovisual Material"&gt;3&lt;/ref-type&gt;&lt;contributors&gt;&lt;authors&gt;&lt;author&gt;Xu, Y.&lt;/author&gt;&lt;/authors&gt;&lt;/contributors&gt;&lt;titles&gt;&lt;title&gt;17.802: Lecture: Synthetic Control Methods [PowerPoint slides]&lt;/title&gt;&lt;/titles&gt;&lt;dates&gt;&lt;year&gt;2015&lt;/year&gt;&lt;/dates&gt;&lt;pub-location&gt;MIT&lt;/pub-location&gt;&lt;publisher&gt;17.802 Quantitative Research Methods II Spring 2015 - MIT&lt;/publisher&gt;&lt;urls&gt;&lt;related-urls&gt;&lt;url&gt;https://yiqingxu.org/teaching/17802/synth.pdf&lt;/url&gt;&lt;/related-urls&gt;&lt;/urls&gt;&lt;/record&gt;&lt;/Cite&gt;&lt;/EndNote&gt;</w:instrText>
      </w:r>
      <w:r w:rsidRPr="00462676">
        <w:rPr>
          <w:color w:val="000000" w:themeColor="text1"/>
          <w:lang w:val="en-US"/>
        </w:rPr>
        <w:fldChar w:fldCharType="separate"/>
      </w:r>
      <w:r w:rsidR="00582777" w:rsidRPr="00462676">
        <w:rPr>
          <w:noProof/>
          <w:color w:val="000000" w:themeColor="text1"/>
          <w:lang w:val="en-US"/>
        </w:rPr>
        <w:t>(Xu, 2015)</w:t>
      </w:r>
      <w:r w:rsidRPr="00462676">
        <w:rPr>
          <w:color w:val="000000" w:themeColor="text1"/>
          <w:lang w:val="en-US"/>
        </w:rPr>
        <w:fldChar w:fldCharType="end"/>
      </w:r>
      <w:r w:rsidRPr="00462676">
        <w:rPr>
          <w:color w:val="000000" w:themeColor="text1"/>
          <w:lang w:val="en-US"/>
        </w:rPr>
        <w:t xml:space="preserve">. It estimates an unobservable counterfactual of </w:t>
      </w:r>
      <w:r w:rsidR="00CC0F25" w:rsidRPr="00462676">
        <w:rPr>
          <w:color w:val="000000" w:themeColor="text1"/>
          <w:lang w:val="en-US"/>
        </w:rPr>
        <w:t xml:space="preserve">each </w:t>
      </w:r>
      <w:r w:rsidRPr="00462676">
        <w:rPr>
          <w:color w:val="000000" w:themeColor="text1"/>
          <w:lang w:val="en-US"/>
        </w:rPr>
        <w:t xml:space="preserve">exposed </w:t>
      </w:r>
      <w:r w:rsidR="00CC0F25" w:rsidRPr="00462676">
        <w:rPr>
          <w:color w:val="000000" w:themeColor="text1"/>
          <w:lang w:val="en-US"/>
        </w:rPr>
        <w:t>unit</w:t>
      </w:r>
      <w:r w:rsidRPr="00462676">
        <w:rPr>
          <w:color w:val="000000" w:themeColor="text1"/>
          <w:lang w:val="en-US"/>
        </w:rPr>
        <w:t xml:space="preserve">, that is, what would be the expected trend of an outcome if the exposed </w:t>
      </w:r>
      <w:r w:rsidR="00CC0F25" w:rsidRPr="00462676">
        <w:rPr>
          <w:color w:val="000000" w:themeColor="text1"/>
          <w:lang w:val="en-US"/>
        </w:rPr>
        <w:t xml:space="preserve">county </w:t>
      </w:r>
      <w:r w:rsidRPr="00462676">
        <w:rPr>
          <w:color w:val="000000" w:themeColor="text1"/>
          <w:lang w:val="en-US"/>
        </w:rPr>
        <w:t>was not under intervention, transforming the task of causal inference into a problem of the imputation of missing data</w:t>
      </w:r>
      <w:r w:rsidR="00CC0F25" w:rsidRPr="00462676">
        <w:rPr>
          <w:color w:val="000000" w:themeColor="text1"/>
          <w:lang w:val="en-US"/>
        </w:rPr>
        <w:t xml:space="preserve">, from a combination of non-treated counties </w:t>
      </w:r>
      <w:r w:rsidRPr="00462676">
        <w:rPr>
          <w:color w:val="000000" w:themeColor="text1"/>
          <w:lang w:val="en-US"/>
        </w:rPr>
        <w:fldChar w:fldCharType="begin"/>
      </w:r>
      <w:r w:rsidR="009869AE">
        <w:rPr>
          <w:color w:val="000000" w:themeColor="text1"/>
          <w:lang w:val="en-US"/>
        </w:rPr>
        <w:instrText xml:space="preserve"> ADDIN EN.CITE &lt;EndNote&gt;&lt;Cite&gt;&lt;Author&gt;Abadie&lt;/Author&gt;&lt;Year&gt;2010&lt;/Year&gt;&lt;RecNum&gt;32&lt;/RecNum&gt;&lt;DisplayText&gt;(Abadie et al., 2010)&lt;/DisplayText&gt;&lt;record&gt;&lt;rec-number&gt;32&lt;/rec-number&gt;&lt;foreign-keys&gt;&lt;key app="EN" db-id="twfvx2527dae5zeftwnxfad5w2we5zav9t5d" timestamp="1576081434" guid="254437d8-2c03-4f2c-ba58-2595545613a5"&gt;32&lt;/key&gt;&lt;/foreign-keys&gt;&lt;ref-type name="Journal Article"&gt;17&lt;/ref-type&gt;&lt;contributors&gt;&lt;authors&gt;&lt;author&gt;Abadie, A.&lt;/author&gt;&lt;author&gt;Diamond, A.&lt;/author&gt;&lt;author&gt;Hainmueller, J.&lt;/author&gt;&lt;/authors&gt;&lt;/contributors&gt;&lt;titles&gt;&lt;title&gt;Synthetic Control Methods for Comparative Case Studies: Estimating the Effect of California’s Tobacco Control Program&lt;/title&gt;&lt;secondary-title&gt;Journal of the American Statistical Association&lt;/secondary-title&gt;&lt;/titles&gt;&lt;periodical&gt;&lt;full-title&gt;Journal of the American Statistical Association&lt;/full-title&gt;&lt;/periodical&gt;&lt;pages&gt;493-505&lt;/pages&gt;&lt;volume&gt;105&lt;/volume&gt;&lt;number&gt;490&lt;/number&gt;&lt;dates&gt;&lt;year&gt;2010&lt;/year&gt;&lt;pub-dates&gt;&lt;date&gt;2010/06&lt;/date&gt;&lt;/pub-dates&gt;&lt;/dates&gt;&lt;publisher&gt;Informa UK Limited&lt;/publisher&gt;&lt;isbn&gt;0162-1459&amp;#xD;1537-274X&lt;/isbn&gt;&lt;urls&gt;&lt;related-urls&gt;&lt;url&gt;http://dx.doi.org/10.1198/jasa.2009.ap08746&lt;/url&gt;&lt;/related-urls&gt;&lt;/urls&gt;&lt;electronic-resource-num&gt;10.1198/jasa.2009.ap08746&lt;/electronic-resource-num&gt;&lt;/record&gt;&lt;/Cite&gt;&lt;/EndNote&gt;</w:instrText>
      </w:r>
      <w:r w:rsidRPr="00462676">
        <w:rPr>
          <w:color w:val="000000" w:themeColor="text1"/>
          <w:lang w:val="en-US"/>
        </w:rPr>
        <w:fldChar w:fldCharType="separate"/>
      </w:r>
      <w:r w:rsidR="009869AE">
        <w:rPr>
          <w:noProof/>
          <w:color w:val="000000" w:themeColor="text1"/>
          <w:lang w:val="en-US"/>
        </w:rPr>
        <w:t>(Abadie et al., 2010)</w:t>
      </w:r>
      <w:r w:rsidRPr="00462676">
        <w:rPr>
          <w:color w:val="000000" w:themeColor="text1"/>
          <w:lang w:val="en-US"/>
        </w:rPr>
        <w:fldChar w:fldCharType="end"/>
      </w:r>
      <w:r w:rsidRPr="00462676">
        <w:rPr>
          <w:color w:val="000000" w:themeColor="text1"/>
          <w:lang w:val="en-US"/>
        </w:rPr>
        <w:t>.</w:t>
      </w:r>
    </w:p>
    <w:p w14:paraId="4A3EA2FE" w14:textId="0B6E24FF" w:rsidR="00980B2B" w:rsidRPr="00462676" w:rsidRDefault="00980B2B" w:rsidP="001B6B1B">
      <w:pPr>
        <w:spacing w:line="480" w:lineRule="auto"/>
        <w:ind w:firstLine="708"/>
        <w:rPr>
          <w:color w:val="000000" w:themeColor="text1"/>
          <w:lang w:val="en-US"/>
        </w:rPr>
      </w:pPr>
      <w:r w:rsidRPr="00462676">
        <w:rPr>
          <w:color w:val="000000" w:themeColor="text1"/>
          <w:lang w:val="en-US"/>
        </w:rPr>
        <w:t xml:space="preserve">The generalized synthetic control method uses interactive fixed effects to account for individual time-fixed and time-varying differences in panel data. It combines a standard fixed-effects panel model with the synthetic control framework and a factor model for interactive effects, as proposed by Bai </w:t>
      </w:r>
      <w:r w:rsidRPr="00462676">
        <w:rPr>
          <w:color w:val="000000" w:themeColor="text1"/>
          <w:lang w:val="en-US"/>
        </w:rPr>
        <w:fldChar w:fldCharType="begin"/>
      </w:r>
      <w:r w:rsidR="00582777" w:rsidRPr="00462676">
        <w:rPr>
          <w:color w:val="000000" w:themeColor="text1"/>
          <w:lang w:val="en-US"/>
        </w:rPr>
        <w:instrText xml:space="preserve"> ADDIN EN.CITE &lt;EndNote&gt;&lt;Cite&gt;&lt;Author&gt;Bai&lt;/Author&gt;&lt;Year&gt;2009&lt;/Year&gt;&lt;RecNum&gt;53&lt;/RecNum&gt;&lt;DisplayText&gt;(Bai, 2009)&lt;/DisplayText&gt;&lt;record&gt;&lt;rec-number&gt;53&lt;/rec-number&gt;&lt;foreign-keys&gt;&lt;key app="EN" db-id="twfvx2527dae5zeftwnxfad5w2we5zav9t5d" timestamp="1576081449" guid="4c4e02cf-adf5-4dfb-aa1f-492f390fcde1"&gt;53&lt;/key&gt;&lt;/foreign-keys&gt;&lt;ref-type name="Journal Article"&gt;17&lt;/ref-type&gt;&lt;contributors&gt;&lt;authors&gt;&lt;author&gt;Bai, Joshua&lt;/author&gt;&lt;/authors&gt;&lt;/contributors&gt;&lt;titles&gt;&lt;title&gt;Panel Data Models With Interactive Fixed Effects&lt;/title&gt;&lt;secondary-title&gt;Econometrica&lt;/secondary-title&gt;&lt;/titles&gt;&lt;periodical&gt;&lt;full-title&gt;Econometrica&lt;/full-title&gt;&lt;/periodical&gt;&lt;pages&gt;1229-1279&lt;/pages&gt;&lt;volume&gt;77&lt;/volume&gt;&lt;number&gt;4&lt;/number&gt;&lt;dates&gt;&lt;year&gt;2009&lt;/year&gt;&lt;/dates&gt;&lt;publisher&gt;The Econometric Society&lt;/publisher&gt;&lt;isbn&gt;0012-9682&lt;/isbn&gt;&lt;urls&gt;&lt;related-urls&gt;&lt;url&gt;http://dx.doi.org/10.3982/ecta6135&lt;/url&gt;&lt;/related-urls&gt;&lt;/urls&gt;&lt;electronic-resource-num&gt;10.3982/ecta6135&lt;/electronic-resource-num&gt;&lt;/record&gt;&lt;/Cite&gt;&lt;/EndNote&gt;</w:instrText>
      </w:r>
      <w:r w:rsidRPr="00462676">
        <w:rPr>
          <w:color w:val="000000" w:themeColor="text1"/>
          <w:lang w:val="en-US"/>
        </w:rPr>
        <w:fldChar w:fldCharType="separate"/>
      </w:r>
      <w:r w:rsidR="00582777" w:rsidRPr="00462676">
        <w:rPr>
          <w:noProof/>
          <w:color w:val="000000" w:themeColor="text1"/>
          <w:lang w:val="en-US"/>
        </w:rPr>
        <w:t>(Bai, 2009)</w:t>
      </w:r>
      <w:r w:rsidRPr="00462676">
        <w:rPr>
          <w:color w:val="000000" w:themeColor="text1"/>
          <w:lang w:val="en-US"/>
        </w:rPr>
        <w:fldChar w:fldCharType="end"/>
      </w:r>
      <w:r w:rsidRPr="00462676">
        <w:rPr>
          <w:color w:val="000000" w:themeColor="text1"/>
          <w:lang w:val="en-US"/>
        </w:rPr>
        <w:t>. It also considers common multidimensional “shocks” (factors conceived as principal components) or high-dimensional confounders, and unit responses (factor loadings), while controlling for the fixed effect of time, units, and for the interaction between them, permitting to relax the assumption of parallel trends, because different units can show different patterns over time</w:t>
      </w:r>
      <w:r w:rsidR="00EC3A62" w:rsidRPr="00462676">
        <w:rPr>
          <w:color w:val="000000" w:themeColor="text1"/>
          <w:lang w:val="en-US"/>
        </w:rPr>
        <w:t xml:space="preserve"> </w:t>
      </w:r>
      <w:r w:rsidRPr="00462676">
        <w:rPr>
          <w:color w:val="000000" w:themeColor="text1"/>
          <w:lang w:val="en-US"/>
        </w:rPr>
        <w:fldChar w:fldCharType="begin"/>
      </w:r>
      <w:r w:rsidR="009869AE">
        <w:rPr>
          <w:color w:val="000000" w:themeColor="text1"/>
          <w:lang w:val="en-US"/>
        </w:rPr>
        <w:instrText xml:space="preserve"> ADDIN EN.CITE &lt;EndNote&gt;&lt;Cite&gt;&lt;Author&gt;McNamee&lt;/Author&gt;&lt;Year&gt;2019&lt;/Year&gt;&lt;RecNum&gt;71&lt;/RecNum&gt;&lt;DisplayText&gt;(McNamee and Zhang, 2019)&lt;/DisplayText&gt;&lt;record&gt;&lt;rec-number&gt;71&lt;/rec-number&gt;&lt;foreign-keys&gt;&lt;key app="EN" db-id="twfvx2527dae5zeftwnxfad5w2we5zav9t5d" timestamp="1576081457" guid="86afa583-d782-46fa-a08b-8f931a668900"&gt;71&lt;/key&gt;&lt;/foreign-keys&gt;&lt;ref-type name="Journal Article"&gt;17&lt;/ref-type&gt;&lt;contributors&gt;&lt;authors&gt;&lt;author&gt;McNamee, Lachlan&lt;/author&gt;&lt;author&gt;Zhang, Anna&lt;/author&gt;&lt;/authors&gt;&lt;/contributors&gt;&lt;titles&gt;&lt;title&gt;Demographic Engineering and International Conflict: Evidence from China and the Former USSR&lt;/title&gt;&lt;secondary-title&gt;International Organization&lt;/secondary-title&gt;&lt;/titles&gt;&lt;periodical&gt;&lt;full-title&gt;International Organization&lt;/full-title&gt;&lt;/periodical&gt;&lt;pages&gt;291-327&lt;/pages&gt;&lt;volume&gt;73&lt;/volume&gt;&lt;number&gt;02&lt;/number&gt;&lt;dates&gt;&lt;year&gt;2019&lt;/year&gt;&lt;/dates&gt;&lt;publisher&gt;Cambridge University Press (CUP)&lt;/publisher&gt;&lt;isbn&gt;0020-8183&amp;#xD;1531-5088&lt;/isbn&gt;&lt;urls&gt;&lt;related-urls&gt;&lt;url&gt;http://dx.doi.org/10.1017/s0020818319000067&lt;/url&gt;&lt;/related-urls&gt;&lt;/urls&gt;&lt;electronic-resource-num&gt;10.1017/s0020818319000067&lt;/electronic-resource-num&gt;&lt;/record&gt;&lt;/Cite&gt;&lt;/EndNote&gt;</w:instrText>
      </w:r>
      <w:r w:rsidRPr="00462676">
        <w:rPr>
          <w:color w:val="000000" w:themeColor="text1"/>
          <w:lang w:val="en-US"/>
        </w:rPr>
        <w:fldChar w:fldCharType="separate"/>
      </w:r>
      <w:r w:rsidR="009869AE">
        <w:rPr>
          <w:noProof/>
          <w:color w:val="000000" w:themeColor="text1"/>
          <w:lang w:val="en-US"/>
        </w:rPr>
        <w:t>(McNamee and Zhang, 2019)</w:t>
      </w:r>
      <w:r w:rsidRPr="00462676">
        <w:rPr>
          <w:color w:val="000000" w:themeColor="text1"/>
          <w:lang w:val="en-US"/>
        </w:rPr>
        <w:fldChar w:fldCharType="end"/>
      </w:r>
      <w:r w:rsidRPr="00462676">
        <w:rPr>
          <w:color w:val="000000" w:themeColor="text1"/>
          <w:lang w:val="en-US"/>
        </w:rPr>
        <w:t>. In other words, time is a source of variability on unit response to these factors by explicitly modeling time-varying heterogeneity without sacrificing many degrees of freedom</w:t>
      </w:r>
      <w:r w:rsidRPr="00462676">
        <w:rPr>
          <w:color w:val="000000" w:themeColor="text1"/>
          <w:lang w:val="en-US"/>
        </w:rPr>
        <w:fldChar w:fldCharType="begin"/>
      </w:r>
      <w:r w:rsidR="009869AE">
        <w:rPr>
          <w:color w:val="000000" w:themeColor="text1"/>
          <w:lang w:val="en-US"/>
        </w:rPr>
        <w:instrText xml:space="preserve"> ADDIN EN.CITE &lt;EndNote&gt;&lt;Cite&gt;&lt;Author&gt;Gobillon&lt;/Author&gt;&lt;Year&gt;2016&lt;/Year&gt;&lt;RecNum&gt;68&lt;/RecNum&gt;&lt;DisplayText&gt;(Gobillon and Magnac, 2016)&lt;/DisplayText&gt;&lt;record&gt;&lt;rec-number&gt;68&lt;/rec-number&gt;&lt;foreign-keys&gt;&lt;key app="EN" db-id="twfvx2527dae5zeftwnxfad5w2we5zav9t5d" timestamp="1576081456" guid="7630de99-64e0-46ea-8ea0-b72e5d6371f2"&gt;68&lt;/key&gt;&lt;/foreign-keys&gt;&lt;ref-type name="Journal Article"&gt;17&lt;/ref-type&gt;&lt;contributors&gt;&lt;authors&gt;&lt;author&gt;Gobillon, Laurent&lt;/author&gt;&lt;author&gt;Magnac, Thierry&lt;/author&gt;&lt;/authors&gt;&lt;/contributors&gt;&lt;titles&gt;&lt;title&gt;Regional Policy Evaluation: Interactive Fixed Effects and Synthetic Controls&lt;/title&gt;&lt;secondary-title&gt;Review of Economics and Statistics&lt;/secondary-title&gt;&lt;/titles&gt;&lt;periodical&gt;&lt;full-title&gt;Review of Economics and Statistics&lt;/full-title&gt;&lt;/periodical&gt;&lt;pages&gt;535-551&lt;/pages&gt;&lt;volume&gt;98&lt;/volume&gt;&lt;number&gt;3&lt;/number&gt;&lt;dates&gt;&lt;year&gt;2016&lt;/year&gt;&lt;pub-dates&gt;&lt;date&gt;2016/07&lt;/date&gt;&lt;/pub-dates&gt;&lt;/dates&gt;&lt;publisher&gt;MIT Press - Journals&lt;/publisher&gt;&lt;isbn&gt;0034-6535&amp;#xD;1530-9142&lt;/isbn&gt;&lt;urls&gt;&lt;related-urls&gt;&lt;url&gt;http://dx.doi.org/10.1162/rest_a_00537&lt;/url&gt;&lt;/related-urls&gt;&lt;/urls&gt;&lt;electronic-resource-num&gt;10.1162/rest_a_00537&lt;/electronic-resource-num&gt;&lt;/record&gt;&lt;/Cite&gt;&lt;/EndNote&gt;</w:instrText>
      </w:r>
      <w:r w:rsidRPr="00462676">
        <w:rPr>
          <w:color w:val="000000" w:themeColor="text1"/>
          <w:lang w:val="en-US"/>
        </w:rPr>
        <w:fldChar w:fldCharType="separate"/>
      </w:r>
      <w:r w:rsidR="009869AE">
        <w:rPr>
          <w:noProof/>
          <w:color w:val="000000" w:themeColor="text1"/>
          <w:lang w:val="en-US"/>
        </w:rPr>
        <w:t>(Gobillon and Magnac, 2016)</w:t>
      </w:r>
      <w:r w:rsidRPr="00462676">
        <w:rPr>
          <w:color w:val="000000" w:themeColor="text1"/>
          <w:lang w:val="en-US"/>
        </w:rPr>
        <w:fldChar w:fldCharType="end"/>
      </w:r>
      <w:r w:rsidRPr="00462676">
        <w:rPr>
          <w:color w:val="000000" w:themeColor="text1"/>
          <w:lang w:val="en-US"/>
        </w:rPr>
        <w:t xml:space="preserve">. Differently put, these estimators utilize information of observations that were not exposed to intervention prior to the intervention taking place and obtains a fixed number of time-varying coefficients (latent-factors) </w:t>
      </w:r>
      <w:r w:rsidRPr="00462676">
        <w:rPr>
          <w:color w:val="000000" w:themeColor="text1"/>
          <w:lang w:val="en-US"/>
        </w:rPr>
        <w:fldChar w:fldCharType="begin"/>
      </w:r>
      <w:r w:rsidR="009869AE">
        <w:rPr>
          <w:color w:val="000000" w:themeColor="text1"/>
          <w:lang w:val="en-US"/>
        </w:rPr>
        <w:instrText xml:space="preserve"> ADDIN EN.CITE &lt;EndNote&gt;&lt;Cite&gt;&lt;Author&gt;Athey&lt;/Author&gt;&lt;Year&gt;2018&lt;/Year&gt;&lt;RecNum&gt;72&lt;/RecNum&gt;&lt;DisplayText&gt;(Athey et al., 2018)&lt;/DisplayText&gt;&lt;record&gt;&lt;rec-number&gt;72&lt;/rec-number&gt;&lt;foreign-keys&gt;&lt;key app="EN" db-id="twfvx2527dae5zeftwnxfad5w2we5zav9t5d" timestamp="1576081457" guid="8b311ee3-625c-4b10-b96f-5f8ac0695b7c"&gt;72&lt;/key&gt;&lt;/foreign-keys&gt;&lt;ref-type name="Report"&gt;27&lt;/ref-type&gt;&lt;contributors&gt;&lt;authors&gt;&lt;author&gt;Athey, Susan&lt;/author&gt;&lt;author&gt;Bayati, Mohsen&lt;/author&gt;&lt;author&gt;Doudchenko, Nikolay&lt;/author&gt;&lt;author&gt;Imbens, Guido&lt;/author&gt;&lt;author&gt;Khosravi, Khashayar&lt;/author&gt;&lt;/authors&gt;&lt;/contributors&gt;&lt;titles&gt;&lt;title&gt;Matrix Completion Methods for Causal Panel Data Models&lt;/title&gt;&lt;/titles&gt;&lt;dates&gt;&lt;year&gt;2018&lt;/year&gt;&lt;pub-dates&gt;&lt;date&gt;2018/10&lt;/date&gt;&lt;/pub-dates&gt;&lt;/dates&gt;&lt;publisher&gt;National Bureau of Economic Research&lt;/publisher&gt;&lt;urls&gt;&lt;related-urls&gt;&lt;url&gt;http://dx.doi.org/10.3386/w25132&lt;/url&gt;&lt;/related-urls&gt;&lt;/urls&gt;&lt;electronic-resource-num&gt;10.3386/w25132&lt;/electronic-resource-num&gt;&lt;/record&gt;&lt;/Cite&gt;&lt;/EndNote&gt;</w:instrText>
      </w:r>
      <w:r w:rsidRPr="00462676">
        <w:rPr>
          <w:color w:val="000000" w:themeColor="text1"/>
          <w:lang w:val="en-US"/>
        </w:rPr>
        <w:fldChar w:fldCharType="separate"/>
      </w:r>
      <w:r w:rsidR="009869AE">
        <w:rPr>
          <w:noProof/>
          <w:color w:val="000000" w:themeColor="text1"/>
          <w:lang w:val="en-US"/>
        </w:rPr>
        <w:t>(Athey et al., 2018)</w:t>
      </w:r>
      <w:r w:rsidRPr="00462676">
        <w:rPr>
          <w:color w:val="000000" w:themeColor="text1"/>
          <w:lang w:val="en-US"/>
        </w:rPr>
        <w:fldChar w:fldCharType="end"/>
      </w:r>
      <w:r w:rsidRPr="00462676">
        <w:rPr>
          <w:color w:val="000000" w:themeColor="text1"/>
          <w:lang w:val="en-US"/>
        </w:rPr>
        <w:t>. It then estimates county-specific intercepts (factor loadings) for each treated county by linearly projecting pre-intervention outcomes for treated counties onto space spanned by the factors. The method allows for the construction of an artificial control unit, the</w:t>
      </w:r>
      <w:r w:rsidR="000564C4" w:rsidRPr="00462676">
        <w:rPr>
          <w:color w:val="000000" w:themeColor="text1"/>
          <w:lang w:val="en-US"/>
        </w:rPr>
        <w:t xml:space="preserve"> control group</w:t>
      </w:r>
      <w:r w:rsidRPr="00462676">
        <w:rPr>
          <w:color w:val="000000" w:themeColor="text1"/>
          <w:lang w:val="en-US"/>
        </w:rPr>
        <w:t xml:space="preserve"> </w:t>
      </w:r>
      <w:r w:rsidR="000564C4" w:rsidRPr="00462676">
        <w:rPr>
          <w:color w:val="000000" w:themeColor="text1"/>
          <w:lang w:val="en-US"/>
        </w:rPr>
        <w:t>(also called as the s</w:t>
      </w:r>
      <w:r w:rsidRPr="00462676">
        <w:rPr>
          <w:color w:val="000000" w:themeColor="text1"/>
          <w:lang w:val="en-US"/>
        </w:rPr>
        <w:t xml:space="preserve">ynthetic </w:t>
      </w:r>
      <w:r w:rsidR="000564C4" w:rsidRPr="00462676">
        <w:rPr>
          <w:color w:val="000000" w:themeColor="text1"/>
          <w:lang w:val="en-US"/>
        </w:rPr>
        <w:t>c</w:t>
      </w:r>
      <w:r w:rsidRPr="00462676">
        <w:rPr>
          <w:color w:val="000000" w:themeColor="text1"/>
          <w:lang w:val="en-US"/>
        </w:rPr>
        <w:t>ontrol</w:t>
      </w:r>
      <w:r w:rsidR="000564C4" w:rsidRPr="00462676">
        <w:rPr>
          <w:color w:val="000000" w:themeColor="text1"/>
          <w:lang w:val="en-US"/>
        </w:rPr>
        <w:t>)</w:t>
      </w:r>
      <w:r w:rsidRPr="00462676">
        <w:rPr>
          <w:color w:val="000000" w:themeColor="text1"/>
          <w:lang w:val="en-US"/>
        </w:rPr>
        <w:t xml:space="preserve">, </w:t>
      </w:r>
      <w:r w:rsidR="00CC0F25" w:rsidRPr="00462676">
        <w:rPr>
          <w:color w:val="000000" w:themeColor="text1"/>
          <w:lang w:val="en-US"/>
        </w:rPr>
        <w:t xml:space="preserve">which serves as the </w:t>
      </w:r>
      <w:r w:rsidR="00CC0F25" w:rsidRPr="00462676">
        <w:rPr>
          <w:color w:val="000000" w:themeColor="text1"/>
          <w:lang w:val="en-US"/>
        </w:rPr>
        <w:lastRenderedPageBreak/>
        <w:t xml:space="preserve">counterfactual and </w:t>
      </w:r>
      <w:r w:rsidRPr="00462676">
        <w:rPr>
          <w:color w:val="000000" w:themeColor="text1"/>
          <w:lang w:val="en-US"/>
        </w:rPr>
        <w:t xml:space="preserve">whose pre-intervention dynamics are virtually the same as for the exposed group </w:t>
      </w:r>
      <w:r w:rsidR="007B38FE" w:rsidRPr="00462676">
        <w:rPr>
          <w:color w:val="000000" w:themeColor="text1"/>
          <w:lang w:val="en-US"/>
        </w:rPr>
        <w:fldChar w:fldCharType="begin"/>
      </w:r>
      <w:r w:rsidR="00396C1F">
        <w:rPr>
          <w:color w:val="000000" w:themeColor="text1"/>
          <w:lang w:val="en-US"/>
        </w:rPr>
        <w:instrText xml:space="preserve"> ADDIN EN.CITE &lt;EndNote&gt;&lt;Cite&gt;&lt;Author&gt;Garner&lt;/Author&gt;&lt;Year&gt;2019&lt;/Year&gt;&lt;RecNum&gt;23&lt;/RecNum&gt;&lt;DisplayText&gt;(Garner et al., 2019)&lt;/DisplayText&gt;&lt;record&gt;&lt;rec-number&gt;23&lt;/rec-number&gt;&lt;foreign-keys&gt;&lt;key app="EN" db-id="twfvx2527dae5zeftwnxfad5w2we5zav9t5d" timestamp="1576081430" guid="066de67a-91d9-4eec-b1da-55f8b6213c4f"&gt;23&lt;/key&gt;&lt;/foreign-keys&gt;&lt;ref-type name="Conference Proceedings"&gt;10&lt;/ref-type&gt;&lt;contributors&gt;&lt;authors&gt;&lt;author&gt;Garner, M.&lt;/author&gt;&lt;author&gt;Harvey, A.&lt;/author&gt;&lt;author&gt;Johnson, H.&lt;/author&gt;&lt;/authors&gt;&lt;/contributors&gt;&lt;titles&gt;&lt;title&gt;Estimating Effects of Affirmative Action in Policing: A Replication and Extension of Previous Research&lt;/title&gt;&lt;/titles&gt;&lt;dates&gt;&lt;year&gt;2019&lt;/year&gt;&lt;/dates&gt;&lt;urls&gt;&lt;related-urls&gt;&lt;url&gt;https://www.semanticscholar.org/paper/Estimating-Effects-of-Affirmative-Action-in-%3A-A-and-Garner-Harvey/8340f56fa4b5b2c63dcb66118a0cfdd2675fb537&lt;/url&gt;&lt;/related-urls&gt;&lt;/urls&gt;&lt;electronic-resource-num&gt;10.1016/j.irle.2019.105881&lt;/electronic-resource-num&gt;&lt;/record&gt;&lt;/Cite&gt;&lt;/EndNote&gt;</w:instrText>
      </w:r>
      <w:r w:rsidR="007B38FE" w:rsidRPr="00462676">
        <w:rPr>
          <w:color w:val="000000" w:themeColor="text1"/>
          <w:lang w:val="en-US"/>
        </w:rPr>
        <w:fldChar w:fldCharType="separate"/>
      </w:r>
      <w:r w:rsidR="009869AE">
        <w:rPr>
          <w:noProof/>
          <w:color w:val="000000" w:themeColor="text1"/>
          <w:lang w:val="en-US"/>
        </w:rPr>
        <w:t>(Garner et al., 2019)</w:t>
      </w:r>
      <w:r w:rsidR="007B38FE" w:rsidRPr="00462676">
        <w:rPr>
          <w:color w:val="000000" w:themeColor="text1"/>
          <w:lang w:val="en-US"/>
        </w:rPr>
        <w:fldChar w:fldCharType="end"/>
      </w:r>
      <w:r w:rsidRPr="00462676">
        <w:rPr>
          <w:color w:val="000000" w:themeColor="text1"/>
          <w:lang w:val="en-US"/>
        </w:rPr>
        <w:t>.</w:t>
      </w:r>
    </w:p>
    <w:p w14:paraId="712D688D" w14:textId="22D84699" w:rsidR="00980B2B" w:rsidRPr="00462676" w:rsidRDefault="00980B2B" w:rsidP="001B6B1B">
      <w:pPr>
        <w:spacing w:line="480" w:lineRule="auto"/>
        <w:ind w:firstLine="708"/>
        <w:rPr>
          <w:color w:val="000000" w:themeColor="text1"/>
          <w:lang w:val="en-US"/>
        </w:rPr>
      </w:pPr>
      <w:r w:rsidRPr="00462676">
        <w:rPr>
          <w:color w:val="000000" w:themeColor="text1"/>
          <w:lang w:val="en-US"/>
        </w:rPr>
        <w:t xml:space="preserve">Further, we examine the potential for “interpolation bias” after a convex combination of similar control units that could resemble the characteristics of the treated units, to avoid producing inaccurate estimations of the counterfactuals by predicting unknown values of very different data </w:t>
      </w:r>
      <w:r w:rsidRPr="00462676">
        <w:rPr>
          <w:color w:val="000000" w:themeColor="text1"/>
          <w:lang w:val="en-US"/>
        </w:rPr>
        <w:fldChar w:fldCharType="begin"/>
      </w:r>
      <w:r w:rsidR="009869AE">
        <w:rPr>
          <w:color w:val="000000" w:themeColor="text1"/>
          <w:lang w:val="en-US"/>
        </w:rPr>
        <w:instrText xml:space="preserve"> ADDIN EN.CITE &lt;EndNote&gt;&lt;Cite&gt;&lt;Author&gt;Abadie&lt;/Author&gt;&lt;Year&gt;2014&lt;/Year&gt;&lt;RecNum&gt;60&lt;/RecNum&gt;&lt;DisplayText&gt;(Abadie et al., 2014)&lt;/DisplayText&gt;&lt;record&gt;&lt;rec-number&gt;60&lt;/rec-number&gt;&lt;foreign-keys&gt;&lt;key app="EN" db-id="twfvx2527dae5zeftwnxfad5w2we5zav9t5d" timestamp="1576081452" guid="5c3f1849-bc42-48a6-bca2-9c84c7edf5c2"&gt;60&lt;/key&gt;&lt;/foreign-keys&gt;&lt;ref-type name="Journal Article"&gt;17&lt;/ref-type&gt;&lt;contributors&gt;&lt;authors&gt;&lt;author&gt;Abadie, A.&lt;/author&gt;&lt;author&gt;Diamond, A.&lt;/author&gt;&lt;author&gt;Hainmueller, J.&lt;/author&gt;&lt;/authors&gt;&lt;/contributors&gt;&lt;titles&gt;&lt;title&gt;Comparative Politics and the Synthetic Control Method&lt;/title&gt;&lt;secondary-title&gt;American Journal of Political Science&lt;/secondary-title&gt;&lt;/titles&gt;&lt;periodical&gt;&lt;full-title&gt;American Journal of Political Science&lt;/full-title&gt;&lt;/periodical&gt;&lt;pages&gt;495-510&lt;/pages&gt;&lt;volume&gt;59&lt;/volume&gt;&lt;dates&gt;&lt;year&gt;2014&lt;/year&gt;&lt;pub-dates&gt;&lt;date&gt;2014/04/23&lt;/date&gt;&lt;/pub-dates&gt;&lt;/dates&gt;&lt;publisher&gt;Wiley&lt;/publisher&gt;&lt;isbn&gt;0092-5853&lt;/isbn&gt;&lt;urls&gt;&lt;related-urls&gt;&lt;url&gt;http://dx.doi.org/10.1111/ajps.12116&lt;/url&gt;&lt;/related-urls&gt;&lt;/urls&gt;&lt;electronic-resource-num&gt;10.1111/ajps.12116&lt;/electronic-resource-num&gt;&lt;/record&gt;&lt;/Cite&gt;&lt;/EndNote&gt;</w:instrText>
      </w:r>
      <w:r w:rsidRPr="00462676">
        <w:rPr>
          <w:color w:val="000000" w:themeColor="text1"/>
          <w:lang w:val="en-US"/>
        </w:rPr>
        <w:fldChar w:fldCharType="separate"/>
      </w:r>
      <w:r w:rsidR="009869AE">
        <w:rPr>
          <w:noProof/>
          <w:color w:val="000000" w:themeColor="text1"/>
          <w:lang w:val="en-US"/>
        </w:rPr>
        <w:t>(Abadie et al., 2014)</w:t>
      </w:r>
      <w:r w:rsidRPr="00462676">
        <w:rPr>
          <w:color w:val="000000" w:themeColor="text1"/>
          <w:lang w:val="en-US"/>
        </w:rPr>
        <w:fldChar w:fldCharType="end"/>
      </w:r>
      <w:r w:rsidRPr="00462676">
        <w:rPr>
          <w:color w:val="000000" w:themeColor="text1"/>
          <w:lang w:val="en-US"/>
        </w:rPr>
        <w:t xml:space="preserve">, based on factors that share very few characteristics in </w:t>
      </w:r>
      <w:r w:rsidR="009F6ABB" w:rsidRPr="00462676">
        <w:rPr>
          <w:color w:val="000000" w:themeColor="text1"/>
          <w:lang w:val="en-US"/>
        </w:rPr>
        <w:t xml:space="preserve">terms of outcomes and covariates </w:t>
      </w:r>
      <w:r w:rsidR="00785BF8" w:rsidRPr="00462676">
        <w:rPr>
          <w:color w:val="000000" w:themeColor="text1"/>
          <w:lang w:val="en-US"/>
        </w:rPr>
        <w:fldChar w:fldCharType="begin"/>
      </w:r>
      <w:r w:rsidR="009869AE">
        <w:rPr>
          <w:color w:val="000000" w:themeColor="text1"/>
          <w:lang w:val="en-US"/>
        </w:rPr>
        <w:instrText xml:space="preserve"> ADDIN EN.CITE &lt;EndNote&gt;&lt;Cite&gt;&lt;Author&gt;King&lt;/Author&gt;&lt;Year&gt;2006&lt;/Year&gt;&lt;RecNum&gt;117&lt;/RecNum&gt;&lt;DisplayText&gt;(King and Zeng, 2006)&lt;/DisplayText&gt;&lt;record&gt;&lt;rec-number&gt;117&lt;/rec-number&gt;&lt;foreign-keys&gt;&lt;key app="EN" db-id="twfvx2527dae5zeftwnxfad5w2we5zav9t5d" timestamp="1587512561" guid="6dfbb060-149d-43b1-bc7a-4cfc9ce6e1cc"&gt;117&lt;/key&gt;&lt;/foreign-keys&gt;&lt;ref-type name="Journal Article"&gt;17&lt;/ref-type&gt;&lt;contributors&gt;&lt;authors&gt;&lt;author&gt;King, Gary&lt;/author&gt;&lt;author&gt;Zeng, L.&lt;/author&gt;&lt;/authors&gt;&lt;/contributors&gt;&lt;titles&gt;&lt;title&gt;The Dangers of Extreme Counterfactuals&lt;/title&gt;&lt;secondary-title&gt;Political Analysis&lt;/secondary-title&gt;&lt;/titles&gt;&lt;periodical&gt;&lt;full-title&gt;Political Analysis&lt;/full-title&gt;&lt;/periodical&gt;&lt;pages&gt;131-159&lt;/pages&gt;&lt;volume&gt;14&lt;/volume&gt;&lt;number&gt;2&lt;/number&gt;&lt;edition&gt;2017/01/04&lt;/edition&gt;&lt;dates&gt;&lt;year&gt;2006&lt;/year&gt;&lt;/dates&gt;&lt;publisher&gt;Cambridge University Press&lt;/publisher&gt;&lt;isbn&gt;1047-1987&lt;/isbn&gt;&lt;urls&gt;&lt;related-urls&gt;&lt;url&gt;https://www.cambridge.org/core/article/dangers-of-extreme-counterfactuals/2E70ACE0D50C6D51A1E042DFBB1BC335&lt;/url&gt;&lt;/related-urls&gt;&lt;/urls&gt;&lt;electronic-resource-num&gt;10.1093/pan/mpj004&lt;/electronic-resource-num&gt;&lt;remote-database-name&gt;Cambridge Core&lt;/remote-database-name&gt;&lt;remote-database-provider&gt;Cambridge University Press&lt;/remote-database-provider&gt;&lt;/record&gt;&lt;/Cite&gt;&lt;/EndNote&gt;</w:instrText>
      </w:r>
      <w:r w:rsidR="00785BF8" w:rsidRPr="00462676">
        <w:rPr>
          <w:color w:val="000000" w:themeColor="text1"/>
          <w:lang w:val="en-US"/>
        </w:rPr>
        <w:fldChar w:fldCharType="separate"/>
      </w:r>
      <w:r w:rsidR="009869AE">
        <w:rPr>
          <w:noProof/>
          <w:color w:val="000000" w:themeColor="text1"/>
          <w:lang w:val="en-US"/>
        </w:rPr>
        <w:t>(King and Zeng, 2006)</w:t>
      </w:r>
      <w:r w:rsidR="00785BF8" w:rsidRPr="00462676">
        <w:rPr>
          <w:color w:val="000000" w:themeColor="text1"/>
          <w:lang w:val="en-US"/>
        </w:rPr>
        <w:fldChar w:fldCharType="end"/>
      </w:r>
      <w:r w:rsidRPr="00462676">
        <w:rPr>
          <w:color w:val="000000" w:themeColor="text1"/>
          <w:lang w:val="en-US"/>
        </w:rPr>
        <w:t xml:space="preserve">. We also plotted factor loadings and estimated factors of both treated and control units to check whether the estimated factor loadings of the treated counties lie primarily within the convex hull of those of the control units </w:t>
      </w:r>
      <w:r w:rsidRPr="00462676">
        <w:rPr>
          <w:color w:val="000000" w:themeColor="text1"/>
          <w:lang w:val="en-US"/>
        </w:rPr>
        <w:fldChar w:fldCharType="begin"/>
      </w:r>
      <w:r w:rsidR="009869AE">
        <w:rPr>
          <w:color w:val="000000" w:themeColor="text1"/>
          <w:lang w:val="en-US"/>
        </w:rPr>
        <w:instrText xml:space="preserve"> ADDIN EN.CITE &lt;EndNote&gt;&lt;Cite&gt;&lt;Author&gt;Pierzgalski&lt;/Author&gt;&lt;Year&gt;2019&lt;/Year&gt;&lt;RecNum&gt;64&lt;/RecNum&gt;&lt;DisplayText&gt;(Pierzgalski et al., 2019)&lt;/DisplayText&gt;&lt;record&gt;&lt;rec-number&gt;64&lt;/rec-number&gt;&lt;foreign-keys&gt;&lt;key app="EN" db-id="twfvx2527dae5zeftwnxfad5w2we5zav9t5d" timestamp="1576081454" guid="732b2b78-5f1c-4f31-894d-1e594a8dc5a8"&gt;64&lt;/key&gt;&lt;/foreign-keys&gt;&lt;ref-type name="Journal Article"&gt;17&lt;/ref-type&gt;&lt;contributors&gt;&lt;authors&gt;&lt;author&gt;Pierzgalski, M.&lt;/author&gt;&lt;author&gt;Górecki, M.&lt;/author&gt;&lt;author&gt;Stępień, P.&lt;/author&gt;&lt;/authors&gt;&lt;/contributors&gt;&lt;titles&gt;&lt;title&gt;Ballot Paper Design and Vote Spoiling at Polish Local Elections of 2014: Establishing a Causal Link&lt;/title&gt;&lt;secondary-title&gt;East European Politics and Societies And Cultures&lt;/secondary-title&gt;&lt;/titles&gt;&lt;periodical&gt;&lt;full-title&gt;East European Politics and Societies And Cultures&lt;/full-title&gt;&lt;/periodical&gt;&lt;pages&gt;1-26&lt;/pages&gt;&lt;dates&gt;&lt;year&gt;2019&lt;/year&gt;&lt;/dates&gt;&lt;urls&gt;&lt;/urls&gt;&lt;electronic-resource-num&gt;10.1177/0888325419874427&lt;/electronic-resource-num&gt;&lt;/record&gt;&lt;/Cite&gt;&lt;/EndNote&gt;</w:instrText>
      </w:r>
      <w:r w:rsidRPr="00462676">
        <w:rPr>
          <w:color w:val="000000" w:themeColor="text1"/>
          <w:lang w:val="en-US"/>
        </w:rPr>
        <w:fldChar w:fldCharType="separate"/>
      </w:r>
      <w:r w:rsidR="009869AE">
        <w:rPr>
          <w:noProof/>
          <w:color w:val="000000" w:themeColor="text1"/>
          <w:lang w:val="en-US"/>
        </w:rPr>
        <w:t>(Pierzgalski et al., 2019)</w:t>
      </w:r>
      <w:r w:rsidRPr="00462676">
        <w:rPr>
          <w:color w:val="000000" w:themeColor="text1"/>
          <w:lang w:val="en-US"/>
        </w:rPr>
        <w:fldChar w:fldCharType="end"/>
      </w:r>
      <w:r w:rsidRPr="00462676">
        <w:rPr>
          <w:color w:val="000000" w:themeColor="text1"/>
          <w:lang w:val="en-US"/>
        </w:rPr>
        <w:t xml:space="preserve"> (See Section 2).</w:t>
      </w:r>
    </w:p>
    <w:p w14:paraId="7F70A804" w14:textId="77777777" w:rsidR="00980B2B" w:rsidRPr="00462676" w:rsidRDefault="00980B2B" w:rsidP="001B6B1B">
      <w:pPr>
        <w:spacing w:line="480" w:lineRule="auto"/>
        <w:ind w:firstLine="708"/>
        <w:jc w:val="both"/>
        <w:rPr>
          <w:color w:val="000000" w:themeColor="text1"/>
          <w:lang w:val="en-US"/>
        </w:rPr>
      </w:pPr>
      <w:r w:rsidRPr="00462676">
        <w:rPr>
          <w:color w:val="000000" w:themeColor="text1"/>
          <w:lang w:val="en-US"/>
        </w:rPr>
        <w:t>The model takes the functional form of:</w:t>
      </w:r>
    </w:p>
    <w:p w14:paraId="1FEAA7CD" w14:textId="77777777" w:rsidR="00980B2B" w:rsidRPr="00462676" w:rsidRDefault="00980B2B" w:rsidP="001B6B1B">
      <w:pPr>
        <w:spacing w:line="480" w:lineRule="auto"/>
        <w:jc w:val="both"/>
        <w:rPr>
          <w:color w:val="000000" w:themeColor="text1"/>
          <w:lang w:val="en-US"/>
        </w:rPr>
      </w:pPr>
    </w:p>
    <w:p w14:paraId="0834312D" w14:textId="77777777" w:rsidR="00980B2B" w:rsidRPr="00462676" w:rsidRDefault="00980B2B" w:rsidP="001B6B1B">
      <w:pPr>
        <w:spacing w:line="480" w:lineRule="auto"/>
        <w:jc w:val="center"/>
        <w:rPr>
          <w:color w:val="000000" w:themeColor="text1"/>
          <w:vertAlign w:val="subscript"/>
          <w:lang w:val="en-US"/>
        </w:rPr>
      </w:pPr>
      <w:r w:rsidRPr="00462676">
        <w:rPr>
          <w:rFonts w:ascii="Cambria Math" w:hAnsi="Cambria Math" w:cs="Cambria Math"/>
          <w:color w:val="000000" w:themeColor="text1"/>
          <w:lang w:val="en-US"/>
        </w:rPr>
        <w:t>𝑌</w:t>
      </w:r>
      <w:r w:rsidRPr="00462676">
        <w:rPr>
          <w:rFonts w:ascii="Cambria Math" w:hAnsi="Cambria Math" w:cs="Cambria Math"/>
          <w:color w:val="000000" w:themeColor="text1"/>
          <w:vertAlign w:val="subscript"/>
          <w:lang w:val="en-US"/>
        </w:rPr>
        <w:t>𝑖𝑡</w:t>
      </w:r>
      <w:r w:rsidRPr="00462676">
        <w:rPr>
          <w:color w:val="000000" w:themeColor="text1"/>
          <w:vertAlign w:val="subscript"/>
          <w:lang w:val="en-US"/>
        </w:rPr>
        <w:t xml:space="preserve"> </w:t>
      </w:r>
      <w:r w:rsidRPr="00462676">
        <w:rPr>
          <w:color w:val="000000" w:themeColor="text1"/>
          <w:lang w:val="en-US"/>
        </w:rPr>
        <w:t xml:space="preserve">= </w:t>
      </w:r>
      <w:r w:rsidRPr="00462676">
        <w:rPr>
          <w:rFonts w:ascii="Cambria Math" w:hAnsi="Cambria Math" w:cs="Cambria Math"/>
          <w:color w:val="000000" w:themeColor="text1"/>
          <w:lang w:val="en-US"/>
        </w:rPr>
        <w:t>𝛿</w:t>
      </w:r>
      <w:r w:rsidRPr="00462676">
        <w:rPr>
          <w:color w:val="000000" w:themeColor="text1"/>
          <w:vertAlign w:val="subscript"/>
          <w:lang w:val="en-US"/>
        </w:rPr>
        <w:t xml:space="preserve"> </w:t>
      </w:r>
      <w:r w:rsidRPr="00462676">
        <w:rPr>
          <w:rFonts w:ascii="Cambria Math" w:hAnsi="Cambria Math" w:cs="Cambria Math"/>
          <w:color w:val="000000" w:themeColor="text1"/>
          <w:vertAlign w:val="subscript"/>
          <w:lang w:val="en-US"/>
        </w:rPr>
        <w:t>𝑖𝑡</w:t>
      </w:r>
      <w:r w:rsidRPr="00462676">
        <w:rPr>
          <w:color w:val="000000" w:themeColor="text1"/>
          <w:vertAlign w:val="subscript"/>
          <w:lang w:val="en-US"/>
        </w:rPr>
        <w:t xml:space="preserve"> </w:t>
      </w:r>
      <w:r w:rsidRPr="00462676">
        <w:rPr>
          <w:rFonts w:ascii="Cambria Math" w:hAnsi="Cambria Math" w:cs="Cambria Math"/>
          <w:color w:val="000000" w:themeColor="text1"/>
          <w:lang w:val="en-US"/>
        </w:rPr>
        <w:t>𝐷</w:t>
      </w:r>
      <w:r w:rsidRPr="00462676">
        <w:rPr>
          <w:color w:val="000000" w:themeColor="text1"/>
          <w:vertAlign w:val="subscript"/>
          <w:lang w:val="en-US"/>
        </w:rPr>
        <w:t xml:space="preserve"> </w:t>
      </w:r>
      <w:r w:rsidRPr="00462676">
        <w:rPr>
          <w:rFonts w:ascii="Cambria Math" w:hAnsi="Cambria Math" w:cs="Cambria Math"/>
          <w:color w:val="000000" w:themeColor="text1"/>
          <w:vertAlign w:val="subscript"/>
          <w:lang w:val="en-US"/>
        </w:rPr>
        <w:t>𝑖𝑡</w:t>
      </w:r>
      <w:r w:rsidRPr="00462676">
        <w:rPr>
          <w:color w:val="000000" w:themeColor="text1"/>
          <w:lang w:val="en-US"/>
        </w:rPr>
        <w:t xml:space="preserve"> + </w:t>
      </w:r>
      <w:r w:rsidRPr="00462676">
        <w:rPr>
          <w:rFonts w:ascii="Cambria Math" w:hAnsi="Cambria Math" w:cs="Cambria Math"/>
          <w:color w:val="000000" w:themeColor="text1"/>
          <w:lang w:val="en-US"/>
        </w:rPr>
        <w:t>𝑥</w:t>
      </w:r>
      <w:r w:rsidRPr="00462676">
        <w:rPr>
          <w:color w:val="000000" w:themeColor="text1"/>
          <w:vertAlign w:val="subscript"/>
          <w:lang w:val="en-US"/>
        </w:rPr>
        <w:t xml:space="preserve"> </w:t>
      </w:r>
      <w:r w:rsidRPr="00462676">
        <w:rPr>
          <w:rFonts w:ascii="Cambria Math" w:hAnsi="Cambria Math" w:cs="Cambria Math"/>
          <w:color w:val="000000" w:themeColor="text1"/>
          <w:vertAlign w:val="subscript"/>
          <w:lang w:val="en-US"/>
        </w:rPr>
        <w:t>𝑖𝑡</w:t>
      </w:r>
      <w:r w:rsidRPr="00462676">
        <w:rPr>
          <w:color w:val="000000" w:themeColor="text1"/>
          <w:vertAlign w:val="subscript"/>
          <w:lang w:val="en-US"/>
        </w:rPr>
        <w:t xml:space="preserve"> </w:t>
      </w:r>
      <w:r w:rsidRPr="00462676">
        <w:rPr>
          <w:rFonts w:ascii="Cambria Math" w:hAnsi="Cambria Math" w:cs="Cambria Math"/>
          <w:color w:val="000000" w:themeColor="text1"/>
          <w:lang w:val="en-US"/>
        </w:rPr>
        <w:t>𝛽</w:t>
      </w:r>
      <w:r w:rsidRPr="00462676">
        <w:rPr>
          <w:color w:val="000000" w:themeColor="text1"/>
          <w:lang w:val="en-US"/>
        </w:rPr>
        <w:t xml:space="preserve"> + </w:t>
      </w:r>
      <w:r w:rsidRPr="00462676">
        <w:rPr>
          <w:rFonts w:ascii="Cambria Math" w:hAnsi="Cambria Math" w:cs="Cambria Math"/>
          <w:color w:val="000000" w:themeColor="text1"/>
          <w:lang w:val="en-US"/>
        </w:rPr>
        <w:t>𝜆</w:t>
      </w:r>
      <w:r w:rsidRPr="00462676">
        <w:rPr>
          <w:rFonts w:ascii="Cambria Math" w:hAnsi="Cambria Math" w:cs="Cambria Math"/>
          <w:color w:val="000000" w:themeColor="text1"/>
          <w:vertAlign w:val="subscript"/>
          <w:lang w:val="en-US"/>
        </w:rPr>
        <w:t>𝑖</w:t>
      </w:r>
      <w:r w:rsidRPr="00462676">
        <w:rPr>
          <w:rFonts w:ascii="Cambria Math" w:hAnsi="Cambria Math" w:cs="Cambria Math"/>
          <w:color w:val="000000" w:themeColor="text1"/>
          <w:lang w:val="en-US"/>
        </w:rPr>
        <w:t>𝑓</w:t>
      </w:r>
      <w:r w:rsidRPr="00462676">
        <w:rPr>
          <w:rFonts w:ascii="Cambria Math" w:hAnsi="Cambria Math" w:cs="Cambria Math"/>
          <w:color w:val="000000" w:themeColor="text1"/>
          <w:vertAlign w:val="subscript"/>
          <w:lang w:val="en-US"/>
        </w:rPr>
        <w:t>𝑡</w:t>
      </w:r>
      <w:r w:rsidRPr="00462676">
        <w:rPr>
          <w:color w:val="000000" w:themeColor="text1"/>
          <w:lang w:val="en-US"/>
        </w:rPr>
        <w:t xml:space="preserve"> + </w:t>
      </w:r>
      <w:r w:rsidRPr="00462676">
        <w:rPr>
          <w:rFonts w:ascii="Cambria Math" w:hAnsi="Cambria Math" w:cs="Cambria Math"/>
          <w:color w:val="000000" w:themeColor="text1"/>
          <w:lang w:val="en-US"/>
        </w:rPr>
        <w:t>𝜀</w:t>
      </w:r>
      <w:r w:rsidRPr="00462676">
        <w:rPr>
          <w:rFonts w:ascii="Cambria Math" w:hAnsi="Cambria Math" w:cs="Cambria Math"/>
          <w:color w:val="000000" w:themeColor="text1"/>
          <w:vertAlign w:val="subscript"/>
          <w:lang w:val="en-US"/>
        </w:rPr>
        <w:t>𝑖𝑡</w:t>
      </w:r>
    </w:p>
    <w:p w14:paraId="554F4CAF" w14:textId="77777777" w:rsidR="00980B2B" w:rsidRPr="00462676" w:rsidRDefault="00980B2B" w:rsidP="001B6B1B">
      <w:pPr>
        <w:spacing w:line="480" w:lineRule="auto"/>
        <w:jc w:val="both"/>
        <w:rPr>
          <w:color w:val="000000" w:themeColor="text1"/>
          <w:lang w:val="en-US"/>
        </w:rPr>
      </w:pPr>
    </w:p>
    <w:p w14:paraId="5E3DBE66" w14:textId="0096E10E" w:rsidR="00980B2B" w:rsidRPr="00462676" w:rsidRDefault="00980B2B" w:rsidP="001B6B1B">
      <w:pPr>
        <w:spacing w:line="480" w:lineRule="auto"/>
        <w:rPr>
          <w:color w:val="000000" w:themeColor="text1"/>
          <w:lang w:val="en-US"/>
        </w:rPr>
      </w:pPr>
      <w:r w:rsidRPr="00462676">
        <w:rPr>
          <w:color w:val="000000" w:themeColor="text1"/>
          <w:lang w:val="en-US"/>
        </w:rPr>
        <w:t xml:space="preserve">where </w:t>
      </w:r>
      <w:proofErr w:type="spellStart"/>
      <w:r w:rsidRPr="00462676">
        <w:rPr>
          <w:color w:val="000000" w:themeColor="text1"/>
          <w:lang w:val="en-US"/>
        </w:rPr>
        <w:t>Y</w:t>
      </w:r>
      <w:r w:rsidRPr="00462676">
        <w:rPr>
          <w:color w:val="000000" w:themeColor="text1"/>
          <w:vertAlign w:val="subscript"/>
          <w:lang w:val="en-US"/>
        </w:rPr>
        <w:t>it</w:t>
      </w:r>
      <w:proofErr w:type="spellEnd"/>
      <w:r w:rsidRPr="00462676">
        <w:rPr>
          <w:color w:val="000000" w:themeColor="text1"/>
          <w:lang w:val="en-US"/>
        </w:rPr>
        <w:t xml:space="preserve"> is the outcome of interest for county </w:t>
      </w:r>
      <w:proofErr w:type="spellStart"/>
      <w:r w:rsidRPr="00462676">
        <w:rPr>
          <w:i/>
          <w:iCs/>
          <w:color w:val="000000" w:themeColor="text1"/>
          <w:lang w:val="en-US"/>
        </w:rPr>
        <w:t>i</w:t>
      </w:r>
      <w:proofErr w:type="spellEnd"/>
      <w:r w:rsidRPr="00462676">
        <w:rPr>
          <w:color w:val="000000" w:themeColor="text1"/>
          <w:lang w:val="en-US"/>
        </w:rPr>
        <w:t xml:space="preserve">, </w:t>
      </w:r>
      <w:proofErr w:type="spellStart"/>
      <w:r w:rsidRPr="00462676">
        <w:rPr>
          <w:color w:val="000000" w:themeColor="text1"/>
          <w:lang w:val="en-US"/>
        </w:rPr>
        <w:t>D</w:t>
      </w:r>
      <w:r w:rsidRPr="00462676">
        <w:rPr>
          <w:color w:val="000000" w:themeColor="text1"/>
          <w:vertAlign w:val="subscript"/>
          <w:lang w:val="en-US"/>
        </w:rPr>
        <w:t>it</w:t>
      </w:r>
      <w:proofErr w:type="spellEnd"/>
      <w:r w:rsidRPr="00462676">
        <w:rPr>
          <w:color w:val="000000" w:themeColor="text1"/>
          <w:lang w:val="en-US"/>
        </w:rPr>
        <w:t xml:space="preserve"> is the dummy for the treatment indicator, traduced in the year and quarter of implementation of the PDMP features (i.e.</w:t>
      </w:r>
      <w:r w:rsidR="00C07BC1" w:rsidRPr="00462676">
        <w:rPr>
          <w:color w:val="000000" w:themeColor="text1"/>
          <w:lang w:val="en-US"/>
        </w:rPr>
        <w:t>,</w:t>
      </w:r>
      <w:r w:rsidRPr="00462676">
        <w:rPr>
          <w:color w:val="000000" w:themeColor="text1"/>
          <w:lang w:val="en-US"/>
        </w:rPr>
        <w:t xml:space="preserve"> </w:t>
      </w:r>
      <w:r w:rsidRPr="00462676">
        <w:rPr>
          <w:rFonts w:ascii="Cambria Math" w:hAnsi="Cambria Math" w:cs="Cambria Math"/>
          <w:color w:val="000000" w:themeColor="text1"/>
          <w:lang w:val="en-US"/>
        </w:rPr>
        <w:t>𝐷</w:t>
      </w:r>
      <w:r w:rsidRPr="00462676">
        <w:rPr>
          <w:rFonts w:ascii="Cambria Math" w:hAnsi="Cambria Math" w:cs="Cambria Math"/>
          <w:color w:val="000000" w:themeColor="text1"/>
          <w:vertAlign w:val="subscript"/>
          <w:lang w:val="en-US"/>
        </w:rPr>
        <w:t>𝑖𝑡</w:t>
      </w:r>
      <w:r w:rsidRPr="00462676">
        <w:rPr>
          <w:color w:val="000000" w:themeColor="text1"/>
          <w:lang w:val="en-US"/>
        </w:rPr>
        <w:t xml:space="preserve"> = 1 if county </w:t>
      </w:r>
      <w:proofErr w:type="spellStart"/>
      <w:r w:rsidRPr="00462676">
        <w:rPr>
          <w:i/>
          <w:iCs/>
          <w:color w:val="000000" w:themeColor="text1"/>
          <w:lang w:val="en-US"/>
        </w:rPr>
        <w:t>i</w:t>
      </w:r>
      <w:proofErr w:type="spellEnd"/>
      <w:r w:rsidRPr="00462676">
        <w:rPr>
          <w:color w:val="000000" w:themeColor="text1"/>
          <w:lang w:val="en-US"/>
        </w:rPr>
        <w:t xml:space="preserve"> was exposed to the treatment at time t), </w:t>
      </w:r>
      <w:r w:rsidRPr="00462676">
        <w:rPr>
          <w:rFonts w:ascii="Cambria Math" w:hAnsi="Cambria Math" w:cs="Cambria Math"/>
          <w:color w:val="000000" w:themeColor="text1"/>
          <w:lang w:val="en-US"/>
        </w:rPr>
        <w:t>𝛿</w:t>
      </w:r>
      <w:r w:rsidRPr="00462676">
        <w:rPr>
          <w:rFonts w:ascii="Cambria Math" w:hAnsi="Cambria Math" w:cs="Cambria Math"/>
          <w:color w:val="000000" w:themeColor="text1"/>
          <w:vertAlign w:val="subscript"/>
          <w:lang w:val="en-US"/>
        </w:rPr>
        <w:t>𝑖𝑡</w:t>
      </w:r>
      <w:r w:rsidRPr="00462676">
        <w:rPr>
          <w:color w:val="000000" w:themeColor="text1"/>
          <w:lang w:val="en-US"/>
        </w:rPr>
        <w:t xml:space="preserve"> is the treatment effect to be estimated</w:t>
      </w:r>
      <w:r w:rsidR="002207C5" w:rsidRPr="00462676">
        <w:rPr>
          <w:color w:val="000000" w:themeColor="text1"/>
          <w:lang w:val="en-US"/>
        </w:rPr>
        <w:t xml:space="preserve"> and</w:t>
      </w:r>
      <w:r w:rsidRPr="00462676">
        <w:rPr>
          <w:color w:val="000000" w:themeColor="text1"/>
          <w:lang w:val="en-US"/>
        </w:rPr>
        <w:t xml:space="preserve"> traduced in average differences</w:t>
      </w:r>
      <w:r w:rsidR="002207C5" w:rsidRPr="00462676">
        <w:rPr>
          <w:color w:val="000000" w:themeColor="text1"/>
          <w:lang w:val="en-US"/>
        </w:rPr>
        <w:t>;</w:t>
      </w:r>
      <w:r w:rsidRPr="00462676">
        <w:rPr>
          <w:color w:val="000000" w:themeColor="text1"/>
          <w:lang w:val="en-US"/>
        </w:rPr>
        <w:t xml:space="preserve"> </w:t>
      </w:r>
      <w:r w:rsidRPr="00462676">
        <w:rPr>
          <w:rFonts w:ascii="Cambria Math" w:hAnsi="Cambria Math" w:cs="Cambria Math"/>
          <w:color w:val="000000" w:themeColor="text1"/>
          <w:lang w:val="en-US"/>
        </w:rPr>
        <w:t>𝑥</w:t>
      </w:r>
      <w:r w:rsidRPr="00462676">
        <w:rPr>
          <w:rFonts w:ascii="Cambria Math" w:hAnsi="Cambria Math" w:cs="Cambria Math"/>
          <w:color w:val="000000" w:themeColor="text1"/>
          <w:vertAlign w:val="subscript"/>
          <w:lang w:val="en-US"/>
        </w:rPr>
        <w:t>𝑖𝑡</w:t>
      </w:r>
      <w:r w:rsidRPr="00462676">
        <w:rPr>
          <w:color w:val="000000" w:themeColor="text1"/>
          <w:lang w:val="en-US"/>
        </w:rPr>
        <w:t xml:space="preserve"> is the vector of covariates and </w:t>
      </w:r>
      <w:r w:rsidRPr="00462676">
        <w:rPr>
          <w:rFonts w:ascii="Cambria Math" w:hAnsi="Cambria Math" w:cs="Cambria Math"/>
          <w:color w:val="000000" w:themeColor="text1"/>
          <w:lang w:val="en-US"/>
        </w:rPr>
        <w:t>𝛽</w:t>
      </w:r>
      <w:r w:rsidRPr="00462676">
        <w:rPr>
          <w:color w:val="000000" w:themeColor="text1"/>
          <w:lang w:val="en-US"/>
        </w:rPr>
        <w:t xml:space="preserve"> their corresponding coefficients, </w:t>
      </w:r>
      <w:r w:rsidRPr="00462676">
        <w:rPr>
          <w:rFonts w:ascii="Cambria Math" w:hAnsi="Cambria Math" w:cs="Cambria Math"/>
          <w:color w:val="000000" w:themeColor="text1"/>
          <w:lang w:val="en-US"/>
        </w:rPr>
        <w:t>𝑓</w:t>
      </w:r>
      <w:r w:rsidRPr="00462676">
        <w:rPr>
          <w:rFonts w:ascii="Cambria Math" w:hAnsi="Cambria Math" w:cs="Cambria Math"/>
          <w:color w:val="000000" w:themeColor="text1"/>
          <w:vertAlign w:val="subscript"/>
          <w:lang w:val="en-US"/>
        </w:rPr>
        <w:t>𝑡</w:t>
      </w:r>
      <w:r w:rsidRPr="00462676">
        <w:rPr>
          <w:color w:val="000000" w:themeColor="text1"/>
          <w:lang w:val="en-US"/>
        </w:rPr>
        <w:t xml:space="preserve"> is the vector of latent factors, </w:t>
      </w:r>
      <w:r w:rsidRPr="00462676">
        <w:rPr>
          <w:rFonts w:ascii="Cambria Math" w:hAnsi="Cambria Math" w:cs="Cambria Math"/>
          <w:color w:val="000000" w:themeColor="text1"/>
          <w:lang w:val="en-US"/>
        </w:rPr>
        <w:t>𝜆</w:t>
      </w:r>
      <w:proofErr w:type="spellStart"/>
      <w:r w:rsidRPr="00462676">
        <w:rPr>
          <w:color w:val="000000" w:themeColor="text1"/>
          <w:vertAlign w:val="subscript"/>
          <w:lang w:val="en-US"/>
        </w:rPr>
        <w:t>i</w:t>
      </w:r>
      <w:proofErr w:type="spellEnd"/>
      <w:r w:rsidRPr="00462676">
        <w:rPr>
          <w:color w:val="000000" w:themeColor="text1"/>
          <w:lang w:val="en-US"/>
        </w:rPr>
        <w:t xml:space="preserve"> are unknown factor loadings, and finally </w:t>
      </w:r>
      <w:r w:rsidRPr="00462676">
        <w:rPr>
          <w:rFonts w:ascii="Cambria Math" w:hAnsi="Cambria Math" w:cs="Cambria Math"/>
          <w:color w:val="000000" w:themeColor="text1"/>
          <w:lang w:val="en-US"/>
        </w:rPr>
        <w:t>𝜀</w:t>
      </w:r>
      <w:r w:rsidRPr="00462676">
        <w:rPr>
          <w:color w:val="000000" w:themeColor="text1"/>
          <w:vertAlign w:val="subscript"/>
          <w:lang w:val="en-US"/>
        </w:rPr>
        <w:t>it</w:t>
      </w:r>
      <w:r w:rsidRPr="00462676">
        <w:rPr>
          <w:color w:val="000000" w:themeColor="text1"/>
          <w:lang w:val="en-US"/>
        </w:rPr>
        <w:t xml:space="preserve"> are the idiosyncratic error terms </w:t>
      </w:r>
      <w:r w:rsidRPr="00462676">
        <w:rPr>
          <w:color w:val="000000" w:themeColor="text1"/>
          <w:lang w:val="en-US"/>
        </w:rPr>
        <w:fldChar w:fldCharType="begin"/>
      </w:r>
      <w:r w:rsidR="009869AE">
        <w:rPr>
          <w:color w:val="000000" w:themeColor="text1"/>
          <w:lang w:val="en-US"/>
        </w:rPr>
        <w:instrText xml:space="preserve"> ADDIN EN.CITE &lt;EndNote&gt;&lt;Cite&gt;&lt;Author&gt;Brůha&lt;/Author&gt;&lt;Year&gt;2018&lt;/Year&gt;&lt;RecNum&gt;26&lt;/RecNum&gt;&lt;DisplayText&gt;(Brůha and Tonner, 2018)&lt;/DisplayText&gt;&lt;record&gt;&lt;rec-number&gt;26&lt;/rec-number&gt;&lt;foreign-keys&gt;&lt;key app="EN" db-id="twfvx2527dae5zeftwnxfad5w2we5zav9t5d" timestamp="1576081432" guid="0ad52385-b824-4dc2-9aca-3e55f88ca4f5"&gt;26&lt;/key&gt;&lt;/foreign-keys&gt;&lt;ref-type name="Journal Article"&gt;17&lt;/ref-type&gt;&lt;contributors&gt;&lt;authors&gt;&lt;author&gt;Brůha, Jan&lt;/author&gt;&lt;author&gt;Tonner, Jaromir&lt;/author&gt;&lt;/authors&gt;&lt;/contributors&gt;&lt;titles&gt;&lt;title&gt;An Exchange Rate Floor as an Instrument of Monetary Policy: An Ex-Post Assessment of the Czech Experience&lt;/title&gt;&lt;secondary-title&gt;Czech National Bank, Working paper series&lt;/secondary-title&gt;&lt;/titles&gt;&lt;periodical&gt;&lt;full-title&gt;Czech National Bank, Working paper series&lt;/full-title&gt;&lt;/periodical&gt;&lt;pages&gt;537-549&lt;/pages&gt;&lt;volume&gt;68&lt;/volume&gt;&lt;number&gt;6&lt;/number&gt;&lt;dates&gt;&lt;year&gt;2018&lt;/year&gt;&lt;/dates&gt;&lt;urls&gt;&lt;/urls&gt;&lt;/record&gt;&lt;/Cite&gt;&lt;/EndNote&gt;</w:instrText>
      </w:r>
      <w:r w:rsidRPr="00462676">
        <w:rPr>
          <w:color w:val="000000" w:themeColor="text1"/>
          <w:lang w:val="en-US"/>
        </w:rPr>
        <w:fldChar w:fldCharType="separate"/>
      </w:r>
      <w:r w:rsidR="009869AE">
        <w:rPr>
          <w:noProof/>
          <w:color w:val="000000" w:themeColor="text1"/>
          <w:lang w:val="en-US"/>
        </w:rPr>
        <w:t>(Brůha and Tonner, 2018)</w:t>
      </w:r>
      <w:r w:rsidRPr="00462676">
        <w:rPr>
          <w:color w:val="000000" w:themeColor="text1"/>
          <w:lang w:val="en-US"/>
        </w:rPr>
        <w:fldChar w:fldCharType="end"/>
      </w:r>
      <w:r w:rsidRPr="00462676">
        <w:rPr>
          <w:color w:val="000000" w:themeColor="text1"/>
          <w:lang w:val="en-US"/>
        </w:rPr>
        <w:t>.</w:t>
      </w:r>
    </w:p>
    <w:p w14:paraId="66BCC5D9" w14:textId="7FA56270" w:rsidR="00DA4A80" w:rsidRPr="00462676" w:rsidRDefault="00980B2B" w:rsidP="001B6B1B">
      <w:pPr>
        <w:spacing w:line="480" w:lineRule="auto"/>
        <w:ind w:firstLine="708"/>
        <w:rPr>
          <w:color w:val="000000" w:themeColor="text1"/>
          <w:lang w:val="en-US"/>
        </w:rPr>
      </w:pPr>
      <w:r w:rsidRPr="00462676">
        <w:rPr>
          <w:color w:val="000000" w:themeColor="text1"/>
          <w:lang w:val="en-US"/>
        </w:rPr>
        <w:t>The mechanism used is the process of validation through treated observations in pre-intervention periods until finding the number of factors that minimizes the Mean Squared Prediction Error (MSPE)</w:t>
      </w:r>
      <w:r w:rsidRPr="00462676">
        <w:rPr>
          <w:color w:val="000000" w:themeColor="text1"/>
          <w:lang w:val="en-US"/>
        </w:rPr>
        <w:fldChar w:fldCharType="begin"/>
      </w:r>
      <w:r w:rsidR="00582777" w:rsidRPr="00462676">
        <w:rPr>
          <w:color w:val="000000" w:themeColor="text1"/>
          <w:lang w:val="en-US"/>
        </w:rPr>
        <w:instrText xml:space="preserve"> ADDIN EN.CITE &lt;EndNote&gt;&lt;Cite&gt;&lt;Author&gt;Xu&lt;/Author&gt;&lt;Year&gt;2017&lt;/Year&gt;&lt;RecNum&gt;69&lt;/RecNum&gt;&lt;DisplayText&gt;(Xu, 2017)&lt;/DisplayText&gt;&lt;record&gt;&lt;rec-number&gt;69&lt;/rec-number&gt;&lt;foreign-keys&gt;&lt;key app="EN" db-id="twfvx2527dae5zeftwnxfad5w2we5zav9t5d" timestamp="1576081456" guid="7e44650b-8f87-40b5-9333-caf57d8aae53"&gt;69&lt;/key&gt;&lt;/foreign-keys&gt;&lt;ref-type name="Journal Article"&gt;17&lt;/ref-type&gt;&lt;contributors&gt;&lt;authors&gt;&lt;author&gt;Xu, Y.&lt;/author&gt;&lt;/authors&gt;&lt;/contributors&gt;&lt;titles&gt;&lt;title&gt;Generalized Synthetic Control Method: Causal Inference with Interactive Fixed Effects Models&lt;/title&gt;&lt;secondary-title&gt;Political Analysis&lt;/secondary-title&gt;&lt;/titles&gt;&lt;periodical&gt;&lt;full-title&gt;Political Analysis&lt;/full-title&gt;&lt;/periodical&gt;&lt;pages&gt;57-76&lt;/pages&gt;&lt;volume&gt;25&lt;/volume&gt;&lt;number&gt;1&lt;/number&gt;&lt;dates&gt;&lt;year&gt;2017&lt;/year&gt;&lt;pub-dates&gt;&lt;date&gt;2017/01&lt;/date&gt;&lt;/pub-dates&gt;&lt;/dates&gt;&lt;publisher&gt;Cambridge University Press (CUP)&lt;/publisher&gt;&lt;isbn&gt;1047-1987&amp;#xD;1476-4989&lt;/isbn&gt;&lt;urls&gt;&lt;related-urls&gt;&lt;url&gt;http://dx.doi.org/10.1017/pan.2016.2&lt;/url&gt;&lt;/related-urls&gt;&lt;/urls&gt;&lt;electronic-resource-num&gt;10.1017/pan.2016.2&lt;/electronic-resource-num&gt;&lt;/record&gt;&lt;/Cite&gt;&lt;/EndNote&gt;</w:instrText>
      </w:r>
      <w:r w:rsidRPr="00462676">
        <w:rPr>
          <w:color w:val="000000" w:themeColor="text1"/>
          <w:lang w:val="en-US"/>
        </w:rPr>
        <w:fldChar w:fldCharType="separate"/>
      </w:r>
      <w:r w:rsidR="00582777" w:rsidRPr="00462676">
        <w:rPr>
          <w:noProof/>
          <w:color w:val="000000" w:themeColor="text1"/>
          <w:lang w:val="en-US"/>
        </w:rPr>
        <w:t>(Xu, 2017)</w:t>
      </w:r>
      <w:r w:rsidRPr="00462676">
        <w:rPr>
          <w:color w:val="000000" w:themeColor="text1"/>
          <w:lang w:val="en-US"/>
        </w:rPr>
        <w:fldChar w:fldCharType="end"/>
      </w:r>
      <w:r w:rsidRPr="00462676">
        <w:rPr>
          <w:color w:val="000000" w:themeColor="text1"/>
          <w:lang w:val="en-US"/>
        </w:rPr>
        <w:t>.</w:t>
      </w:r>
      <w:r w:rsidR="00DA4A80" w:rsidRPr="00462676">
        <w:rPr>
          <w:color w:val="000000" w:themeColor="text1"/>
          <w:lang w:val="en-US"/>
        </w:rPr>
        <w:br w:type="page"/>
      </w:r>
    </w:p>
    <w:p w14:paraId="39E60197" w14:textId="5588865B" w:rsidR="00446151" w:rsidRPr="00462676" w:rsidRDefault="00446151" w:rsidP="00475E9D">
      <w:pPr>
        <w:pStyle w:val="Ttulo2"/>
        <w:spacing w:before="0" w:line="240" w:lineRule="auto"/>
        <w:rPr>
          <w:color w:val="000000" w:themeColor="text1"/>
        </w:rPr>
      </w:pPr>
      <w:bookmarkStart w:id="3" w:name="_Hlk46762811"/>
      <w:bookmarkStart w:id="4" w:name="_Toc53559389"/>
      <w:r w:rsidRPr="00462676">
        <w:rPr>
          <w:color w:val="000000" w:themeColor="text1"/>
        </w:rPr>
        <w:lastRenderedPageBreak/>
        <w:t>2</w:t>
      </w:r>
      <w:r w:rsidR="00F624D0" w:rsidRPr="00462676">
        <w:rPr>
          <w:color w:val="000000" w:themeColor="text1"/>
        </w:rPr>
        <w:t xml:space="preserve">. </w:t>
      </w:r>
      <w:r w:rsidR="00E627CD" w:rsidRPr="00462676">
        <w:rPr>
          <w:color w:val="000000" w:themeColor="text1"/>
        </w:rPr>
        <w:t xml:space="preserve">Figure S1. </w:t>
      </w:r>
      <w:r w:rsidR="00EB64EF" w:rsidRPr="00462676">
        <w:rPr>
          <w:color w:val="000000" w:themeColor="text1"/>
        </w:rPr>
        <w:t>Average differences in</w:t>
      </w:r>
      <w:r w:rsidR="00BF6C03" w:rsidRPr="00462676">
        <w:rPr>
          <w:color w:val="000000" w:themeColor="text1"/>
        </w:rPr>
        <w:t xml:space="preserve"> prescribing trends </w:t>
      </w:r>
      <w:r w:rsidR="00EB64EF" w:rsidRPr="00462676">
        <w:rPr>
          <w:color w:val="000000" w:themeColor="text1"/>
        </w:rPr>
        <w:t>between</w:t>
      </w:r>
      <w:r w:rsidR="00BF6C03" w:rsidRPr="00462676">
        <w:rPr>
          <w:color w:val="000000" w:themeColor="text1"/>
        </w:rPr>
        <w:t xml:space="preserve"> California</w:t>
      </w:r>
      <w:r w:rsidR="00E5013A" w:rsidRPr="00462676">
        <w:rPr>
          <w:color w:val="000000" w:themeColor="text1"/>
        </w:rPr>
        <w:t xml:space="preserve"> counties</w:t>
      </w:r>
      <w:r w:rsidR="00BF6C03" w:rsidRPr="00462676">
        <w:rPr>
          <w:color w:val="000000" w:themeColor="text1"/>
        </w:rPr>
        <w:t xml:space="preserve"> and </w:t>
      </w:r>
      <w:r w:rsidR="00E5013A" w:rsidRPr="00462676">
        <w:rPr>
          <w:color w:val="000000" w:themeColor="text1"/>
        </w:rPr>
        <w:t>control counties</w:t>
      </w:r>
      <w:bookmarkEnd w:id="3"/>
      <w:r w:rsidR="00750D95" w:rsidRPr="00462676">
        <w:rPr>
          <w:noProof/>
          <w:color w:val="000000" w:themeColor="text1"/>
        </w:rPr>
        <w:t xml:space="preserve"> </w:t>
      </w:r>
      <w:r w:rsidR="00634AD6" w:rsidRPr="00462676">
        <w:rPr>
          <w:noProof/>
          <w:color w:val="000000" w:themeColor="text1"/>
        </w:rPr>
        <w:drawing>
          <wp:inline distT="0" distB="0" distL="0" distR="0" wp14:anchorId="1F538862" wp14:editId="1568C39A">
            <wp:extent cx="5943600" cy="6995795"/>
            <wp:effectExtent l="0" t="0" r="0" b="1905"/>
            <wp:docPr id="6" name="Imagen 6" descr="Diagrama, Dibujo de ingenierí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Diagrama, Dibujo de ingeniería&#10;&#10;Descripción generada automáticamente"/>
                    <pic:cNvPicPr/>
                  </pic:nvPicPr>
                  <pic:blipFill>
                    <a:blip r:embed="rId14"/>
                    <a:stretch>
                      <a:fillRect/>
                    </a:stretch>
                  </pic:blipFill>
                  <pic:spPr>
                    <a:xfrm>
                      <a:off x="0" y="0"/>
                      <a:ext cx="5943600" cy="6995795"/>
                    </a:xfrm>
                    <a:prstGeom prst="rect">
                      <a:avLst/>
                    </a:prstGeom>
                  </pic:spPr>
                </pic:pic>
              </a:graphicData>
            </a:graphic>
          </wp:inline>
        </w:drawing>
      </w:r>
      <w:bookmarkEnd w:id="4"/>
    </w:p>
    <w:p w14:paraId="7293B744" w14:textId="56382466" w:rsidR="00980B2B" w:rsidRPr="00462676" w:rsidRDefault="00E627CD" w:rsidP="00E627CD">
      <w:pPr>
        <w:pStyle w:val="Ttulo2"/>
        <w:spacing w:before="0" w:line="240" w:lineRule="auto"/>
        <w:rPr>
          <w:color w:val="000000" w:themeColor="text1"/>
        </w:rPr>
      </w:pPr>
      <w:bookmarkStart w:id="5" w:name="_Toc30437254"/>
      <w:r w:rsidRPr="00462676">
        <w:rPr>
          <w:color w:val="000000" w:themeColor="text1"/>
        </w:rPr>
        <w:br w:type="column"/>
      </w:r>
      <w:bookmarkStart w:id="6" w:name="_Toc53559390"/>
      <w:r w:rsidR="00FA3FC7" w:rsidRPr="00462676">
        <w:rPr>
          <w:color w:val="000000" w:themeColor="text1"/>
        </w:rPr>
        <w:lastRenderedPageBreak/>
        <w:t>3</w:t>
      </w:r>
      <w:r w:rsidR="00980B2B" w:rsidRPr="00462676">
        <w:rPr>
          <w:color w:val="000000" w:themeColor="text1"/>
        </w:rPr>
        <w:t xml:space="preserve">. </w:t>
      </w:r>
      <w:r w:rsidRPr="00462676">
        <w:rPr>
          <w:color w:val="000000" w:themeColor="text1"/>
        </w:rPr>
        <w:t>Sensitivity analysis</w:t>
      </w:r>
      <w:bookmarkEnd w:id="5"/>
      <w:bookmarkEnd w:id="6"/>
    </w:p>
    <w:p w14:paraId="27EAA0D1" w14:textId="77777777" w:rsidR="00980B2B" w:rsidRPr="00462676" w:rsidRDefault="00980B2B" w:rsidP="00E627CD">
      <w:pPr>
        <w:rPr>
          <w:color w:val="000000" w:themeColor="text1"/>
          <w:lang w:val="en-US"/>
        </w:rPr>
      </w:pPr>
    </w:p>
    <w:p w14:paraId="6F28482A" w14:textId="3F386A2E" w:rsidR="00980B2B" w:rsidRPr="00462676" w:rsidRDefault="00E627CD" w:rsidP="001B6B1B">
      <w:pPr>
        <w:spacing w:line="480" w:lineRule="auto"/>
        <w:rPr>
          <w:color w:val="000000" w:themeColor="text1"/>
          <w:lang w:val="en-US"/>
        </w:rPr>
      </w:pPr>
      <w:r w:rsidRPr="00462676">
        <w:rPr>
          <w:color w:val="000000" w:themeColor="text1"/>
          <w:lang w:val="en-US"/>
        </w:rPr>
        <w:t xml:space="preserve">We repeated the analysis using a fixed-effects difference-in-difference regression model. These models </w:t>
      </w:r>
      <w:r w:rsidR="00980B2B" w:rsidRPr="00462676">
        <w:rPr>
          <w:color w:val="000000" w:themeColor="text1"/>
          <w:lang w:val="en-US"/>
        </w:rPr>
        <w:t xml:space="preserve">assume that unobserved confounding is time-invariant and additive, which require </w:t>
      </w:r>
      <w:r w:rsidR="00C07BC1" w:rsidRPr="00462676">
        <w:rPr>
          <w:color w:val="000000" w:themeColor="text1"/>
          <w:lang w:val="en-US"/>
        </w:rPr>
        <w:t xml:space="preserve">parallelism in </w:t>
      </w:r>
      <w:r w:rsidR="00980B2B" w:rsidRPr="00462676">
        <w:rPr>
          <w:color w:val="000000" w:themeColor="text1"/>
          <w:lang w:val="en-US"/>
        </w:rPr>
        <w:t xml:space="preserve">pre-intervention trends between exposed and unexposed counties </w:t>
      </w:r>
      <w:r w:rsidR="009C1667" w:rsidRPr="00462676">
        <w:rPr>
          <w:color w:val="000000" w:themeColor="text1"/>
          <w:lang w:val="en-US"/>
        </w:rPr>
        <w:fldChar w:fldCharType="begin"/>
      </w:r>
      <w:r w:rsidR="009869AE">
        <w:rPr>
          <w:color w:val="000000" w:themeColor="text1"/>
          <w:lang w:val="en-US"/>
        </w:rPr>
        <w:instrText xml:space="preserve"> ADDIN EN.CITE &lt;EndNote&gt;&lt;Cite&gt;&lt;Author&gt;O’Neill&lt;/Author&gt;&lt;Year&gt;2016&lt;/Year&gt;&lt;RecNum&gt;97&lt;/RecNum&gt;&lt;DisplayText&gt;(O’Neill et al., 2016)&lt;/DisplayText&gt;&lt;record&gt;&lt;rec-number&gt;97&lt;/rec-number&gt;&lt;foreign-keys&gt;&lt;key app="EN" db-id="twfvx2527dae5zeftwnxfad5w2we5zav9t5d" timestamp="1576081468" guid="f18c8ea8-c74f-4a9b-ae77-f48a0161d244"&gt;97&lt;/key&gt;&lt;/foreign-keys&gt;&lt;ref-type name="Journal Article"&gt;17&lt;/ref-type&gt;&lt;contributors&gt;&lt;authors&gt;&lt;author&gt;O’Neill, Stephen&lt;/author&gt;&lt;author&gt;Kreif, Noémi&lt;/author&gt;&lt;author&gt;Grieve, Richard&lt;/author&gt;&lt;author&gt;Sutton, Matthew&lt;/author&gt;&lt;author&gt;Sekhon, Jasjeet S.&lt;/author&gt;&lt;/authors&gt;&lt;/contributors&gt;&lt;titles&gt;&lt;title&gt;Estimating causal effects: considering three alternatives to difference-in-differences estimation&lt;/title&gt;&lt;secondary-title&gt;Health Services and Outcomes Research Methodology&lt;/secondary-title&gt;&lt;/titles&gt;&lt;periodical&gt;&lt;full-title&gt;Health Services and Outcomes Research Methodology&lt;/full-title&gt;&lt;/periodical&gt;&lt;pages&gt;1-21&lt;/pages&gt;&lt;volume&gt;16&lt;/volume&gt;&lt;number&gt;1-2&lt;/number&gt;&lt;dates&gt;&lt;year&gt;2016&lt;/year&gt;&lt;pub-dates&gt;&lt;date&gt;2016/05/07&lt;/date&gt;&lt;/pub-dates&gt;&lt;/dates&gt;&lt;publisher&gt;Springer Science and Business Media LLC&lt;/publisher&gt;&lt;isbn&gt;1387-3741&amp;#xD;1572-9400&lt;/isbn&gt;&lt;urls&gt;&lt;related-urls&gt;&lt;url&gt;http://dx.doi.org/10.1007/s10742-016-0146-8&lt;/url&gt;&lt;/related-urls&gt;&lt;/urls&gt;&lt;electronic-resource-num&gt;10.1007/s10742-016-0146-8&lt;/electronic-resource-num&gt;&lt;/record&gt;&lt;/Cite&gt;&lt;/EndNote&gt;</w:instrText>
      </w:r>
      <w:r w:rsidR="009C1667" w:rsidRPr="00462676">
        <w:rPr>
          <w:color w:val="000000" w:themeColor="text1"/>
          <w:lang w:val="en-US"/>
        </w:rPr>
        <w:fldChar w:fldCharType="separate"/>
      </w:r>
      <w:r w:rsidR="009869AE">
        <w:rPr>
          <w:noProof/>
          <w:color w:val="000000" w:themeColor="text1"/>
          <w:lang w:val="en-US"/>
        </w:rPr>
        <w:t>(O’Neill et al., 2016)</w:t>
      </w:r>
      <w:r w:rsidR="009C1667" w:rsidRPr="00462676">
        <w:rPr>
          <w:color w:val="000000" w:themeColor="text1"/>
          <w:lang w:val="en-US"/>
        </w:rPr>
        <w:fldChar w:fldCharType="end"/>
      </w:r>
      <w:r w:rsidR="00980B2B" w:rsidRPr="00462676">
        <w:rPr>
          <w:color w:val="000000" w:themeColor="text1"/>
          <w:lang w:val="en-US"/>
        </w:rPr>
        <w:t>.</w:t>
      </w:r>
      <w:r w:rsidR="00376232" w:rsidRPr="00462676">
        <w:rPr>
          <w:color w:val="000000" w:themeColor="text1"/>
          <w:lang w:val="en-US"/>
        </w:rPr>
        <w:t xml:space="preserve"> </w:t>
      </w:r>
      <w:r w:rsidRPr="00462676">
        <w:rPr>
          <w:color w:val="000000" w:themeColor="text1"/>
          <w:lang w:val="en-US"/>
        </w:rPr>
        <w:t xml:space="preserve">This was checked by </w:t>
      </w:r>
      <w:r w:rsidR="00F058AA" w:rsidRPr="00462676">
        <w:rPr>
          <w:color w:val="000000" w:themeColor="text1"/>
          <w:lang w:val="en-US"/>
        </w:rPr>
        <w:t>plotting</w:t>
      </w:r>
      <w:r w:rsidRPr="00462676">
        <w:rPr>
          <w:color w:val="000000" w:themeColor="text1"/>
          <w:lang w:val="en-US"/>
        </w:rPr>
        <w:t xml:space="preserve"> the aggregated standardized dif</w:t>
      </w:r>
      <w:r w:rsidR="00F058AA" w:rsidRPr="00462676">
        <w:rPr>
          <w:color w:val="000000" w:themeColor="text1"/>
          <w:lang w:val="en-US"/>
        </w:rPr>
        <w:t>f</w:t>
      </w:r>
      <w:r w:rsidRPr="00462676">
        <w:rPr>
          <w:color w:val="000000" w:themeColor="text1"/>
          <w:lang w:val="en-US"/>
        </w:rPr>
        <w:t xml:space="preserve">erence for each outcome between counties in California and the control states (WA and FL) in the pre </w:t>
      </w:r>
      <w:r w:rsidR="00F058AA" w:rsidRPr="00462676">
        <w:rPr>
          <w:color w:val="000000" w:themeColor="text1"/>
          <w:lang w:val="en-US"/>
        </w:rPr>
        <w:t>intervention</w:t>
      </w:r>
      <w:r w:rsidRPr="00462676">
        <w:rPr>
          <w:color w:val="000000" w:themeColor="text1"/>
          <w:lang w:val="en-US"/>
        </w:rPr>
        <w:t xml:space="preserve"> period</w:t>
      </w:r>
      <w:r w:rsidR="00F64071" w:rsidRPr="00462676">
        <w:rPr>
          <w:color w:val="000000" w:themeColor="text1"/>
          <w:lang w:val="en-US"/>
        </w:rPr>
        <w:t xml:space="preserve"> (Figure S2)</w:t>
      </w:r>
      <w:r w:rsidR="00376232" w:rsidRPr="00462676">
        <w:rPr>
          <w:color w:val="000000" w:themeColor="text1"/>
          <w:lang w:val="en-US"/>
        </w:rPr>
        <w:t>.</w:t>
      </w:r>
    </w:p>
    <w:p w14:paraId="77657614" w14:textId="77777777" w:rsidR="00980B2B" w:rsidRPr="00462676" w:rsidRDefault="00980B2B" w:rsidP="00E627CD">
      <w:pPr>
        <w:rPr>
          <w:color w:val="000000" w:themeColor="text1"/>
          <w:lang w:val="en-US"/>
        </w:rPr>
      </w:pPr>
    </w:p>
    <w:p w14:paraId="0A6FE32B" w14:textId="5217CBD0" w:rsidR="00980B2B" w:rsidRPr="00462676" w:rsidRDefault="00C93E3D" w:rsidP="00E627CD">
      <w:pPr>
        <w:rPr>
          <w:b/>
          <w:color w:val="000000" w:themeColor="text1"/>
          <w:lang w:val="en-US"/>
        </w:rPr>
      </w:pPr>
      <w:bookmarkStart w:id="7" w:name="_Hlk46762924"/>
      <w:r w:rsidRPr="00462676">
        <w:rPr>
          <w:b/>
          <w:color w:val="000000" w:themeColor="text1"/>
          <w:lang w:val="en-US"/>
        </w:rPr>
        <w:t xml:space="preserve">Figure </w:t>
      </w:r>
      <w:r w:rsidR="00F64071" w:rsidRPr="00462676">
        <w:rPr>
          <w:b/>
          <w:color w:val="000000" w:themeColor="text1"/>
          <w:lang w:val="en-US"/>
        </w:rPr>
        <w:t>S2</w:t>
      </w:r>
      <w:r w:rsidRPr="00462676">
        <w:rPr>
          <w:rStyle w:val="Refdecomentario"/>
          <w:rFonts w:asciiTheme="minorHAnsi" w:eastAsiaTheme="minorHAnsi" w:hAnsiTheme="minorHAnsi" w:cstheme="minorBidi"/>
          <w:color w:val="000000" w:themeColor="text1"/>
          <w:lang w:val="en-US" w:eastAsia="en-US"/>
        </w:rPr>
        <w:t>.</w:t>
      </w:r>
      <w:r w:rsidR="00980B2B" w:rsidRPr="00462676">
        <w:rPr>
          <w:b/>
          <w:color w:val="000000" w:themeColor="text1"/>
          <w:lang w:val="en-US"/>
        </w:rPr>
        <w:t xml:space="preserve"> </w:t>
      </w:r>
      <w:r w:rsidR="00F64071" w:rsidRPr="00462676">
        <w:rPr>
          <w:b/>
          <w:color w:val="000000" w:themeColor="text1"/>
          <w:lang w:val="en-US"/>
        </w:rPr>
        <w:t>Pre-intervention s</w:t>
      </w:r>
      <w:r w:rsidR="002C54F5" w:rsidRPr="00462676">
        <w:rPr>
          <w:b/>
          <w:color w:val="000000" w:themeColor="text1"/>
          <w:lang w:val="en-US"/>
        </w:rPr>
        <w:t>tandardized difference between California</w:t>
      </w:r>
      <w:r w:rsidR="00980B2B" w:rsidRPr="00462676">
        <w:rPr>
          <w:b/>
          <w:color w:val="000000" w:themeColor="text1"/>
          <w:lang w:val="en-US"/>
        </w:rPr>
        <w:t xml:space="preserve"> </w:t>
      </w:r>
      <w:r w:rsidR="00F64071" w:rsidRPr="00462676">
        <w:rPr>
          <w:b/>
          <w:color w:val="000000" w:themeColor="text1"/>
          <w:lang w:val="en-US"/>
        </w:rPr>
        <w:t>and control states</w:t>
      </w:r>
      <w:r w:rsidR="0068221B" w:rsidRPr="00462676">
        <w:rPr>
          <w:b/>
          <w:color w:val="000000" w:themeColor="text1"/>
          <w:lang w:val="en-US"/>
        </w:rPr>
        <w:t xml:space="preserve"> for seven prescribing measures</w:t>
      </w:r>
    </w:p>
    <w:p w14:paraId="55B49C76" w14:textId="5F5B1963" w:rsidR="00EF35FE" w:rsidRPr="00462676" w:rsidRDefault="00D44CC2" w:rsidP="00E627CD">
      <w:pPr>
        <w:pStyle w:val="Prrafodelista"/>
        <w:spacing w:after="0" w:line="240" w:lineRule="auto"/>
        <w:ind w:left="0" w:hanging="11"/>
        <w:jc w:val="both"/>
        <w:rPr>
          <w:rFonts w:ascii="Times New Roman" w:hAnsi="Times New Roman" w:cs="Times New Roman"/>
          <w:color w:val="000000" w:themeColor="text1"/>
          <w:sz w:val="24"/>
          <w:szCs w:val="24"/>
        </w:rPr>
      </w:pPr>
      <w:r w:rsidRPr="00462676">
        <w:rPr>
          <w:noProof/>
          <w:color w:val="000000" w:themeColor="text1"/>
        </w:rPr>
        <w:drawing>
          <wp:inline distT="0" distB="0" distL="0" distR="0" wp14:anchorId="44E9D4D7" wp14:editId="20F0214A">
            <wp:extent cx="5943600" cy="340042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9151" b="2556"/>
                    <a:stretch/>
                  </pic:blipFill>
                  <pic:spPr bwMode="auto">
                    <a:xfrm>
                      <a:off x="0" y="0"/>
                      <a:ext cx="5943600" cy="3400425"/>
                    </a:xfrm>
                    <a:prstGeom prst="rect">
                      <a:avLst/>
                    </a:prstGeom>
                    <a:noFill/>
                    <a:ln>
                      <a:noFill/>
                    </a:ln>
                    <a:extLst>
                      <a:ext uri="{53640926-AAD7-44D8-BBD7-CCE9431645EC}">
                        <a14:shadowObscured xmlns:a14="http://schemas.microsoft.com/office/drawing/2010/main"/>
                      </a:ext>
                    </a:extLst>
                  </pic:spPr>
                </pic:pic>
              </a:graphicData>
            </a:graphic>
          </wp:inline>
        </w:drawing>
      </w:r>
    </w:p>
    <w:p w14:paraId="3B36C380" w14:textId="688DD5D2" w:rsidR="00F64071" w:rsidRPr="00462676" w:rsidRDefault="00F64071" w:rsidP="00507878">
      <w:pPr>
        <w:pStyle w:val="Prrafodelista"/>
        <w:spacing w:after="0" w:line="240" w:lineRule="auto"/>
        <w:ind w:left="284" w:hanging="11"/>
        <w:rPr>
          <w:rFonts w:ascii="Times New Roman" w:hAnsi="Times New Roman" w:cs="Times New Roman"/>
          <w:color w:val="000000" w:themeColor="text1"/>
          <w:sz w:val="21"/>
          <w:szCs w:val="21"/>
        </w:rPr>
      </w:pPr>
      <w:r w:rsidRPr="00462676">
        <w:rPr>
          <w:rFonts w:ascii="Times New Roman" w:hAnsi="Times New Roman" w:cs="Times New Roman"/>
          <w:color w:val="000000" w:themeColor="text1"/>
          <w:sz w:val="21"/>
          <w:szCs w:val="21"/>
        </w:rPr>
        <w:t>Note: Controls states: Washington and Florida</w:t>
      </w:r>
    </w:p>
    <w:bookmarkEnd w:id="7"/>
    <w:p w14:paraId="3E38DFA5" w14:textId="77777777" w:rsidR="00F64071" w:rsidRPr="00462676" w:rsidRDefault="00F64071" w:rsidP="00E627CD">
      <w:pPr>
        <w:pStyle w:val="Prrafodelista"/>
        <w:spacing w:after="0" w:line="240" w:lineRule="auto"/>
        <w:ind w:left="0" w:hanging="11"/>
        <w:jc w:val="both"/>
        <w:rPr>
          <w:rFonts w:ascii="Times New Roman" w:hAnsi="Times New Roman" w:cs="Times New Roman"/>
          <w:color w:val="000000" w:themeColor="text1"/>
          <w:sz w:val="24"/>
          <w:szCs w:val="24"/>
        </w:rPr>
      </w:pPr>
    </w:p>
    <w:p w14:paraId="2A10AF85" w14:textId="4711D820" w:rsidR="0068221B" w:rsidRPr="00462676" w:rsidRDefault="00FA3FC7" w:rsidP="001B6B1B">
      <w:pPr>
        <w:spacing w:line="480" w:lineRule="auto"/>
        <w:ind w:firstLine="708"/>
        <w:rPr>
          <w:color w:val="000000" w:themeColor="text1"/>
          <w:lang w:val="en-US"/>
        </w:rPr>
      </w:pPr>
      <w:r w:rsidRPr="00462676">
        <w:rPr>
          <w:color w:val="000000" w:themeColor="text1"/>
          <w:lang w:val="en-US"/>
        </w:rPr>
        <w:t xml:space="preserve">We visually checked the parallel trends assumption by inspecting graphs of aggregated trends for each outcome; this assumption was reasonably met for </w:t>
      </w:r>
      <w:r w:rsidR="0068221B" w:rsidRPr="00462676">
        <w:rPr>
          <w:color w:val="000000" w:themeColor="text1"/>
          <w:lang w:val="en-US"/>
        </w:rPr>
        <w:t>4</w:t>
      </w:r>
      <w:r w:rsidRPr="00462676">
        <w:rPr>
          <w:color w:val="000000" w:themeColor="text1"/>
          <w:lang w:val="en-US"/>
        </w:rPr>
        <w:t xml:space="preserve"> out of 7 outcomes</w:t>
      </w:r>
      <w:r w:rsidR="00980B2B" w:rsidRPr="00462676">
        <w:rPr>
          <w:color w:val="000000" w:themeColor="text1"/>
          <w:lang w:val="en-US"/>
        </w:rPr>
        <w:t>.</w:t>
      </w:r>
      <w:r w:rsidR="0068221B" w:rsidRPr="00462676">
        <w:rPr>
          <w:color w:val="000000" w:themeColor="text1"/>
          <w:lang w:val="en-US"/>
        </w:rPr>
        <w:t xml:space="preserve"> </w:t>
      </w:r>
    </w:p>
    <w:p w14:paraId="3B6E10EC" w14:textId="77777777" w:rsidR="0068221B" w:rsidRPr="00462676" w:rsidRDefault="0068221B" w:rsidP="001B6B1B">
      <w:pPr>
        <w:spacing w:line="480" w:lineRule="auto"/>
        <w:rPr>
          <w:color w:val="000000" w:themeColor="text1"/>
          <w:lang w:val="en-US"/>
        </w:rPr>
      </w:pPr>
    </w:p>
    <w:p w14:paraId="510CD4C3" w14:textId="77777777" w:rsidR="001B6B1B" w:rsidRDefault="0068221B" w:rsidP="001B6B1B">
      <w:pPr>
        <w:spacing w:line="480" w:lineRule="auto"/>
        <w:ind w:firstLine="708"/>
        <w:rPr>
          <w:color w:val="000000" w:themeColor="text1"/>
          <w:lang w:val="en-US"/>
        </w:rPr>
      </w:pPr>
      <w:r w:rsidRPr="00462676">
        <w:rPr>
          <w:color w:val="000000" w:themeColor="text1"/>
          <w:lang w:val="en-US"/>
        </w:rPr>
        <w:lastRenderedPageBreak/>
        <w:t xml:space="preserve">Results from fixed-effects difference-in-difference models were similar to those estimated through the generalized synthetic control method. However, the joint PDMP’s mandatory registration and proactive reports were associated with a significant decrease in the number of opioid prescriptions per 1,000 residents; this decrease was not statistically significant in our primary </w:t>
      </w:r>
      <w:r w:rsidR="003D7814" w:rsidRPr="00462676">
        <w:rPr>
          <w:color w:val="000000" w:themeColor="text1"/>
          <w:lang w:val="en-US"/>
        </w:rPr>
        <w:t xml:space="preserve">analysis </w:t>
      </w:r>
      <w:r w:rsidRPr="00462676">
        <w:rPr>
          <w:color w:val="000000" w:themeColor="text1"/>
          <w:lang w:val="en-US"/>
        </w:rPr>
        <w:t>(Table 1).</w:t>
      </w:r>
    </w:p>
    <w:p w14:paraId="15D86E10" w14:textId="3C79B573" w:rsidR="00980B2B" w:rsidRPr="00462676" w:rsidRDefault="00980B2B" w:rsidP="00E627CD">
      <w:pPr>
        <w:ind w:left="142"/>
        <w:jc w:val="both"/>
        <w:rPr>
          <w:b/>
          <w:color w:val="000000" w:themeColor="text1"/>
          <w:lang w:val="en-US"/>
        </w:rPr>
      </w:pPr>
      <w:bookmarkStart w:id="8" w:name="_Hlk46762847"/>
      <w:r w:rsidRPr="00462676">
        <w:rPr>
          <w:b/>
          <w:color w:val="000000" w:themeColor="text1"/>
          <w:lang w:val="en-US"/>
        </w:rPr>
        <w:t xml:space="preserve">Table </w:t>
      </w:r>
      <w:r w:rsidR="0068221B" w:rsidRPr="00462676">
        <w:rPr>
          <w:b/>
          <w:color w:val="000000" w:themeColor="text1"/>
          <w:lang w:val="en-US"/>
        </w:rPr>
        <w:t>S</w:t>
      </w:r>
      <w:r w:rsidRPr="00462676">
        <w:rPr>
          <w:b/>
          <w:color w:val="000000" w:themeColor="text1"/>
          <w:lang w:val="en-US"/>
        </w:rPr>
        <w:t>1.</w:t>
      </w:r>
      <w:r w:rsidR="00E14F15" w:rsidRPr="00462676">
        <w:rPr>
          <w:b/>
          <w:color w:val="000000" w:themeColor="text1"/>
          <w:lang w:val="en-US"/>
        </w:rPr>
        <w:t xml:space="preserve"> Estimated effect of</w:t>
      </w:r>
      <w:r w:rsidR="002207C5" w:rsidRPr="00462676">
        <w:rPr>
          <w:b/>
          <w:color w:val="000000" w:themeColor="text1"/>
          <w:lang w:val="en-US"/>
        </w:rPr>
        <w:t xml:space="preserve"> </w:t>
      </w:r>
      <w:r w:rsidR="00E14F15" w:rsidRPr="00462676">
        <w:rPr>
          <w:b/>
          <w:color w:val="000000" w:themeColor="text1"/>
          <w:lang w:val="en-US"/>
        </w:rPr>
        <w:t xml:space="preserve">the implementation of mandatory PDMP registration and proactive reports in California, </w:t>
      </w:r>
      <w:r w:rsidRPr="00462676">
        <w:rPr>
          <w:b/>
          <w:color w:val="000000" w:themeColor="text1"/>
          <w:lang w:val="en-US"/>
        </w:rPr>
        <w:t xml:space="preserve">from fixed effects difference-in-difference </w:t>
      </w:r>
      <w:proofErr w:type="spellStart"/>
      <w:r w:rsidRPr="00462676">
        <w:rPr>
          <w:b/>
          <w:color w:val="000000" w:themeColor="text1"/>
          <w:lang w:val="en-US"/>
        </w:rPr>
        <w:t>models</w:t>
      </w:r>
      <w:r w:rsidR="00DA4CB7" w:rsidRPr="00462676">
        <w:rPr>
          <w:bCs/>
          <w:color w:val="000000" w:themeColor="text1"/>
          <w:vertAlign w:val="superscript"/>
          <w:lang w:val="en-US"/>
        </w:rPr>
        <w:t>a</w:t>
      </w:r>
      <w:proofErr w:type="spellEnd"/>
    </w:p>
    <w:tbl>
      <w:tblPr>
        <w:tblW w:w="9214" w:type="dxa"/>
        <w:jc w:val="center"/>
        <w:tblLook w:val="04A0" w:firstRow="1" w:lastRow="0" w:firstColumn="1" w:lastColumn="0" w:noHBand="0" w:noVBand="1"/>
      </w:tblPr>
      <w:tblGrid>
        <w:gridCol w:w="3660"/>
        <w:gridCol w:w="868"/>
        <w:gridCol w:w="963"/>
        <w:gridCol w:w="963"/>
        <w:gridCol w:w="724"/>
        <w:gridCol w:w="891"/>
        <w:gridCol w:w="1145"/>
      </w:tblGrid>
      <w:tr w:rsidR="00462676" w:rsidRPr="00462676" w14:paraId="191C552F" w14:textId="77777777" w:rsidTr="00DA4CB7">
        <w:trPr>
          <w:trHeight w:val="20"/>
          <w:jc w:val="center"/>
        </w:trPr>
        <w:tc>
          <w:tcPr>
            <w:tcW w:w="3660" w:type="dxa"/>
            <w:tcBorders>
              <w:top w:val="single" w:sz="4" w:space="0" w:color="auto"/>
              <w:left w:val="nil"/>
              <w:bottom w:val="single" w:sz="4" w:space="0" w:color="auto"/>
              <w:right w:val="nil"/>
            </w:tcBorders>
            <w:vAlign w:val="center"/>
          </w:tcPr>
          <w:p w14:paraId="2B031150" w14:textId="77777777" w:rsidR="00980B2B" w:rsidRPr="00462676" w:rsidRDefault="00980B2B" w:rsidP="00E627CD">
            <w:pPr>
              <w:jc w:val="center"/>
              <w:rPr>
                <w:b/>
                <w:bCs/>
                <w:color w:val="000000" w:themeColor="text1"/>
                <w:sz w:val="22"/>
                <w:szCs w:val="22"/>
                <w:lang w:eastAsia="es-CL"/>
              </w:rPr>
            </w:pPr>
            <w:r w:rsidRPr="00462676">
              <w:rPr>
                <w:b/>
                <w:bCs/>
                <w:color w:val="000000" w:themeColor="text1"/>
                <w:sz w:val="22"/>
                <w:szCs w:val="22"/>
                <w:lang w:eastAsia="es-CL"/>
              </w:rPr>
              <w:t>Variable</w:t>
            </w:r>
          </w:p>
        </w:tc>
        <w:tc>
          <w:tcPr>
            <w:tcW w:w="868" w:type="dxa"/>
            <w:tcBorders>
              <w:top w:val="single" w:sz="4" w:space="0" w:color="auto"/>
              <w:left w:val="nil"/>
              <w:bottom w:val="single" w:sz="4" w:space="0" w:color="auto"/>
              <w:right w:val="nil"/>
            </w:tcBorders>
            <w:shd w:val="clear" w:color="auto" w:fill="auto"/>
            <w:noWrap/>
            <w:vAlign w:val="center"/>
          </w:tcPr>
          <w:p w14:paraId="2FBBF810" w14:textId="59EB5DB8" w:rsidR="00980B2B" w:rsidRPr="00462676" w:rsidRDefault="00980B2B" w:rsidP="00E627CD">
            <w:pPr>
              <w:ind w:right="-100"/>
              <w:jc w:val="center"/>
              <w:rPr>
                <w:b/>
                <w:bCs/>
                <w:color w:val="000000" w:themeColor="text1"/>
                <w:sz w:val="22"/>
                <w:szCs w:val="22"/>
                <w:lang w:eastAsia="es-CL"/>
              </w:rPr>
            </w:pPr>
            <w:r w:rsidRPr="00462676">
              <w:rPr>
                <w:b/>
                <w:bCs/>
                <w:color w:val="000000" w:themeColor="text1"/>
                <w:sz w:val="22"/>
                <w:szCs w:val="22"/>
                <w:lang w:eastAsia="es-CL"/>
              </w:rPr>
              <w:t>Coef</w:t>
            </w:r>
            <w:r w:rsidR="00DA4F45" w:rsidRPr="00462676">
              <w:rPr>
                <w:b/>
                <w:bCs/>
                <w:color w:val="000000" w:themeColor="text1"/>
                <w:sz w:val="22"/>
                <w:szCs w:val="22"/>
                <w:lang w:eastAsia="es-CL"/>
              </w:rPr>
              <w:t>.</w:t>
            </w:r>
          </w:p>
        </w:tc>
        <w:tc>
          <w:tcPr>
            <w:tcW w:w="963" w:type="dxa"/>
            <w:tcBorders>
              <w:top w:val="single" w:sz="4" w:space="0" w:color="auto"/>
              <w:left w:val="nil"/>
              <w:bottom w:val="single" w:sz="4" w:space="0" w:color="auto"/>
              <w:right w:val="nil"/>
            </w:tcBorders>
            <w:shd w:val="clear" w:color="auto" w:fill="auto"/>
            <w:noWrap/>
            <w:vAlign w:val="center"/>
          </w:tcPr>
          <w:p w14:paraId="59285B06" w14:textId="77777777" w:rsidR="00980B2B" w:rsidRPr="00462676" w:rsidRDefault="00980B2B" w:rsidP="00E627CD">
            <w:pPr>
              <w:jc w:val="center"/>
              <w:rPr>
                <w:b/>
                <w:bCs/>
                <w:color w:val="000000" w:themeColor="text1"/>
                <w:sz w:val="22"/>
                <w:szCs w:val="22"/>
                <w:lang w:eastAsia="es-CL"/>
              </w:rPr>
            </w:pPr>
            <w:r w:rsidRPr="00462676">
              <w:rPr>
                <w:b/>
                <w:bCs/>
                <w:color w:val="000000" w:themeColor="text1"/>
                <w:sz w:val="22"/>
                <w:szCs w:val="22"/>
                <w:lang w:eastAsia="es-CL"/>
              </w:rPr>
              <w:t>CI95%</w:t>
            </w:r>
            <w:r w:rsidRPr="00462676">
              <w:rPr>
                <w:b/>
                <w:bCs/>
                <w:color w:val="000000" w:themeColor="text1"/>
                <w:sz w:val="22"/>
                <w:szCs w:val="22"/>
                <w:lang w:eastAsia="es-CL"/>
              </w:rPr>
              <w:br/>
              <w:t>Lower</w:t>
            </w:r>
          </w:p>
        </w:tc>
        <w:tc>
          <w:tcPr>
            <w:tcW w:w="963" w:type="dxa"/>
            <w:tcBorders>
              <w:top w:val="single" w:sz="4" w:space="0" w:color="auto"/>
              <w:left w:val="nil"/>
              <w:bottom w:val="single" w:sz="4" w:space="0" w:color="auto"/>
              <w:right w:val="nil"/>
            </w:tcBorders>
            <w:shd w:val="clear" w:color="auto" w:fill="auto"/>
            <w:noWrap/>
            <w:vAlign w:val="center"/>
          </w:tcPr>
          <w:p w14:paraId="7C38CD84" w14:textId="77777777" w:rsidR="00980B2B" w:rsidRPr="00462676" w:rsidRDefault="00980B2B" w:rsidP="00E627CD">
            <w:pPr>
              <w:jc w:val="center"/>
              <w:rPr>
                <w:b/>
                <w:bCs/>
                <w:color w:val="000000" w:themeColor="text1"/>
                <w:sz w:val="22"/>
                <w:szCs w:val="22"/>
                <w:lang w:eastAsia="es-CL"/>
              </w:rPr>
            </w:pPr>
            <w:r w:rsidRPr="00462676">
              <w:rPr>
                <w:b/>
                <w:bCs/>
                <w:color w:val="000000" w:themeColor="text1"/>
                <w:sz w:val="22"/>
                <w:szCs w:val="22"/>
                <w:lang w:eastAsia="es-CL"/>
              </w:rPr>
              <w:t>CI95%</w:t>
            </w:r>
            <w:r w:rsidRPr="00462676">
              <w:rPr>
                <w:b/>
                <w:bCs/>
                <w:color w:val="000000" w:themeColor="text1"/>
                <w:sz w:val="22"/>
                <w:szCs w:val="22"/>
                <w:lang w:eastAsia="es-CL"/>
              </w:rPr>
              <w:br/>
              <w:t>Upper</w:t>
            </w:r>
          </w:p>
        </w:tc>
        <w:tc>
          <w:tcPr>
            <w:tcW w:w="724" w:type="dxa"/>
            <w:tcBorders>
              <w:top w:val="single" w:sz="4" w:space="0" w:color="auto"/>
              <w:left w:val="nil"/>
              <w:bottom w:val="single" w:sz="4" w:space="0" w:color="auto"/>
              <w:right w:val="nil"/>
            </w:tcBorders>
            <w:vAlign w:val="center"/>
          </w:tcPr>
          <w:p w14:paraId="2A314714" w14:textId="77777777" w:rsidR="00980B2B" w:rsidRPr="00462676" w:rsidRDefault="00980B2B" w:rsidP="00E627CD">
            <w:pPr>
              <w:jc w:val="center"/>
              <w:rPr>
                <w:b/>
                <w:bCs/>
                <w:color w:val="000000" w:themeColor="text1"/>
                <w:sz w:val="22"/>
                <w:szCs w:val="22"/>
                <w:lang w:eastAsia="es-CL"/>
              </w:rPr>
            </w:pPr>
            <w:r w:rsidRPr="00462676">
              <w:rPr>
                <w:b/>
                <w:bCs/>
                <w:color w:val="000000" w:themeColor="text1"/>
                <w:sz w:val="22"/>
                <w:szCs w:val="22"/>
                <w:lang w:eastAsia="es-CL"/>
              </w:rPr>
              <w:t>t</w:t>
            </w:r>
          </w:p>
        </w:tc>
        <w:tc>
          <w:tcPr>
            <w:tcW w:w="891" w:type="dxa"/>
            <w:tcBorders>
              <w:top w:val="single" w:sz="4" w:space="0" w:color="auto"/>
              <w:left w:val="nil"/>
              <w:bottom w:val="single" w:sz="4" w:space="0" w:color="auto"/>
              <w:right w:val="nil"/>
            </w:tcBorders>
            <w:vAlign w:val="center"/>
          </w:tcPr>
          <w:p w14:paraId="3F808323" w14:textId="77777777" w:rsidR="00980B2B" w:rsidRPr="00462676" w:rsidRDefault="00980B2B" w:rsidP="00E627CD">
            <w:pPr>
              <w:jc w:val="center"/>
              <w:rPr>
                <w:b/>
                <w:bCs/>
                <w:color w:val="000000" w:themeColor="text1"/>
                <w:sz w:val="22"/>
                <w:szCs w:val="22"/>
                <w:lang w:eastAsia="es-CL"/>
              </w:rPr>
            </w:pPr>
            <w:r w:rsidRPr="00462676">
              <w:rPr>
                <w:b/>
                <w:bCs/>
                <w:color w:val="000000" w:themeColor="text1"/>
                <w:sz w:val="22"/>
                <w:szCs w:val="22"/>
                <w:lang w:eastAsia="es-CL"/>
              </w:rPr>
              <w:t>p-value</w:t>
            </w:r>
          </w:p>
        </w:tc>
        <w:tc>
          <w:tcPr>
            <w:tcW w:w="1145" w:type="dxa"/>
            <w:tcBorders>
              <w:top w:val="single" w:sz="4" w:space="0" w:color="auto"/>
              <w:left w:val="nil"/>
              <w:bottom w:val="single" w:sz="4" w:space="0" w:color="auto"/>
              <w:right w:val="nil"/>
            </w:tcBorders>
          </w:tcPr>
          <w:p w14:paraId="4033AA62" w14:textId="77777777" w:rsidR="00980B2B" w:rsidRPr="00462676" w:rsidRDefault="00980B2B" w:rsidP="00E627CD">
            <w:pPr>
              <w:jc w:val="center"/>
              <w:rPr>
                <w:b/>
                <w:bCs/>
                <w:color w:val="000000" w:themeColor="text1"/>
                <w:sz w:val="22"/>
                <w:szCs w:val="22"/>
                <w:lang w:eastAsia="es-CL"/>
              </w:rPr>
            </w:pPr>
            <w:r w:rsidRPr="00462676">
              <w:rPr>
                <w:b/>
                <w:bCs/>
                <w:color w:val="000000" w:themeColor="text1"/>
                <w:sz w:val="22"/>
                <w:szCs w:val="22"/>
                <w:lang w:eastAsia="es-CL"/>
              </w:rPr>
              <w:t>N Obs.</w:t>
            </w:r>
            <w:r w:rsidRPr="00462676">
              <w:rPr>
                <w:b/>
                <w:bCs/>
                <w:color w:val="000000" w:themeColor="text1"/>
                <w:sz w:val="22"/>
                <w:szCs w:val="22"/>
                <w:lang w:eastAsia="es-CL"/>
              </w:rPr>
              <w:br/>
              <w:t>(Clusters)</w:t>
            </w:r>
          </w:p>
        </w:tc>
      </w:tr>
      <w:tr w:rsidR="00462676" w:rsidRPr="00462676" w14:paraId="2FFA5A7C" w14:textId="77777777" w:rsidTr="00DA4CB7">
        <w:trPr>
          <w:trHeight w:val="20"/>
          <w:jc w:val="center"/>
        </w:trPr>
        <w:tc>
          <w:tcPr>
            <w:tcW w:w="3660" w:type="dxa"/>
            <w:tcBorders>
              <w:top w:val="single" w:sz="4" w:space="0" w:color="auto"/>
              <w:left w:val="nil"/>
              <w:bottom w:val="nil"/>
              <w:right w:val="nil"/>
            </w:tcBorders>
            <w:shd w:val="clear" w:color="auto" w:fill="auto"/>
            <w:vAlign w:val="center"/>
          </w:tcPr>
          <w:p w14:paraId="6EFCAEE8" w14:textId="77777777" w:rsidR="00980B2B" w:rsidRPr="00462676" w:rsidRDefault="00980B2B" w:rsidP="00E627CD">
            <w:pPr>
              <w:rPr>
                <w:color w:val="000000" w:themeColor="text1"/>
                <w:sz w:val="22"/>
                <w:szCs w:val="22"/>
              </w:rPr>
            </w:pPr>
            <w:bookmarkStart w:id="9" w:name="_Hlk37605032"/>
            <w:r w:rsidRPr="00462676">
              <w:rPr>
                <w:color w:val="000000" w:themeColor="text1"/>
                <w:sz w:val="22"/>
                <w:szCs w:val="22"/>
              </w:rPr>
              <w:t>Opioid prescriptions per 1,000 residents</w:t>
            </w:r>
          </w:p>
        </w:tc>
        <w:tc>
          <w:tcPr>
            <w:tcW w:w="868" w:type="dxa"/>
            <w:tcBorders>
              <w:top w:val="single" w:sz="4" w:space="0" w:color="auto"/>
              <w:left w:val="nil"/>
              <w:bottom w:val="nil"/>
              <w:right w:val="nil"/>
            </w:tcBorders>
            <w:shd w:val="clear" w:color="auto" w:fill="auto"/>
            <w:noWrap/>
            <w:vAlign w:val="center"/>
          </w:tcPr>
          <w:p w14:paraId="6ECEFB61" w14:textId="77777777" w:rsidR="00980B2B" w:rsidRPr="00462676" w:rsidRDefault="00980B2B" w:rsidP="00E627CD">
            <w:pPr>
              <w:jc w:val="center"/>
              <w:rPr>
                <w:color w:val="000000" w:themeColor="text1"/>
                <w:sz w:val="22"/>
                <w:szCs w:val="22"/>
              </w:rPr>
            </w:pPr>
            <w:r w:rsidRPr="00462676">
              <w:rPr>
                <w:color w:val="000000" w:themeColor="text1"/>
                <w:sz w:val="22"/>
                <w:szCs w:val="22"/>
              </w:rPr>
              <w:t>-7.16</w:t>
            </w:r>
          </w:p>
        </w:tc>
        <w:tc>
          <w:tcPr>
            <w:tcW w:w="963" w:type="dxa"/>
            <w:tcBorders>
              <w:top w:val="single" w:sz="4" w:space="0" w:color="auto"/>
              <w:left w:val="nil"/>
              <w:bottom w:val="nil"/>
              <w:right w:val="nil"/>
            </w:tcBorders>
            <w:shd w:val="clear" w:color="auto" w:fill="auto"/>
            <w:noWrap/>
            <w:vAlign w:val="center"/>
          </w:tcPr>
          <w:p w14:paraId="158EB73F" w14:textId="77777777" w:rsidR="00980B2B" w:rsidRPr="00462676" w:rsidRDefault="00980B2B" w:rsidP="00E627CD">
            <w:pPr>
              <w:jc w:val="center"/>
              <w:rPr>
                <w:color w:val="000000" w:themeColor="text1"/>
                <w:sz w:val="22"/>
                <w:szCs w:val="22"/>
              </w:rPr>
            </w:pPr>
            <w:r w:rsidRPr="00462676">
              <w:rPr>
                <w:color w:val="000000" w:themeColor="text1"/>
                <w:sz w:val="22"/>
                <w:szCs w:val="22"/>
              </w:rPr>
              <w:t>-13.09</w:t>
            </w:r>
          </w:p>
        </w:tc>
        <w:tc>
          <w:tcPr>
            <w:tcW w:w="963" w:type="dxa"/>
            <w:tcBorders>
              <w:top w:val="single" w:sz="4" w:space="0" w:color="auto"/>
              <w:left w:val="nil"/>
              <w:bottom w:val="nil"/>
              <w:right w:val="nil"/>
            </w:tcBorders>
            <w:shd w:val="clear" w:color="auto" w:fill="auto"/>
            <w:noWrap/>
            <w:vAlign w:val="center"/>
          </w:tcPr>
          <w:p w14:paraId="1F189ADE" w14:textId="77777777" w:rsidR="00980B2B" w:rsidRPr="00462676" w:rsidRDefault="00980B2B" w:rsidP="00E627CD">
            <w:pPr>
              <w:jc w:val="center"/>
              <w:rPr>
                <w:color w:val="000000" w:themeColor="text1"/>
                <w:sz w:val="22"/>
                <w:szCs w:val="22"/>
              </w:rPr>
            </w:pPr>
            <w:r w:rsidRPr="00462676">
              <w:rPr>
                <w:color w:val="000000" w:themeColor="text1"/>
                <w:sz w:val="22"/>
                <w:szCs w:val="22"/>
              </w:rPr>
              <w:t>-1.24</w:t>
            </w:r>
          </w:p>
        </w:tc>
        <w:tc>
          <w:tcPr>
            <w:tcW w:w="724" w:type="dxa"/>
            <w:tcBorders>
              <w:top w:val="single" w:sz="4" w:space="0" w:color="auto"/>
              <w:left w:val="nil"/>
              <w:bottom w:val="nil"/>
              <w:right w:val="nil"/>
            </w:tcBorders>
            <w:vAlign w:val="center"/>
          </w:tcPr>
          <w:p w14:paraId="0DFA0C38" w14:textId="77777777" w:rsidR="00980B2B" w:rsidRPr="00462676" w:rsidRDefault="00980B2B" w:rsidP="00E627CD">
            <w:pPr>
              <w:jc w:val="center"/>
              <w:rPr>
                <w:color w:val="000000" w:themeColor="text1"/>
                <w:sz w:val="22"/>
                <w:szCs w:val="22"/>
              </w:rPr>
            </w:pPr>
            <w:r w:rsidRPr="00462676">
              <w:rPr>
                <w:color w:val="000000" w:themeColor="text1"/>
                <w:sz w:val="22"/>
                <w:szCs w:val="22"/>
              </w:rPr>
              <w:t>-2.50</w:t>
            </w:r>
          </w:p>
        </w:tc>
        <w:tc>
          <w:tcPr>
            <w:tcW w:w="891" w:type="dxa"/>
            <w:tcBorders>
              <w:top w:val="single" w:sz="4" w:space="0" w:color="auto"/>
              <w:left w:val="nil"/>
              <w:bottom w:val="nil"/>
              <w:right w:val="nil"/>
            </w:tcBorders>
            <w:vAlign w:val="center"/>
          </w:tcPr>
          <w:p w14:paraId="4CB38474" w14:textId="77777777" w:rsidR="00980B2B" w:rsidRPr="00462676" w:rsidRDefault="00980B2B" w:rsidP="00E627CD">
            <w:pPr>
              <w:jc w:val="center"/>
              <w:rPr>
                <w:color w:val="000000" w:themeColor="text1"/>
                <w:sz w:val="22"/>
                <w:szCs w:val="22"/>
              </w:rPr>
            </w:pPr>
            <w:r w:rsidRPr="00462676">
              <w:rPr>
                <w:color w:val="000000" w:themeColor="text1"/>
                <w:sz w:val="22"/>
                <w:szCs w:val="22"/>
              </w:rPr>
              <w:t>0.0199</w:t>
            </w:r>
          </w:p>
        </w:tc>
        <w:tc>
          <w:tcPr>
            <w:tcW w:w="1145" w:type="dxa"/>
            <w:tcBorders>
              <w:top w:val="single" w:sz="4" w:space="0" w:color="auto"/>
              <w:left w:val="nil"/>
              <w:bottom w:val="nil"/>
              <w:right w:val="nil"/>
            </w:tcBorders>
            <w:vAlign w:val="center"/>
          </w:tcPr>
          <w:p w14:paraId="1DED3441" w14:textId="77777777" w:rsidR="00980B2B" w:rsidRPr="00462676" w:rsidRDefault="00980B2B" w:rsidP="00E627CD">
            <w:pPr>
              <w:jc w:val="center"/>
              <w:rPr>
                <w:color w:val="000000" w:themeColor="text1"/>
                <w:sz w:val="22"/>
                <w:szCs w:val="22"/>
                <w:lang w:eastAsia="es-CL"/>
              </w:rPr>
            </w:pPr>
            <w:r w:rsidRPr="00462676">
              <w:rPr>
                <w:color w:val="000000" w:themeColor="text1"/>
                <w:sz w:val="22"/>
                <w:szCs w:val="22"/>
                <w:lang w:eastAsia="es-CL"/>
              </w:rPr>
              <w:t>3936</w:t>
            </w:r>
            <w:r w:rsidRPr="00462676">
              <w:rPr>
                <w:color w:val="000000" w:themeColor="text1"/>
                <w:sz w:val="22"/>
                <w:szCs w:val="22"/>
                <w:lang w:eastAsia="es-CL"/>
              </w:rPr>
              <w:br/>
              <w:t>(164)</w:t>
            </w:r>
          </w:p>
        </w:tc>
      </w:tr>
      <w:bookmarkEnd w:id="9"/>
      <w:tr w:rsidR="00462676" w:rsidRPr="00462676" w14:paraId="0DB1A18A" w14:textId="77777777" w:rsidTr="00DA4CB7">
        <w:trPr>
          <w:trHeight w:val="20"/>
          <w:jc w:val="center"/>
        </w:trPr>
        <w:tc>
          <w:tcPr>
            <w:tcW w:w="3660" w:type="dxa"/>
            <w:tcBorders>
              <w:top w:val="nil"/>
              <w:left w:val="nil"/>
              <w:bottom w:val="nil"/>
              <w:right w:val="nil"/>
            </w:tcBorders>
            <w:shd w:val="clear" w:color="auto" w:fill="auto"/>
            <w:vAlign w:val="center"/>
          </w:tcPr>
          <w:p w14:paraId="326E1BB8" w14:textId="77777777" w:rsidR="00980B2B" w:rsidRPr="00462676" w:rsidRDefault="00980B2B" w:rsidP="00E627CD">
            <w:pPr>
              <w:rPr>
                <w:color w:val="000000" w:themeColor="text1"/>
                <w:sz w:val="22"/>
                <w:szCs w:val="22"/>
                <w:lang w:val="en-US"/>
              </w:rPr>
            </w:pPr>
            <w:r w:rsidRPr="00462676">
              <w:rPr>
                <w:color w:val="000000" w:themeColor="text1"/>
                <w:sz w:val="22"/>
                <w:szCs w:val="22"/>
                <w:lang w:val="en-US"/>
              </w:rPr>
              <w:t>Patients’ mean daily opioid dosage in MME</w:t>
            </w:r>
          </w:p>
        </w:tc>
        <w:tc>
          <w:tcPr>
            <w:tcW w:w="868" w:type="dxa"/>
            <w:tcBorders>
              <w:top w:val="nil"/>
              <w:left w:val="nil"/>
              <w:bottom w:val="nil"/>
              <w:right w:val="nil"/>
            </w:tcBorders>
            <w:shd w:val="clear" w:color="auto" w:fill="auto"/>
            <w:noWrap/>
            <w:vAlign w:val="center"/>
          </w:tcPr>
          <w:p w14:paraId="452A1F0F" w14:textId="77777777" w:rsidR="00980B2B" w:rsidRPr="00462676" w:rsidRDefault="00980B2B" w:rsidP="00E627CD">
            <w:pPr>
              <w:jc w:val="center"/>
              <w:rPr>
                <w:color w:val="000000" w:themeColor="text1"/>
                <w:sz w:val="22"/>
                <w:szCs w:val="22"/>
              </w:rPr>
            </w:pPr>
            <w:r w:rsidRPr="00462676">
              <w:rPr>
                <w:color w:val="000000" w:themeColor="text1"/>
                <w:sz w:val="22"/>
                <w:szCs w:val="22"/>
              </w:rPr>
              <w:t>-9.87</w:t>
            </w:r>
          </w:p>
        </w:tc>
        <w:tc>
          <w:tcPr>
            <w:tcW w:w="963" w:type="dxa"/>
            <w:tcBorders>
              <w:top w:val="nil"/>
              <w:left w:val="nil"/>
              <w:bottom w:val="nil"/>
              <w:right w:val="nil"/>
            </w:tcBorders>
            <w:shd w:val="clear" w:color="auto" w:fill="auto"/>
            <w:noWrap/>
            <w:vAlign w:val="center"/>
          </w:tcPr>
          <w:p w14:paraId="7BF66BA5" w14:textId="77777777" w:rsidR="00980B2B" w:rsidRPr="00462676" w:rsidRDefault="00980B2B" w:rsidP="00E627CD">
            <w:pPr>
              <w:jc w:val="center"/>
              <w:rPr>
                <w:color w:val="000000" w:themeColor="text1"/>
                <w:sz w:val="22"/>
                <w:szCs w:val="22"/>
              </w:rPr>
            </w:pPr>
            <w:r w:rsidRPr="00462676">
              <w:rPr>
                <w:color w:val="000000" w:themeColor="text1"/>
                <w:sz w:val="22"/>
                <w:szCs w:val="22"/>
              </w:rPr>
              <w:t>-13.64</w:t>
            </w:r>
          </w:p>
        </w:tc>
        <w:tc>
          <w:tcPr>
            <w:tcW w:w="963" w:type="dxa"/>
            <w:tcBorders>
              <w:top w:val="nil"/>
              <w:left w:val="nil"/>
              <w:bottom w:val="nil"/>
              <w:right w:val="nil"/>
            </w:tcBorders>
            <w:shd w:val="clear" w:color="auto" w:fill="auto"/>
            <w:noWrap/>
            <w:vAlign w:val="center"/>
          </w:tcPr>
          <w:p w14:paraId="378C9A0B" w14:textId="77777777" w:rsidR="00980B2B" w:rsidRPr="00462676" w:rsidRDefault="00980B2B" w:rsidP="00E627CD">
            <w:pPr>
              <w:jc w:val="center"/>
              <w:rPr>
                <w:color w:val="000000" w:themeColor="text1"/>
                <w:sz w:val="22"/>
                <w:szCs w:val="22"/>
              </w:rPr>
            </w:pPr>
            <w:r w:rsidRPr="00462676">
              <w:rPr>
                <w:color w:val="000000" w:themeColor="text1"/>
                <w:sz w:val="22"/>
                <w:szCs w:val="22"/>
              </w:rPr>
              <w:t>-6.10</w:t>
            </w:r>
          </w:p>
        </w:tc>
        <w:tc>
          <w:tcPr>
            <w:tcW w:w="724" w:type="dxa"/>
            <w:tcBorders>
              <w:top w:val="nil"/>
              <w:left w:val="nil"/>
              <w:bottom w:val="nil"/>
              <w:right w:val="nil"/>
            </w:tcBorders>
            <w:vAlign w:val="center"/>
          </w:tcPr>
          <w:p w14:paraId="27FE70A3" w14:textId="77777777" w:rsidR="00980B2B" w:rsidRPr="00462676" w:rsidRDefault="00980B2B" w:rsidP="00E627CD">
            <w:pPr>
              <w:jc w:val="center"/>
              <w:rPr>
                <w:color w:val="000000" w:themeColor="text1"/>
                <w:sz w:val="22"/>
                <w:szCs w:val="22"/>
              </w:rPr>
            </w:pPr>
            <w:r w:rsidRPr="00462676">
              <w:rPr>
                <w:color w:val="000000" w:themeColor="text1"/>
                <w:sz w:val="22"/>
                <w:szCs w:val="22"/>
              </w:rPr>
              <w:t>-5.41</w:t>
            </w:r>
          </w:p>
        </w:tc>
        <w:tc>
          <w:tcPr>
            <w:tcW w:w="891" w:type="dxa"/>
            <w:tcBorders>
              <w:top w:val="nil"/>
              <w:left w:val="nil"/>
              <w:bottom w:val="nil"/>
              <w:right w:val="nil"/>
            </w:tcBorders>
            <w:vAlign w:val="center"/>
          </w:tcPr>
          <w:p w14:paraId="6733F27B" w14:textId="77777777" w:rsidR="00980B2B" w:rsidRPr="00462676" w:rsidRDefault="00980B2B" w:rsidP="00E627CD">
            <w:pPr>
              <w:jc w:val="center"/>
              <w:rPr>
                <w:color w:val="000000" w:themeColor="text1"/>
                <w:sz w:val="22"/>
                <w:szCs w:val="22"/>
              </w:rPr>
            </w:pPr>
            <w:r w:rsidRPr="00462676">
              <w:rPr>
                <w:color w:val="000000" w:themeColor="text1"/>
                <w:sz w:val="22"/>
                <w:szCs w:val="22"/>
              </w:rPr>
              <w:t>&lt;0.001</w:t>
            </w:r>
          </w:p>
        </w:tc>
        <w:tc>
          <w:tcPr>
            <w:tcW w:w="1145" w:type="dxa"/>
            <w:tcBorders>
              <w:top w:val="nil"/>
              <w:left w:val="nil"/>
              <w:bottom w:val="nil"/>
              <w:right w:val="nil"/>
            </w:tcBorders>
            <w:vAlign w:val="center"/>
          </w:tcPr>
          <w:p w14:paraId="4EEA4DA5" w14:textId="77777777" w:rsidR="00980B2B" w:rsidRPr="00462676" w:rsidRDefault="00980B2B" w:rsidP="00E627CD">
            <w:pPr>
              <w:jc w:val="center"/>
              <w:rPr>
                <w:color w:val="000000" w:themeColor="text1"/>
                <w:sz w:val="22"/>
                <w:szCs w:val="22"/>
                <w:lang w:eastAsia="es-CL"/>
              </w:rPr>
            </w:pPr>
            <w:r w:rsidRPr="00462676">
              <w:rPr>
                <w:color w:val="000000" w:themeColor="text1"/>
                <w:sz w:val="22"/>
                <w:szCs w:val="22"/>
                <w:lang w:eastAsia="es-CL"/>
              </w:rPr>
              <w:t>3936</w:t>
            </w:r>
            <w:r w:rsidRPr="00462676">
              <w:rPr>
                <w:color w:val="000000" w:themeColor="text1"/>
                <w:sz w:val="22"/>
                <w:szCs w:val="22"/>
                <w:lang w:eastAsia="es-CL"/>
              </w:rPr>
              <w:br/>
              <w:t>(164)</w:t>
            </w:r>
          </w:p>
        </w:tc>
      </w:tr>
      <w:tr w:rsidR="00462676" w:rsidRPr="00462676" w14:paraId="76F71162" w14:textId="77777777" w:rsidTr="00DA4CB7">
        <w:trPr>
          <w:trHeight w:val="20"/>
          <w:jc w:val="center"/>
        </w:trPr>
        <w:tc>
          <w:tcPr>
            <w:tcW w:w="3660" w:type="dxa"/>
            <w:tcBorders>
              <w:top w:val="nil"/>
              <w:left w:val="nil"/>
              <w:bottom w:val="nil"/>
              <w:right w:val="nil"/>
            </w:tcBorders>
            <w:shd w:val="clear" w:color="auto" w:fill="auto"/>
            <w:vAlign w:val="center"/>
          </w:tcPr>
          <w:p w14:paraId="728EE281" w14:textId="77777777" w:rsidR="00980B2B" w:rsidRPr="00462676" w:rsidRDefault="00980B2B" w:rsidP="00E627CD">
            <w:pPr>
              <w:rPr>
                <w:color w:val="000000" w:themeColor="text1"/>
                <w:sz w:val="22"/>
                <w:szCs w:val="22"/>
                <w:lang w:val="en-US"/>
              </w:rPr>
            </w:pPr>
            <w:r w:rsidRPr="00462676">
              <w:rPr>
                <w:color w:val="000000" w:themeColor="text1"/>
                <w:sz w:val="22"/>
                <w:szCs w:val="22"/>
                <w:lang w:val="en-US"/>
              </w:rPr>
              <w:t>Percentage of patients getting &gt;90MME</w:t>
            </w:r>
          </w:p>
        </w:tc>
        <w:tc>
          <w:tcPr>
            <w:tcW w:w="868" w:type="dxa"/>
            <w:tcBorders>
              <w:top w:val="nil"/>
              <w:left w:val="nil"/>
              <w:bottom w:val="nil"/>
              <w:right w:val="nil"/>
            </w:tcBorders>
            <w:shd w:val="clear" w:color="auto" w:fill="auto"/>
            <w:noWrap/>
            <w:vAlign w:val="center"/>
          </w:tcPr>
          <w:p w14:paraId="6E94519E" w14:textId="77777777" w:rsidR="00980B2B" w:rsidRPr="00462676" w:rsidRDefault="00980B2B" w:rsidP="00E627CD">
            <w:pPr>
              <w:jc w:val="center"/>
              <w:rPr>
                <w:color w:val="000000" w:themeColor="text1"/>
                <w:sz w:val="22"/>
                <w:szCs w:val="22"/>
              </w:rPr>
            </w:pPr>
            <w:r w:rsidRPr="00462676">
              <w:rPr>
                <w:color w:val="000000" w:themeColor="text1"/>
                <w:sz w:val="22"/>
                <w:szCs w:val="22"/>
              </w:rPr>
              <w:t>-1.87</w:t>
            </w:r>
          </w:p>
        </w:tc>
        <w:tc>
          <w:tcPr>
            <w:tcW w:w="963" w:type="dxa"/>
            <w:tcBorders>
              <w:top w:val="nil"/>
              <w:left w:val="nil"/>
              <w:bottom w:val="nil"/>
              <w:right w:val="nil"/>
            </w:tcBorders>
            <w:shd w:val="clear" w:color="auto" w:fill="auto"/>
            <w:noWrap/>
            <w:vAlign w:val="center"/>
          </w:tcPr>
          <w:p w14:paraId="4B0C03D2" w14:textId="77777777" w:rsidR="00980B2B" w:rsidRPr="00462676" w:rsidRDefault="00980B2B" w:rsidP="00E627CD">
            <w:pPr>
              <w:jc w:val="center"/>
              <w:rPr>
                <w:color w:val="000000" w:themeColor="text1"/>
                <w:sz w:val="22"/>
                <w:szCs w:val="22"/>
              </w:rPr>
            </w:pPr>
            <w:r w:rsidRPr="00462676">
              <w:rPr>
                <w:color w:val="000000" w:themeColor="text1"/>
                <w:sz w:val="22"/>
                <w:szCs w:val="22"/>
              </w:rPr>
              <w:t>-2.39</w:t>
            </w:r>
          </w:p>
        </w:tc>
        <w:tc>
          <w:tcPr>
            <w:tcW w:w="963" w:type="dxa"/>
            <w:tcBorders>
              <w:top w:val="nil"/>
              <w:left w:val="nil"/>
              <w:bottom w:val="nil"/>
              <w:right w:val="nil"/>
            </w:tcBorders>
            <w:shd w:val="clear" w:color="auto" w:fill="auto"/>
            <w:noWrap/>
            <w:vAlign w:val="center"/>
          </w:tcPr>
          <w:p w14:paraId="26FB7F02" w14:textId="77777777" w:rsidR="00980B2B" w:rsidRPr="00462676" w:rsidRDefault="00980B2B" w:rsidP="00E627CD">
            <w:pPr>
              <w:jc w:val="center"/>
              <w:rPr>
                <w:color w:val="000000" w:themeColor="text1"/>
                <w:sz w:val="22"/>
                <w:szCs w:val="22"/>
              </w:rPr>
            </w:pPr>
            <w:r w:rsidRPr="00462676">
              <w:rPr>
                <w:color w:val="000000" w:themeColor="text1"/>
                <w:sz w:val="22"/>
                <w:szCs w:val="22"/>
              </w:rPr>
              <w:t>-1.34</w:t>
            </w:r>
          </w:p>
        </w:tc>
        <w:tc>
          <w:tcPr>
            <w:tcW w:w="724" w:type="dxa"/>
            <w:tcBorders>
              <w:top w:val="nil"/>
              <w:left w:val="nil"/>
              <w:bottom w:val="nil"/>
              <w:right w:val="nil"/>
            </w:tcBorders>
            <w:vAlign w:val="center"/>
          </w:tcPr>
          <w:p w14:paraId="194442E6" w14:textId="77777777" w:rsidR="00980B2B" w:rsidRPr="00462676" w:rsidRDefault="00980B2B" w:rsidP="00E627CD">
            <w:pPr>
              <w:jc w:val="center"/>
              <w:rPr>
                <w:color w:val="000000" w:themeColor="text1"/>
                <w:sz w:val="22"/>
                <w:szCs w:val="22"/>
              </w:rPr>
            </w:pPr>
            <w:r w:rsidRPr="00462676">
              <w:rPr>
                <w:color w:val="000000" w:themeColor="text1"/>
                <w:sz w:val="22"/>
                <w:szCs w:val="22"/>
              </w:rPr>
              <w:t>-7.37</w:t>
            </w:r>
          </w:p>
        </w:tc>
        <w:tc>
          <w:tcPr>
            <w:tcW w:w="891" w:type="dxa"/>
            <w:tcBorders>
              <w:top w:val="nil"/>
              <w:left w:val="nil"/>
              <w:bottom w:val="nil"/>
              <w:right w:val="nil"/>
            </w:tcBorders>
            <w:vAlign w:val="center"/>
          </w:tcPr>
          <w:p w14:paraId="6AC73CDB" w14:textId="77777777" w:rsidR="00980B2B" w:rsidRPr="00462676" w:rsidRDefault="00980B2B" w:rsidP="00E627CD">
            <w:pPr>
              <w:jc w:val="center"/>
              <w:rPr>
                <w:color w:val="000000" w:themeColor="text1"/>
                <w:sz w:val="22"/>
                <w:szCs w:val="22"/>
              </w:rPr>
            </w:pPr>
            <w:r w:rsidRPr="00462676">
              <w:rPr>
                <w:color w:val="000000" w:themeColor="text1"/>
                <w:sz w:val="22"/>
                <w:szCs w:val="22"/>
              </w:rPr>
              <w:t>&lt;0.001</w:t>
            </w:r>
          </w:p>
        </w:tc>
        <w:tc>
          <w:tcPr>
            <w:tcW w:w="1145" w:type="dxa"/>
            <w:tcBorders>
              <w:top w:val="nil"/>
              <w:left w:val="nil"/>
              <w:bottom w:val="nil"/>
              <w:right w:val="nil"/>
            </w:tcBorders>
            <w:vAlign w:val="center"/>
          </w:tcPr>
          <w:p w14:paraId="78768C73" w14:textId="77777777" w:rsidR="00980B2B" w:rsidRPr="00462676" w:rsidRDefault="00980B2B" w:rsidP="00E627CD">
            <w:pPr>
              <w:jc w:val="center"/>
              <w:rPr>
                <w:color w:val="000000" w:themeColor="text1"/>
                <w:sz w:val="22"/>
                <w:szCs w:val="22"/>
                <w:lang w:eastAsia="es-CL"/>
              </w:rPr>
            </w:pPr>
            <w:r w:rsidRPr="00462676">
              <w:rPr>
                <w:color w:val="000000" w:themeColor="text1"/>
                <w:sz w:val="22"/>
                <w:szCs w:val="22"/>
                <w:lang w:eastAsia="es-CL"/>
              </w:rPr>
              <w:t>3936</w:t>
            </w:r>
            <w:r w:rsidRPr="00462676">
              <w:rPr>
                <w:color w:val="000000" w:themeColor="text1"/>
                <w:sz w:val="22"/>
                <w:szCs w:val="22"/>
                <w:lang w:eastAsia="es-CL"/>
              </w:rPr>
              <w:br/>
              <w:t>(164)</w:t>
            </w:r>
          </w:p>
        </w:tc>
      </w:tr>
      <w:tr w:rsidR="00462676" w:rsidRPr="00462676" w14:paraId="258B530F" w14:textId="77777777" w:rsidTr="00DA4CB7">
        <w:trPr>
          <w:trHeight w:val="20"/>
          <w:jc w:val="center"/>
        </w:trPr>
        <w:tc>
          <w:tcPr>
            <w:tcW w:w="3660" w:type="dxa"/>
            <w:tcBorders>
              <w:top w:val="nil"/>
              <w:left w:val="nil"/>
              <w:bottom w:val="nil"/>
              <w:right w:val="nil"/>
            </w:tcBorders>
            <w:shd w:val="clear" w:color="auto" w:fill="auto"/>
            <w:vAlign w:val="center"/>
          </w:tcPr>
          <w:p w14:paraId="7F62D54F" w14:textId="77777777" w:rsidR="00980B2B" w:rsidRPr="00462676" w:rsidRDefault="00980B2B" w:rsidP="00E627CD">
            <w:pPr>
              <w:rPr>
                <w:color w:val="000000" w:themeColor="text1"/>
                <w:sz w:val="22"/>
                <w:szCs w:val="22"/>
                <w:lang w:val="en-US"/>
              </w:rPr>
            </w:pPr>
            <w:r w:rsidRPr="00462676">
              <w:rPr>
                <w:color w:val="000000" w:themeColor="text1"/>
                <w:sz w:val="22"/>
                <w:szCs w:val="22"/>
                <w:lang w:val="en-US"/>
              </w:rPr>
              <w:t>Percentage of days with overlapping prescriptions for opioid and benzodiazepines</w:t>
            </w:r>
          </w:p>
        </w:tc>
        <w:tc>
          <w:tcPr>
            <w:tcW w:w="868" w:type="dxa"/>
            <w:tcBorders>
              <w:top w:val="nil"/>
              <w:left w:val="nil"/>
              <w:bottom w:val="nil"/>
              <w:right w:val="nil"/>
            </w:tcBorders>
            <w:shd w:val="clear" w:color="auto" w:fill="auto"/>
            <w:noWrap/>
            <w:vAlign w:val="center"/>
          </w:tcPr>
          <w:p w14:paraId="0D9E2985" w14:textId="77777777" w:rsidR="00980B2B" w:rsidRPr="00462676" w:rsidRDefault="00980B2B" w:rsidP="00E627CD">
            <w:pPr>
              <w:jc w:val="center"/>
              <w:rPr>
                <w:color w:val="000000" w:themeColor="text1"/>
                <w:sz w:val="22"/>
                <w:szCs w:val="22"/>
              </w:rPr>
            </w:pPr>
            <w:r w:rsidRPr="00462676">
              <w:rPr>
                <w:color w:val="000000" w:themeColor="text1"/>
                <w:sz w:val="22"/>
                <w:szCs w:val="22"/>
              </w:rPr>
              <w:t>-0.07</w:t>
            </w:r>
          </w:p>
        </w:tc>
        <w:tc>
          <w:tcPr>
            <w:tcW w:w="963" w:type="dxa"/>
            <w:tcBorders>
              <w:top w:val="nil"/>
              <w:left w:val="nil"/>
              <w:bottom w:val="nil"/>
              <w:right w:val="nil"/>
            </w:tcBorders>
            <w:shd w:val="clear" w:color="auto" w:fill="auto"/>
            <w:noWrap/>
            <w:vAlign w:val="center"/>
          </w:tcPr>
          <w:p w14:paraId="07AB8380" w14:textId="77777777" w:rsidR="00980B2B" w:rsidRPr="00462676" w:rsidRDefault="00980B2B" w:rsidP="00E627CD">
            <w:pPr>
              <w:jc w:val="center"/>
              <w:rPr>
                <w:color w:val="000000" w:themeColor="text1"/>
                <w:sz w:val="22"/>
                <w:szCs w:val="22"/>
              </w:rPr>
            </w:pPr>
            <w:r w:rsidRPr="00462676">
              <w:rPr>
                <w:color w:val="000000" w:themeColor="text1"/>
                <w:sz w:val="22"/>
                <w:szCs w:val="22"/>
              </w:rPr>
              <w:t>-0.50</w:t>
            </w:r>
          </w:p>
        </w:tc>
        <w:tc>
          <w:tcPr>
            <w:tcW w:w="963" w:type="dxa"/>
            <w:tcBorders>
              <w:top w:val="nil"/>
              <w:left w:val="nil"/>
              <w:bottom w:val="nil"/>
              <w:right w:val="nil"/>
            </w:tcBorders>
            <w:shd w:val="clear" w:color="auto" w:fill="auto"/>
            <w:noWrap/>
            <w:vAlign w:val="center"/>
          </w:tcPr>
          <w:p w14:paraId="59E0711B" w14:textId="77777777" w:rsidR="00980B2B" w:rsidRPr="00462676" w:rsidRDefault="00980B2B" w:rsidP="00E627CD">
            <w:pPr>
              <w:jc w:val="center"/>
              <w:rPr>
                <w:color w:val="000000" w:themeColor="text1"/>
                <w:sz w:val="22"/>
                <w:szCs w:val="22"/>
              </w:rPr>
            </w:pPr>
            <w:r w:rsidRPr="00462676">
              <w:rPr>
                <w:color w:val="000000" w:themeColor="text1"/>
                <w:sz w:val="22"/>
                <w:szCs w:val="22"/>
              </w:rPr>
              <w:t>0.36</w:t>
            </w:r>
          </w:p>
        </w:tc>
        <w:tc>
          <w:tcPr>
            <w:tcW w:w="724" w:type="dxa"/>
            <w:tcBorders>
              <w:top w:val="nil"/>
              <w:left w:val="nil"/>
              <w:bottom w:val="nil"/>
              <w:right w:val="nil"/>
            </w:tcBorders>
            <w:vAlign w:val="center"/>
          </w:tcPr>
          <w:p w14:paraId="12600E13" w14:textId="77777777" w:rsidR="00980B2B" w:rsidRPr="00462676" w:rsidRDefault="00980B2B" w:rsidP="00E627CD">
            <w:pPr>
              <w:jc w:val="center"/>
              <w:rPr>
                <w:color w:val="000000" w:themeColor="text1"/>
                <w:sz w:val="22"/>
                <w:szCs w:val="22"/>
              </w:rPr>
            </w:pPr>
            <w:r w:rsidRPr="00462676">
              <w:rPr>
                <w:color w:val="000000" w:themeColor="text1"/>
                <w:sz w:val="22"/>
                <w:szCs w:val="22"/>
              </w:rPr>
              <w:t>-0.34</w:t>
            </w:r>
          </w:p>
        </w:tc>
        <w:tc>
          <w:tcPr>
            <w:tcW w:w="891" w:type="dxa"/>
            <w:tcBorders>
              <w:top w:val="nil"/>
              <w:left w:val="nil"/>
              <w:bottom w:val="nil"/>
              <w:right w:val="nil"/>
            </w:tcBorders>
            <w:vAlign w:val="center"/>
          </w:tcPr>
          <w:p w14:paraId="0A08ACA6" w14:textId="77777777" w:rsidR="00980B2B" w:rsidRPr="00462676" w:rsidRDefault="00980B2B" w:rsidP="00E627CD">
            <w:pPr>
              <w:jc w:val="center"/>
              <w:rPr>
                <w:color w:val="000000" w:themeColor="text1"/>
                <w:sz w:val="22"/>
                <w:szCs w:val="22"/>
              </w:rPr>
            </w:pPr>
            <w:r w:rsidRPr="00462676">
              <w:rPr>
                <w:color w:val="000000" w:themeColor="text1"/>
                <w:sz w:val="22"/>
                <w:szCs w:val="22"/>
              </w:rPr>
              <w:t>0.7339</w:t>
            </w:r>
          </w:p>
        </w:tc>
        <w:tc>
          <w:tcPr>
            <w:tcW w:w="1145" w:type="dxa"/>
            <w:tcBorders>
              <w:top w:val="nil"/>
              <w:left w:val="nil"/>
              <w:bottom w:val="nil"/>
              <w:right w:val="nil"/>
            </w:tcBorders>
            <w:vAlign w:val="center"/>
          </w:tcPr>
          <w:p w14:paraId="09D40332" w14:textId="77777777" w:rsidR="00980B2B" w:rsidRPr="00462676" w:rsidRDefault="00980B2B" w:rsidP="00E627CD">
            <w:pPr>
              <w:jc w:val="center"/>
              <w:rPr>
                <w:color w:val="000000" w:themeColor="text1"/>
                <w:sz w:val="22"/>
                <w:szCs w:val="22"/>
                <w:lang w:eastAsia="es-CL"/>
              </w:rPr>
            </w:pPr>
            <w:r w:rsidRPr="00462676">
              <w:rPr>
                <w:color w:val="000000" w:themeColor="text1"/>
                <w:sz w:val="22"/>
                <w:szCs w:val="22"/>
                <w:lang w:eastAsia="es-CL"/>
              </w:rPr>
              <w:t>3936</w:t>
            </w:r>
            <w:r w:rsidRPr="00462676">
              <w:rPr>
                <w:color w:val="000000" w:themeColor="text1"/>
                <w:sz w:val="22"/>
                <w:szCs w:val="22"/>
                <w:lang w:eastAsia="es-CL"/>
              </w:rPr>
              <w:br/>
              <w:t>(164)</w:t>
            </w:r>
          </w:p>
        </w:tc>
      </w:tr>
      <w:tr w:rsidR="00462676" w:rsidRPr="00462676" w14:paraId="6E0370D4" w14:textId="77777777" w:rsidTr="00DA4CB7">
        <w:trPr>
          <w:trHeight w:val="20"/>
          <w:jc w:val="center"/>
        </w:trPr>
        <w:tc>
          <w:tcPr>
            <w:tcW w:w="3660" w:type="dxa"/>
            <w:tcBorders>
              <w:top w:val="nil"/>
              <w:left w:val="nil"/>
              <w:bottom w:val="nil"/>
              <w:right w:val="nil"/>
            </w:tcBorders>
            <w:shd w:val="clear" w:color="auto" w:fill="auto"/>
            <w:vAlign w:val="center"/>
          </w:tcPr>
          <w:p w14:paraId="6CFE1B45" w14:textId="77777777" w:rsidR="00980B2B" w:rsidRPr="00462676" w:rsidRDefault="00980B2B" w:rsidP="00E627CD">
            <w:pPr>
              <w:rPr>
                <w:color w:val="000000" w:themeColor="text1"/>
                <w:sz w:val="22"/>
                <w:szCs w:val="22"/>
                <w:lang w:val="en-US"/>
              </w:rPr>
            </w:pPr>
            <w:r w:rsidRPr="00462676">
              <w:rPr>
                <w:color w:val="000000" w:themeColor="text1"/>
                <w:sz w:val="22"/>
                <w:szCs w:val="22"/>
                <w:lang w:val="en-US"/>
              </w:rPr>
              <w:t>Multiple provider episodes per 100,000 residents</w:t>
            </w:r>
          </w:p>
        </w:tc>
        <w:tc>
          <w:tcPr>
            <w:tcW w:w="868" w:type="dxa"/>
            <w:tcBorders>
              <w:top w:val="nil"/>
              <w:left w:val="nil"/>
              <w:bottom w:val="nil"/>
              <w:right w:val="nil"/>
            </w:tcBorders>
            <w:shd w:val="clear" w:color="auto" w:fill="auto"/>
            <w:noWrap/>
            <w:vAlign w:val="center"/>
          </w:tcPr>
          <w:p w14:paraId="6B692870" w14:textId="77777777" w:rsidR="00980B2B" w:rsidRPr="00462676" w:rsidRDefault="00980B2B" w:rsidP="00E627CD">
            <w:pPr>
              <w:jc w:val="center"/>
              <w:rPr>
                <w:color w:val="000000" w:themeColor="text1"/>
                <w:sz w:val="22"/>
                <w:szCs w:val="22"/>
              </w:rPr>
            </w:pPr>
            <w:r w:rsidRPr="00462676">
              <w:rPr>
                <w:color w:val="000000" w:themeColor="text1"/>
                <w:sz w:val="22"/>
                <w:szCs w:val="22"/>
              </w:rPr>
              <w:t>-0.37</w:t>
            </w:r>
          </w:p>
        </w:tc>
        <w:tc>
          <w:tcPr>
            <w:tcW w:w="963" w:type="dxa"/>
            <w:tcBorders>
              <w:top w:val="nil"/>
              <w:left w:val="nil"/>
              <w:bottom w:val="nil"/>
              <w:right w:val="nil"/>
            </w:tcBorders>
            <w:shd w:val="clear" w:color="auto" w:fill="auto"/>
            <w:noWrap/>
            <w:vAlign w:val="center"/>
          </w:tcPr>
          <w:p w14:paraId="3C4152FD" w14:textId="77777777" w:rsidR="00980B2B" w:rsidRPr="00462676" w:rsidRDefault="00980B2B" w:rsidP="00E627CD">
            <w:pPr>
              <w:jc w:val="center"/>
              <w:rPr>
                <w:color w:val="000000" w:themeColor="text1"/>
                <w:sz w:val="22"/>
                <w:szCs w:val="22"/>
              </w:rPr>
            </w:pPr>
            <w:r w:rsidRPr="00462676">
              <w:rPr>
                <w:color w:val="000000" w:themeColor="text1"/>
                <w:sz w:val="22"/>
                <w:szCs w:val="22"/>
              </w:rPr>
              <w:t>-1.15</w:t>
            </w:r>
          </w:p>
        </w:tc>
        <w:tc>
          <w:tcPr>
            <w:tcW w:w="963" w:type="dxa"/>
            <w:tcBorders>
              <w:top w:val="nil"/>
              <w:left w:val="nil"/>
              <w:bottom w:val="nil"/>
              <w:right w:val="nil"/>
            </w:tcBorders>
            <w:shd w:val="clear" w:color="auto" w:fill="auto"/>
            <w:noWrap/>
            <w:vAlign w:val="center"/>
          </w:tcPr>
          <w:p w14:paraId="311988F4" w14:textId="77777777" w:rsidR="00980B2B" w:rsidRPr="00462676" w:rsidRDefault="00980B2B" w:rsidP="00E627CD">
            <w:pPr>
              <w:jc w:val="center"/>
              <w:rPr>
                <w:color w:val="000000" w:themeColor="text1"/>
                <w:sz w:val="22"/>
                <w:szCs w:val="22"/>
              </w:rPr>
            </w:pPr>
            <w:r w:rsidRPr="00462676">
              <w:rPr>
                <w:color w:val="000000" w:themeColor="text1"/>
                <w:sz w:val="22"/>
                <w:szCs w:val="22"/>
              </w:rPr>
              <w:t>0.41</w:t>
            </w:r>
          </w:p>
        </w:tc>
        <w:tc>
          <w:tcPr>
            <w:tcW w:w="724" w:type="dxa"/>
            <w:tcBorders>
              <w:top w:val="nil"/>
              <w:left w:val="nil"/>
              <w:bottom w:val="nil"/>
              <w:right w:val="nil"/>
            </w:tcBorders>
            <w:vAlign w:val="center"/>
          </w:tcPr>
          <w:p w14:paraId="3BA7D8B3" w14:textId="77777777" w:rsidR="00980B2B" w:rsidRPr="00462676" w:rsidRDefault="00980B2B" w:rsidP="00E627CD">
            <w:pPr>
              <w:jc w:val="center"/>
              <w:rPr>
                <w:color w:val="000000" w:themeColor="text1"/>
                <w:sz w:val="22"/>
                <w:szCs w:val="22"/>
              </w:rPr>
            </w:pPr>
            <w:r w:rsidRPr="00462676">
              <w:rPr>
                <w:color w:val="000000" w:themeColor="text1"/>
                <w:sz w:val="22"/>
                <w:szCs w:val="22"/>
              </w:rPr>
              <w:t>-0.99</w:t>
            </w:r>
          </w:p>
        </w:tc>
        <w:tc>
          <w:tcPr>
            <w:tcW w:w="891" w:type="dxa"/>
            <w:tcBorders>
              <w:top w:val="nil"/>
              <w:left w:val="nil"/>
              <w:bottom w:val="nil"/>
              <w:right w:val="nil"/>
            </w:tcBorders>
            <w:vAlign w:val="center"/>
          </w:tcPr>
          <w:p w14:paraId="31311F9F" w14:textId="77777777" w:rsidR="00980B2B" w:rsidRPr="00462676" w:rsidRDefault="00980B2B" w:rsidP="00E627CD">
            <w:pPr>
              <w:jc w:val="center"/>
              <w:rPr>
                <w:color w:val="000000" w:themeColor="text1"/>
                <w:sz w:val="22"/>
                <w:szCs w:val="22"/>
              </w:rPr>
            </w:pPr>
            <w:r w:rsidRPr="00462676">
              <w:rPr>
                <w:color w:val="000000" w:themeColor="text1"/>
                <w:sz w:val="22"/>
                <w:szCs w:val="22"/>
              </w:rPr>
              <w:t>0.3336</w:t>
            </w:r>
          </w:p>
        </w:tc>
        <w:tc>
          <w:tcPr>
            <w:tcW w:w="1145" w:type="dxa"/>
            <w:tcBorders>
              <w:top w:val="nil"/>
              <w:left w:val="nil"/>
              <w:bottom w:val="nil"/>
              <w:right w:val="nil"/>
            </w:tcBorders>
            <w:vAlign w:val="center"/>
          </w:tcPr>
          <w:p w14:paraId="4496F360" w14:textId="77777777" w:rsidR="00980B2B" w:rsidRPr="00462676" w:rsidRDefault="00980B2B" w:rsidP="00E627CD">
            <w:pPr>
              <w:jc w:val="center"/>
              <w:rPr>
                <w:color w:val="000000" w:themeColor="text1"/>
                <w:sz w:val="22"/>
                <w:szCs w:val="22"/>
                <w:lang w:eastAsia="es-CL"/>
              </w:rPr>
            </w:pPr>
            <w:r w:rsidRPr="00462676">
              <w:rPr>
                <w:color w:val="000000" w:themeColor="text1"/>
                <w:sz w:val="22"/>
                <w:szCs w:val="22"/>
                <w:lang w:eastAsia="es-CL"/>
              </w:rPr>
              <w:t>3936</w:t>
            </w:r>
            <w:r w:rsidRPr="00462676">
              <w:rPr>
                <w:color w:val="000000" w:themeColor="text1"/>
                <w:sz w:val="22"/>
                <w:szCs w:val="22"/>
                <w:lang w:eastAsia="es-CL"/>
              </w:rPr>
              <w:br/>
              <w:t>(164)</w:t>
            </w:r>
          </w:p>
        </w:tc>
      </w:tr>
      <w:tr w:rsidR="00462676" w:rsidRPr="00462676" w14:paraId="03B94DED" w14:textId="77777777" w:rsidTr="00DA4CB7">
        <w:trPr>
          <w:trHeight w:val="20"/>
          <w:jc w:val="center"/>
        </w:trPr>
        <w:tc>
          <w:tcPr>
            <w:tcW w:w="3660" w:type="dxa"/>
            <w:tcBorders>
              <w:top w:val="nil"/>
              <w:left w:val="nil"/>
              <w:right w:val="nil"/>
            </w:tcBorders>
            <w:shd w:val="clear" w:color="auto" w:fill="auto"/>
            <w:vAlign w:val="center"/>
          </w:tcPr>
          <w:p w14:paraId="150C75BF" w14:textId="77777777" w:rsidR="00980B2B" w:rsidRPr="00462676" w:rsidRDefault="00980B2B" w:rsidP="00E627CD">
            <w:pPr>
              <w:rPr>
                <w:color w:val="000000" w:themeColor="text1"/>
                <w:sz w:val="22"/>
                <w:szCs w:val="22"/>
                <w:lang w:val="en-US"/>
              </w:rPr>
            </w:pPr>
            <w:r w:rsidRPr="00462676">
              <w:rPr>
                <w:color w:val="000000" w:themeColor="text1"/>
                <w:sz w:val="22"/>
                <w:szCs w:val="22"/>
                <w:lang w:val="en-US"/>
              </w:rPr>
              <w:t>Prescribers’ mean number of opioid prescriptions per day</w:t>
            </w:r>
          </w:p>
        </w:tc>
        <w:tc>
          <w:tcPr>
            <w:tcW w:w="868" w:type="dxa"/>
            <w:tcBorders>
              <w:top w:val="nil"/>
              <w:left w:val="nil"/>
              <w:bottom w:val="nil"/>
              <w:right w:val="nil"/>
            </w:tcBorders>
            <w:shd w:val="clear" w:color="auto" w:fill="auto"/>
            <w:noWrap/>
            <w:vAlign w:val="center"/>
          </w:tcPr>
          <w:p w14:paraId="1A0DD643" w14:textId="77777777" w:rsidR="00980B2B" w:rsidRPr="00462676" w:rsidRDefault="00980B2B" w:rsidP="00E627CD">
            <w:pPr>
              <w:jc w:val="center"/>
              <w:rPr>
                <w:color w:val="000000" w:themeColor="text1"/>
                <w:sz w:val="22"/>
                <w:szCs w:val="22"/>
              </w:rPr>
            </w:pPr>
            <w:r w:rsidRPr="00462676">
              <w:rPr>
                <w:color w:val="000000" w:themeColor="text1"/>
                <w:sz w:val="22"/>
                <w:szCs w:val="22"/>
              </w:rPr>
              <w:t>-0.04</w:t>
            </w:r>
          </w:p>
        </w:tc>
        <w:tc>
          <w:tcPr>
            <w:tcW w:w="963" w:type="dxa"/>
            <w:tcBorders>
              <w:top w:val="nil"/>
              <w:left w:val="nil"/>
              <w:bottom w:val="nil"/>
              <w:right w:val="nil"/>
            </w:tcBorders>
            <w:shd w:val="clear" w:color="auto" w:fill="auto"/>
            <w:noWrap/>
            <w:vAlign w:val="center"/>
          </w:tcPr>
          <w:p w14:paraId="1FE192D2" w14:textId="77777777" w:rsidR="00980B2B" w:rsidRPr="00462676" w:rsidRDefault="00980B2B" w:rsidP="00E627CD">
            <w:pPr>
              <w:jc w:val="center"/>
              <w:rPr>
                <w:color w:val="000000" w:themeColor="text1"/>
                <w:sz w:val="22"/>
                <w:szCs w:val="22"/>
              </w:rPr>
            </w:pPr>
            <w:r w:rsidRPr="00462676">
              <w:rPr>
                <w:color w:val="000000" w:themeColor="text1"/>
                <w:sz w:val="22"/>
                <w:szCs w:val="22"/>
              </w:rPr>
              <w:t>-0.08</w:t>
            </w:r>
          </w:p>
        </w:tc>
        <w:tc>
          <w:tcPr>
            <w:tcW w:w="963" w:type="dxa"/>
            <w:tcBorders>
              <w:top w:val="nil"/>
              <w:left w:val="nil"/>
              <w:bottom w:val="nil"/>
              <w:right w:val="nil"/>
            </w:tcBorders>
            <w:shd w:val="clear" w:color="auto" w:fill="auto"/>
            <w:noWrap/>
            <w:vAlign w:val="center"/>
          </w:tcPr>
          <w:p w14:paraId="2BCA4AE5" w14:textId="77777777" w:rsidR="00980B2B" w:rsidRPr="00462676" w:rsidRDefault="00980B2B" w:rsidP="00E627CD">
            <w:pPr>
              <w:jc w:val="center"/>
              <w:rPr>
                <w:color w:val="000000" w:themeColor="text1"/>
                <w:sz w:val="22"/>
                <w:szCs w:val="22"/>
              </w:rPr>
            </w:pPr>
            <w:r w:rsidRPr="00462676">
              <w:rPr>
                <w:color w:val="000000" w:themeColor="text1"/>
                <w:sz w:val="22"/>
                <w:szCs w:val="22"/>
              </w:rPr>
              <w:t>0.00</w:t>
            </w:r>
          </w:p>
        </w:tc>
        <w:tc>
          <w:tcPr>
            <w:tcW w:w="724" w:type="dxa"/>
            <w:tcBorders>
              <w:top w:val="nil"/>
              <w:left w:val="nil"/>
              <w:bottom w:val="nil"/>
              <w:right w:val="nil"/>
            </w:tcBorders>
            <w:vAlign w:val="center"/>
          </w:tcPr>
          <w:p w14:paraId="0AA80D69" w14:textId="77777777" w:rsidR="00980B2B" w:rsidRPr="00462676" w:rsidRDefault="00980B2B" w:rsidP="00E627CD">
            <w:pPr>
              <w:jc w:val="center"/>
              <w:rPr>
                <w:color w:val="000000" w:themeColor="text1"/>
                <w:sz w:val="22"/>
                <w:szCs w:val="22"/>
              </w:rPr>
            </w:pPr>
            <w:r w:rsidRPr="00462676">
              <w:rPr>
                <w:color w:val="000000" w:themeColor="text1"/>
                <w:sz w:val="22"/>
                <w:szCs w:val="22"/>
              </w:rPr>
              <w:t>-2.02</w:t>
            </w:r>
          </w:p>
        </w:tc>
        <w:tc>
          <w:tcPr>
            <w:tcW w:w="891" w:type="dxa"/>
            <w:tcBorders>
              <w:top w:val="nil"/>
              <w:left w:val="nil"/>
              <w:bottom w:val="nil"/>
              <w:right w:val="nil"/>
            </w:tcBorders>
            <w:vAlign w:val="center"/>
          </w:tcPr>
          <w:p w14:paraId="6C171CEE" w14:textId="77777777" w:rsidR="00980B2B" w:rsidRPr="00462676" w:rsidRDefault="00980B2B" w:rsidP="00E627CD">
            <w:pPr>
              <w:jc w:val="center"/>
              <w:rPr>
                <w:color w:val="000000" w:themeColor="text1"/>
                <w:sz w:val="22"/>
                <w:szCs w:val="22"/>
              </w:rPr>
            </w:pPr>
            <w:r w:rsidRPr="00462676">
              <w:rPr>
                <w:color w:val="000000" w:themeColor="text1"/>
                <w:sz w:val="22"/>
                <w:szCs w:val="22"/>
              </w:rPr>
              <w:t>0.0553</w:t>
            </w:r>
          </w:p>
        </w:tc>
        <w:tc>
          <w:tcPr>
            <w:tcW w:w="1145" w:type="dxa"/>
            <w:tcBorders>
              <w:top w:val="nil"/>
              <w:left w:val="nil"/>
              <w:bottom w:val="nil"/>
              <w:right w:val="nil"/>
            </w:tcBorders>
            <w:vAlign w:val="center"/>
          </w:tcPr>
          <w:p w14:paraId="4DBDC19C" w14:textId="77777777" w:rsidR="00980B2B" w:rsidRPr="00462676" w:rsidRDefault="00980B2B" w:rsidP="00E627CD">
            <w:pPr>
              <w:jc w:val="center"/>
              <w:rPr>
                <w:color w:val="000000" w:themeColor="text1"/>
                <w:sz w:val="22"/>
                <w:szCs w:val="22"/>
                <w:lang w:eastAsia="es-CL"/>
              </w:rPr>
            </w:pPr>
            <w:r w:rsidRPr="00462676">
              <w:rPr>
                <w:color w:val="000000" w:themeColor="text1"/>
                <w:sz w:val="22"/>
                <w:szCs w:val="22"/>
                <w:lang w:eastAsia="es-CL"/>
              </w:rPr>
              <w:t>3924</w:t>
            </w:r>
            <w:r w:rsidRPr="00462676">
              <w:rPr>
                <w:color w:val="000000" w:themeColor="text1"/>
                <w:sz w:val="22"/>
                <w:szCs w:val="22"/>
                <w:lang w:eastAsia="es-CL"/>
              </w:rPr>
              <w:br/>
              <w:t>(164)</w:t>
            </w:r>
          </w:p>
        </w:tc>
      </w:tr>
      <w:tr w:rsidR="00462676" w:rsidRPr="00462676" w14:paraId="0AEFB2AD" w14:textId="77777777" w:rsidTr="00DA4CB7">
        <w:trPr>
          <w:trHeight w:val="20"/>
          <w:jc w:val="center"/>
        </w:trPr>
        <w:tc>
          <w:tcPr>
            <w:tcW w:w="3660" w:type="dxa"/>
            <w:tcBorders>
              <w:top w:val="nil"/>
              <w:left w:val="nil"/>
              <w:bottom w:val="single" w:sz="4" w:space="0" w:color="auto"/>
              <w:right w:val="nil"/>
            </w:tcBorders>
            <w:shd w:val="clear" w:color="auto" w:fill="auto"/>
            <w:vAlign w:val="center"/>
          </w:tcPr>
          <w:p w14:paraId="76EF1ED0" w14:textId="77777777" w:rsidR="00980B2B" w:rsidRPr="00462676" w:rsidRDefault="00980B2B" w:rsidP="00E627CD">
            <w:pPr>
              <w:rPr>
                <w:color w:val="000000" w:themeColor="text1"/>
                <w:sz w:val="22"/>
                <w:szCs w:val="22"/>
                <w:lang w:val="en-US"/>
              </w:rPr>
            </w:pPr>
            <w:r w:rsidRPr="00462676">
              <w:rPr>
                <w:color w:val="000000" w:themeColor="text1"/>
                <w:sz w:val="22"/>
                <w:szCs w:val="22"/>
                <w:lang w:val="en-US"/>
              </w:rPr>
              <w:t>Prescribers’ mean daily MME prescribed</w:t>
            </w:r>
          </w:p>
        </w:tc>
        <w:tc>
          <w:tcPr>
            <w:tcW w:w="868" w:type="dxa"/>
            <w:tcBorders>
              <w:top w:val="nil"/>
              <w:left w:val="nil"/>
              <w:bottom w:val="single" w:sz="4" w:space="0" w:color="auto"/>
              <w:right w:val="nil"/>
            </w:tcBorders>
            <w:shd w:val="clear" w:color="auto" w:fill="auto"/>
            <w:noWrap/>
            <w:vAlign w:val="center"/>
          </w:tcPr>
          <w:p w14:paraId="4E7E07B9" w14:textId="77777777" w:rsidR="00980B2B" w:rsidRPr="00462676" w:rsidRDefault="00980B2B" w:rsidP="00E627CD">
            <w:pPr>
              <w:jc w:val="center"/>
              <w:rPr>
                <w:color w:val="000000" w:themeColor="text1"/>
                <w:sz w:val="22"/>
                <w:szCs w:val="22"/>
              </w:rPr>
            </w:pPr>
            <w:r w:rsidRPr="00462676">
              <w:rPr>
                <w:color w:val="000000" w:themeColor="text1"/>
                <w:sz w:val="22"/>
                <w:szCs w:val="22"/>
              </w:rPr>
              <w:t>-8.93</w:t>
            </w:r>
          </w:p>
        </w:tc>
        <w:tc>
          <w:tcPr>
            <w:tcW w:w="963" w:type="dxa"/>
            <w:tcBorders>
              <w:top w:val="nil"/>
              <w:left w:val="nil"/>
              <w:bottom w:val="single" w:sz="4" w:space="0" w:color="auto"/>
              <w:right w:val="nil"/>
            </w:tcBorders>
            <w:shd w:val="clear" w:color="auto" w:fill="auto"/>
            <w:noWrap/>
            <w:vAlign w:val="center"/>
          </w:tcPr>
          <w:p w14:paraId="53FB2F47" w14:textId="77777777" w:rsidR="00980B2B" w:rsidRPr="00462676" w:rsidRDefault="00980B2B" w:rsidP="00E627CD">
            <w:pPr>
              <w:jc w:val="center"/>
              <w:rPr>
                <w:color w:val="000000" w:themeColor="text1"/>
                <w:sz w:val="22"/>
                <w:szCs w:val="22"/>
              </w:rPr>
            </w:pPr>
            <w:r w:rsidRPr="00462676">
              <w:rPr>
                <w:color w:val="000000" w:themeColor="text1"/>
                <w:sz w:val="22"/>
                <w:szCs w:val="22"/>
              </w:rPr>
              <w:t>-12.37</w:t>
            </w:r>
          </w:p>
        </w:tc>
        <w:tc>
          <w:tcPr>
            <w:tcW w:w="963" w:type="dxa"/>
            <w:tcBorders>
              <w:top w:val="nil"/>
              <w:left w:val="nil"/>
              <w:bottom w:val="single" w:sz="4" w:space="0" w:color="auto"/>
              <w:right w:val="nil"/>
            </w:tcBorders>
            <w:shd w:val="clear" w:color="auto" w:fill="auto"/>
            <w:noWrap/>
            <w:vAlign w:val="center"/>
          </w:tcPr>
          <w:p w14:paraId="6651A649" w14:textId="77777777" w:rsidR="00980B2B" w:rsidRPr="00462676" w:rsidRDefault="00980B2B" w:rsidP="00E627CD">
            <w:pPr>
              <w:jc w:val="center"/>
              <w:rPr>
                <w:color w:val="000000" w:themeColor="text1"/>
                <w:sz w:val="22"/>
                <w:szCs w:val="22"/>
              </w:rPr>
            </w:pPr>
            <w:r w:rsidRPr="00462676">
              <w:rPr>
                <w:color w:val="000000" w:themeColor="text1"/>
                <w:sz w:val="22"/>
                <w:szCs w:val="22"/>
              </w:rPr>
              <w:t>-5.49</w:t>
            </w:r>
          </w:p>
        </w:tc>
        <w:tc>
          <w:tcPr>
            <w:tcW w:w="724" w:type="dxa"/>
            <w:tcBorders>
              <w:top w:val="nil"/>
              <w:left w:val="nil"/>
              <w:bottom w:val="single" w:sz="4" w:space="0" w:color="auto"/>
              <w:right w:val="nil"/>
            </w:tcBorders>
            <w:vAlign w:val="center"/>
          </w:tcPr>
          <w:p w14:paraId="65652325" w14:textId="77777777" w:rsidR="00980B2B" w:rsidRPr="00462676" w:rsidRDefault="00980B2B" w:rsidP="00E627CD">
            <w:pPr>
              <w:jc w:val="center"/>
              <w:rPr>
                <w:color w:val="000000" w:themeColor="text1"/>
                <w:sz w:val="22"/>
                <w:szCs w:val="22"/>
              </w:rPr>
            </w:pPr>
            <w:r w:rsidRPr="00462676">
              <w:rPr>
                <w:color w:val="000000" w:themeColor="text1"/>
                <w:sz w:val="22"/>
                <w:szCs w:val="22"/>
              </w:rPr>
              <w:t>-5.37</w:t>
            </w:r>
          </w:p>
        </w:tc>
        <w:tc>
          <w:tcPr>
            <w:tcW w:w="891" w:type="dxa"/>
            <w:tcBorders>
              <w:top w:val="nil"/>
              <w:left w:val="nil"/>
              <w:bottom w:val="single" w:sz="4" w:space="0" w:color="auto"/>
              <w:right w:val="nil"/>
            </w:tcBorders>
            <w:vAlign w:val="center"/>
          </w:tcPr>
          <w:p w14:paraId="74024078" w14:textId="77777777" w:rsidR="00980B2B" w:rsidRPr="00462676" w:rsidRDefault="00980B2B" w:rsidP="00E627CD">
            <w:pPr>
              <w:jc w:val="center"/>
              <w:rPr>
                <w:color w:val="000000" w:themeColor="text1"/>
                <w:sz w:val="22"/>
                <w:szCs w:val="22"/>
              </w:rPr>
            </w:pPr>
            <w:r w:rsidRPr="00462676">
              <w:rPr>
                <w:color w:val="000000" w:themeColor="text1"/>
                <w:sz w:val="22"/>
                <w:szCs w:val="22"/>
              </w:rPr>
              <w:t>&lt;0.001</w:t>
            </w:r>
          </w:p>
        </w:tc>
        <w:tc>
          <w:tcPr>
            <w:tcW w:w="1145" w:type="dxa"/>
            <w:tcBorders>
              <w:top w:val="nil"/>
              <w:left w:val="nil"/>
              <w:bottom w:val="single" w:sz="4" w:space="0" w:color="auto"/>
              <w:right w:val="nil"/>
            </w:tcBorders>
            <w:vAlign w:val="center"/>
          </w:tcPr>
          <w:p w14:paraId="1570295E" w14:textId="77777777" w:rsidR="00980B2B" w:rsidRPr="00462676" w:rsidRDefault="00980B2B" w:rsidP="00E627CD">
            <w:pPr>
              <w:jc w:val="center"/>
              <w:rPr>
                <w:color w:val="000000" w:themeColor="text1"/>
                <w:sz w:val="22"/>
                <w:szCs w:val="22"/>
                <w:lang w:eastAsia="es-CL"/>
              </w:rPr>
            </w:pPr>
            <w:r w:rsidRPr="00462676">
              <w:rPr>
                <w:color w:val="000000" w:themeColor="text1"/>
                <w:sz w:val="22"/>
                <w:szCs w:val="22"/>
                <w:lang w:eastAsia="es-CL"/>
              </w:rPr>
              <w:t>3924</w:t>
            </w:r>
            <w:r w:rsidRPr="00462676">
              <w:rPr>
                <w:color w:val="000000" w:themeColor="text1"/>
                <w:sz w:val="22"/>
                <w:szCs w:val="22"/>
                <w:lang w:eastAsia="es-CL"/>
              </w:rPr>
              <w:br/>
              <w:t>(164)</w:t>
            </w:r>
          </w:p>
        </w:tc>
      </w:tr>
    </w:tbl>
    <w:p w14:paraId="4D340E29" w14:textId="04B1FC27" w:rsidR="00DA4CB7" w:rsidRPr="00462676" w:rsidRDefault="00DA4CB7" w:rsidP="00DA4CB7">
      <w:pPr>
        <w:ind w:left="284"/>
        <w:rPr>
          <w:iCs/>
          <w:color w:val="000000" w:themeColor="text1"/>
          <w:sz w:val="21"/>
          <w:szCs w:val="21"/>
          <w:lang w:val="en-US"/>
        </w:rPr>
      </w:pPr>
      <w:proofErr w:type="spellStart"/>
      <w:r w:rsidRPr="00462676">
        <w:rPr>
          <w:iCs/>
          <w:color w:val="000000" w:themeColor="text1"/>
          <w:sz w:val="21"/>
          <w:szCs w:val="21"/>
          <w:vertAlign w:val="superscript"/>
          <w:lang w:val="en-US"/>
        </w:rPr>
        <w:t>a</w:t>
      </w:r>
      <w:proofErr w:type="spellEnd"/>
      <w:r w:rsidRPr="00462676">
        <w:rPr>
          <w:iCs/>
          <w:color w:val="000000" w:themeColor="text1"/>
          <w:sz w:val="21"/>
          <w:szCs w:val="21"/>
          <w:lang w:val="en-US"/>
        </w:rPr>
        <w:t xml:space="preserve"> Each model included dummy variables for each quarter and a fixed effect for counties. Models also included the following time-varying covariates: Percentage of the total population identifying as White; Median household income (US$); Percentage of rented occupied housing units; Percentage of US citizens; Percentage of Poverty (all ages); GINI index; Median gross rent</w:t>
      </w:r>
      <w:r w:rsidR="00DA4F45" w:rsidRPr="00462676">
        <w:rPr>
          <w:iCs/>
          <w:color w:val="000000" w:themeColor="text1"/>
          <w:sz w:val="21"/>
          <w:szCs w:val="21"/>
          <w:lang w:val="en-US"/>
        </w:rPr>
        <w:t xml:space="preserve"> </w:t>
      </w:r>
      <w:r w:rsidRPr="00462676">
        <w:rPr>
          <w:iCs/>
          <w:color w:val="000000" w:themeColor="text1"/>
          <w:sz w:val="21"/>
          <w:szCs w:val="21"/>
          <w:lang w:val="en-US"/>
        </w:rPr>
        <w:t>(US$); Per capita income (US$); and Percentage of people not graduated from high school.</w:t>
      </w:r>
    </w:p>
    <w:p w14:paraId="0C2B1E99" w14:textId="77777777" w:rsidR="00980B2B" w:rsidRPr="00462676" w:rsidRDefault="00980B2B" w:rsidP="00E627CD">
      <w:pPr>
        <w:jc w:val="both"/>
        <w:rPr>
          <w:iCs/>
          <w:color w:val="000000" w:themeColor="text1"/>
          <w:lang w:val="en-US"/>
        </w:rPr>
      </w:pPr>
    </w:p>
    <w:p w14:paraId="75442B20" w14:textId="302ADF66" w:rsidR="004B626A" w:rsidRPr="00462676" w:rsidRDefault="00915E7D" w:rsidP="001B6B1B">
      <w:pPr>
        <w:spacing w:line="480" w:lineRule="auto"/>
        <w:ind w:firstLine="708"/>
        <w:rPr>
          <w:color w:val="000000" w:themeColor="text1"/>
          <w:lang w:val="en-US"/>
        </w:rPr>
      </w:pPr>
      <w:r w:rsidRPr="00462676">
        <w:rPr>
          <w:color w:val="000000" w:themeColor="text1"/>
          <w:lang w:val="en"/>
        </w:rPr>
        <w:t>T</w:t>
      </w:r>
      <w:r w:rsidR="00C07BC1" w:rsidRPr="00462676">
        <w:rPr>
          <w:color w:val="000000" w:themeColor="text1"/>
          <w:lang w:val="en"/>
        </w:rPr>
        <w:t>wo main issues may explain the discrepancy in the significance of the results in opioid prescriptions per 1,000 residents between the two method</w:t>
      </w:r>
      <w:r w:rsidR="008844B5" w:rsidRPr="00462676">
        <w:rPr>
          <w:color w:val="000000" w:themeColor="text1"/>
          <w:lang w:val="en"/>
        </w:rPr>
        <w:t>s</w:t>
      </w:r>
      <w:r w:rsidRPr="00462676">
        <w:rPr>
          <w:color w:val="000000" w:themeColor="text1"/>
          <w:lang w:val="en"/>
        </w:rPr>
        <w:t>. First,</w:t>
      </w:r>
      <w:r w:rsidR="00656976" w:rsidRPr="00462676">
        <w:rPr>
          <w:color w:val="000000" w:themeColor="text1"/>
          <w:lang w:val="en"/>
        </w:rPr>
        <w:t xml:space="preserve"> the difference-in-difference model does not capture heterogeneity at the county level</w:t>
      </w:r>
      <w:r w:rsidR="00F058AA" w:rsidRPr="00462676">
        <w:rPr>
          <w:color w:val="000000" w:themeColor="text1"/>
          <w:lang w:val="en"/>
        </w:rPr>
        <w:t xml:space="preserve"> </w:t>
      </w:r>
      <w:r w:rsidRPr="00462676">
        <w:rPr>
          <w:color w:val="000000" w:themeColor="text1"/>
          <w:lang w:val="en-US"/>
        </w:rPr>
        <w:fldChar w:fldCharType="begin"/>
      </w:r>
      <w:r w:rsidR="009869AE">
        <w:rPr>
          <w:color w:val="000000" w:themeColor="text1"/>
          <w:lang w:val="en-US"/>
        </w:rPr>
        <w:instrText xml:space="preserve"> ADDIN EN.CITE &lt;EndNote&gt;&lt;Cite&gt;&lt;Author&gt;Gobillon&lt;/Author&gt;&lt;Year&gt;2016&lt;/Year&gt;&lt;RecNum&gt;68&lt;/RecNum&gt;&lt;DisplayText&gt;(Gobillon and Magnac, 2016)&lt;/DisplayText&gt;&lt;record&gt;&lt;rec-number&gt;68&lt;/rec-number&gt;&lt;foreign-keys&gt;&lt;key app="EN" db-id="twfvx2527dae5zeftwnxfad5w2we5zav9t5d" timestamp="1576081456" guid="7630de99-64e0-46ea-8ea0-b72e5d6371f2"&gt;68&lt;/key&gt;&lt;/foreign-keys&gt;&lt;ref-type name="Journal Article"&gt;17&lt;/ref-type&gt;&lt;contributors&gt;&lt;authors&gt;&lt;author&gt;Gobillon, Laurent&lt;/author&gt;&lt;author&gt;Magnac, Thierry&lt;/author&gt;&lt;/authors&gt;&lt;/contributors&gt;&lt;titles&gt;&lt;title&gt;Regional Policy Evaluation: Interactive Fixed Effects and Synthetic Controls&lt;/title&gt;&lt;secondary-title&gt;Review of Economics and Statistics&lt;/secondary-title&gt;&lt;/titles&gt;&lt;periodical&gt;&lt;full-title&gt;Review of Economics and Statistics&lt;/full-title&gt;&lt;/periodical&gt;&lt;pages&gt;535-551&lt;/pages&gt;&lt;volume&gt;98&lt;/volume&gt;&lt;number&gt;3&lt;/number&gt;&lt;dates&gt;&lt;year&gt;2016&lt;/year&gt;&lt;pub-dates&gt;&lt;date&gt;2016/07&lt;/date&gt;&lt;/pub-dates&gt;&lt;/dates&gt;&lt;publisher&gt;MIT Press - Journals&lt;/publisher&gt;&lt;isbn&gt;0034-6535&amp;#xD;1530-9142&lt;/isbn&gt;&lt;urls&gt;&lt;related-urls&gt;&lt;url&gt;http://dx.doi.org/10.1162/rest_a_00537&lt;/url&gt;&lt;/related-urls&gt;&lt;/urls&gt;&lt;electronic-resource-num&gt;10.1162/rest_a_00537&lt;/electronic-resource-num&gt;&lt;/record&gt;&lt;/Cite&gt;&lt;/EndNote&gt;</w:instrText>
      </w:r>
      <w:r w:rsidRPr="00462676">
        <w:rPr>
          <w:color w:val="000000" w:themeColor="text1"/>
          <w:lang w:val="en-US"/>
        </w:rPr>
        <w:fldChar w:fldCharType="separate"/>
      </w:r>
      <w:r w:rsidR="009869AE">
        <w:rPr>
          <w:noProof/>
          <w:color w:val="000000" w:themeColor="text1"/>
          <w:lang w:val="en-US"/>
        </w:rPr>
        <w:t>(Gobillon and Magnac, 2016)</w:t>
      </w:r>
      <w:r w:rsidRPr="00462676">
        <w:rPr>
          <w:color w:val="000000" w:themeColor="text1"/>
          <w:lang w:val="en-US"/>
        </w:rPr>
        <w:fldChar w:fldCharType="end"/>
      </w:r>
      <w:r w:rsidR="000506A1" w:rsidRPr="00462676">
        <w:rPr>
          <w:color w:val="000000" w:themeColor="text1"/>
          <w:lang w:val="en-US"/>
        </w:rPr>
        <w:t xml:space="preserve"> </w:t>
      </w:r>
      <w:r w:rsidR="00F94F36" w:rsidRPr="00462676">
        <w:rPr>
          <w:color w:val="000000" w:themeColor="text1"/>
          <w:lang w:val="en-US"/>
        </w:rPr>
        <w:t xml:space="preserve">and does not </w:t>
      </w:r>
      <w:r w:rsidR="008F31C5" w:rsidRPr="00462676">
        <w:rPr>
          <w:color w:val="000000" w:themeColor="text1"/>
          <w:lang w:val="en-US"/>
        </w:rPr>
        <w:t>account for potential unobserved confounders over time</w:t>
      </w:r>
      <w:r w:rsidR="00F058AA" w:rsidRPr="00462676">
        <w:rPr>
          <w:color w:val="000000" w:themeColor="text1"/>
          <w:lang w:val="en-US"/>
        </w:rPr>
        <w:t xml:space="preserve"> </w:t>
      </w:r>
      <w:r w:rsidRPr="00462676">
        <w:rPr>
          <w:color w:val="000000" w:themeColor="text1"/>
          <w:lang w:val="en-US"/>
        </w:rPr>
        <w:fldChar w:fldCharType="begin"/>
      </w:r>
      <w:r w:rsidR="00582777" w:rsidRPr="00462676">
        <w:rPr>
          <w:color w:val="000000" w:themeColor="text1"/>
          <w:lang w:val="en-US"/>
        </w:rPr>
        <w:instrText xml:space="preserve"> ADDIN EN.CITE &lt;EndNote&gt;&lt;Cite&gt;&lt;Author&gt;Xu&lt;/Author&gt;&lt;Year&gt;2017&lt;/Year&gt;&lt;RecNum&gt;69&lt;/RecNum&gt;&lt;DisplayText&gt;(Xu, 2017)&lt;/DisplayText&gt;&lt;record&gt;&lt;rec-number&gt;69&lt;/rec-number&gt;&lt;foreign-keys&gt;&lt;key app="EN" db-id="twfvx2527dae5zeftwnxfad5w2we5zav9t5d" timestamp="1576081456" guid="7e44650b-8f87-40b5-9333-caf57d8aae53"&gt;69&lt;/key&gt;&lt;/foreign-keys&gt;&lt;ref-type name="Journal Article"&gt;17&lt;/ref-type&gt;&lt;contributors&gt;&lt;authors&gt;&lt;author&gt;Xu, Y.&lt;/author&gt;&lt;/authors&gt;&lt;/contributors&gt;&lt;titles&gt;&lt;title&gt;Generalized Synthetic Control Method: Causal Inference with Interactive Fixed Effects Models&lt;/title&gt;&lt;secondary-title&gt;Political Analysis&lt;/secondary-title&gt;&lt;/titles&gt;&lt;periodical&gt;&lt;full-title&gt;Political Analysis&lt;/full-title&gt;&lt;/periodical&gt;&lt;pages&gt;57-76&lt;/pages&gt;&lt;volume&gt;25&lt;/volume&gt;&lt;number&gt;1&lt;/number&gt;&lt;dates&gt;&lt;year&gt;2017&lt;/year&gt;&lt;pub-dates&gt;&lt;date&gt;2017/01&lt;/date&gt;&lt;/pub-dates&gt;&lt;/dates&gt;&lt;publisher&gt;Cambridge University Press (CUP)&lt;/publisher&gt;&lt;isbn&gt;1047-1987&amp;#xD;1476-4989&lt;/isbn&gt;&lt;urls&gt;&lt;related-urls&gt;&lt;url&gt;http://dx.doi.org/10.1017/pan.2016.2&lt;/url&gt;&lt;/related-urls&gt;&lt;/urls&gt;&lt;electronic-resource-num&gt;10.1017/pan.2016.2&lt;/electronic-resource-num&gt;&lt;/record&gt;&lt;/Cite&gt;&lt;/EndNote&gt;</w:instrText>
      </w:r>
      <w:r w:rsidRPr="00462676">
        <w:rPr>
          <w:color w:val="000000" w:themeColor="text1"/>
          <w:lang w:val="en-US"/>
        </w:rPr>
        <w:fldChar w:fldCharType="separate"/>
      </w:r>
      <w:r w:rsidR="00582777" w:rsidRPr="00462676">
        <w:rPr>
          <w:noProof/>
          <w:color w:val="000000" w:themeColor="text1"/>
          <w:lang w:val="en-US"/>
        </w:rPr>
        <w:t>(Xu, 2017)</w:t>
      </w:r>
      <w:r w:rsidRPr="00462676">
        <w:rPr>
          <w:color w:val="000000" w:themeColor="text1"/>
          <w:lang w:val="en-US"/>
        </w:rPr>
        <w:fldChar w:fldCharType="end"/>
      </w:r>
      <w:r w:rsidR="00AF0A7E" w:rsidRPr="00462676">
        <w:rPr>
          <w:color w:val="000000" w:themeColor="text1"/>
          <w:lang w:val="en-US"/>
        </w:rPr>
        <w:t>.</w:t>
      </w:r>
      <w:r w:rsidR="00656976" w:rsidRPr="00462676">
        <w:rPr>
          <w:color w:val="000000" w:themeColor="text1"/>
          <w:lang w:val="en"/>
        </w:rPr>
        <w:t xml:space="preserve"> </w:t>
      </w:r>
      <w:r w:rsidRPr="00462676">
        <w:rPr>
          <w:color w:val="000000" w:themeColor="text1"/>
          <w:lang w:val="en"/>
        </w:rPr>
        <w:t>Second</w:t>
      </w:r>
      <w:r w:rsidR="000506A1" w:rsidRPr="00462676">
        <w:rPr>
          <w:color w:val="000000" w:themeColor="text1"/>
          <w:lang w:val="en"/>
        </w:rPr>
        <w:t xml:space="preserve">, </w:t>
      </w:r>
      <w:r w:rsidRPr="00462676">
        <w:rPr>
          <w:color w:val="000000" w:themeColor="text1"/>
          <w:lang w:val="en-US"/>
        </w:rPr>
        <w:t xml:space="preserve">the generalized synthetic control method </w:t>
      </w:r>
      <w:r w:rsidR="00C07BC1" w:rsidRPr="00462676">
        <w:rPr>
          <w:color w:val="000000" w:themeColor="text1"/>
          <w:lang w:val="en-US"/>
        </w:rPr>
        <w:t>can</w:t>
      </w:r>
      <w:r w:rsidRPr="00462676">
        <w:rPr>
          <w:color w:val="000000" w:themeColor="text1"/>
          <w:lang w:val="en-US"/>
        </w:rPr>
        <w:t xml:space="preserve"> capture more complexities than </w:t>
      </w:r>
      <w:r w:rsidR="0071011B" w:rsidRPr="00462676">
        <w:rPr>
          <w:color w:val="000000" w:themeColor="text1"/>
          <w:lang w:val="en-US"/>
        </w:rPr>
        <w:t xml:space="preserve">the </w:t>
      </w:r>
      <w:r w:rsidRPr="00462676">
        <w:rPr>
          <w:color w:val="000000" w:themeColor="text1"/>
          <w:lang w:val="en-US"/>
        </w:rPr>
        <w:t>difference-in-difference</w:t>
      </w:r>
      <w:r w:rsidR="0071011B" w:rsidRPr="00462676">
        <w:rPr>
          <w:color w:val="000000" w:themeColor="text1"/>
          <w:lang w:val="en-US"/>
        </w:rPr>
        <w:t xml:space="preserve"> approach. Therefore,</w:t>
      </w:r>
      <w:r w:rsidR="008F31C5" w:rsidRPr="00462676">
        <w:rPr>
          <w:color w:val="000000" w:themeColor="text1"/>
          <w:lang w:val="en-US"/>
        </w:rPr>
        <w:t xml:space="preserve"> </w:t>
      </w:r>
      <w:r w:rsidRPr="00462676">
        <w:rPr>
          <w:color w:val="000000" w:themeColor="text1"/>
          <w:lang w:val="en-US"/>
        </w:rPr>
        <w:t>it uses more stringent criteria to qualify a coefficient as a statistically</w:t>
      </w:r>
      <w:r w:rsidR="000506A1" w:rsidRPr="00462676">
        <w:rPr>
          <w:color w:val="000000" w:themeColor="text1"/>
          <w:lang w:val="en-US"/>
        </w:rPr>
        <w:t xml:space="preserve"> significan</w:t>
      </w:r>
      <w:r w:rsidR="000564C4" w:rsidRPr="00462676">
        <w:rPr>
          <w:color w:val="000000" w:themeColor="text1"/>
          <w:lang w:val="en-US"/>
        </w:rPr>
        <w:t>t</w:t>
      </w:r>
      <w:r w:rsidR="00E94579" w:rsidRPr="00462676">
        <w:rPr>
          <w:color w:val="000000" w:themeColor="text1"/>
          <w:lang w:val="en-US"/>
        </w:rPr>
        <w:t xml:space="preserve"> change in the </w:t>
      </w:r>
      <w:r w:rsidR="00D2665A" w:rsidRPr="00462676">
        <w:rPr>
          <w:color w:val="000000" w:themeColor="text1"/>
          <w:lang w:val="en-US"/>
        </w:rPr>
        <w:t>o</w:t>
      </w:r>
      <w:r w:rsidR="00E94579" w:rsidRPr="00462676">
        <w:rPr>
          <w:color w:val="000000" w:themeColor="text1"/>
          <w:lang w:val="en-US"/>
        </w:rPr>
        <w:t>pioid prescriptions per 1,000 residents</w:t>
      </w:r>
      <w:r w:rsidR="008F31C5" w:rsidRPr="00462676">
        <w:rPr>
          <w:color w:val="000000" w:themeColor="text1"/>
          <w:lang w:val="en-US"/>
        </w:rPr>
        <w:t>.</w:t>
      </w:r>
    </w:p>
    <w:p w14:paraId="3895C76C" w14:textId="5A56315A" w:rsidR="004B626A" w:rsidRPr="00462676" w:rsidRDefault="004B626A" w:rsidP="001B6B1B">
      <w:pPr>
        <w:rPr>
          <w:color w:val="000000" w:themeColor="text1"/>
          <w:lang w:val="en-US"/>
        </w:rPr>
      </w:pPr>
      <w:r w:rsidRPr="00462676">
        <w:rPr>
          <w:color w:val="000000" w:themeColor="text1"/>
          <w:lang w:val="en-US"/>
        </w:rPr>
        <w:br w:type="column"/>
      </w:r>
      <w:r w:rsidRPr="00462676">
        <w:rPr>
          <w:b/>
          <w:color w:val="000000" w:themeColor="text1"/>
          <w:lang w:val="en-US"/>
        </w:rPr>
        <w:lastRenderedPageBreak/>
        <w:t>Table S2. Estimated average difference</w:t>
      </w:r>
      <w:r w:rsidR="003C2B1C" w:rsidRPr="00462676">
        <w:rPr>
          <w:b/>
          <w:color w:val="000000" w:themeColor="text1"/>
          <w:lang w:val="en-US"/>
        </w:rPr>
        <w:t xml:space="preserve"> in Morphine milligram equivalents from</w:t>
      </w:r>
      <w:r w:rsidRPr="00462676">
        <w:rPr>
          <w:b/>
          <w:color w:val="000000" w:themeColor="text1"/>
          <w:lang w:val="en-US"/>
        </w:rPr>
        <w:t xml:space="preserve"> </w:t>
      </w:r>
      <w:r w:rsidR="003C2B1C" w:rsidRPr="00462676">
        <w:rPr>
          <w:b/>
          <w:color w:val="000000" w:themeColor="text1"/>
          <w:lang w:val="en-US"/>
        </w:rPr>
        <w:t>Buprenorphine, Hydrocodone and Ox</w:t>
      </w:r>
      <w:r w:rsidR="00F058AA" w:rsidRPr="00462676">
        <w:rPr>
          <w:b/>
          <w:color w:val="000000" w:themeColor="text1"/>
          <w:lang w:val="en-US"/>
        </w:rPr>
        <w:t>y</w:t>
      </w:r>
      <w:r w:rsidR="003C2B1C" w:rsidRPr="00462676">
        <w:rPr>
          <w:b/>
          <w:color w:val="000000" w:themeColor="text1"/>
          <w:lang w:val="en-US"/>
        </w:rPr>
        <w:t xml:space="preserve">codone </w:t>
      </w:r>
      <w:r w:rsidRPr="00462676">
        <w:rPr>
          <w:b/>
          <w:color w:val="000000" w:themeColor="text1"/>
          <w:lang w:val="en-US"/>
        </w:rPr>
        <w:t xml:space="preserve">between California and its control group, after the implementation of mandatory PDMP registration and proactive </w:t>
      </w:r>
      <w:proofErr w:type="spellStart"/>
      <w:r w:rsidRPr="00462676">
        <w:rPr>
          <w:b/>
          <w:color w:val="000000" w:themeColor="text1"/>
          <w:lang w:val="en-US"/>
        </w:rPr>
        <w:t>reports</w:t>
      </w:r>
      <w:r w:rsidRPr="00462676">
        <w:rPr>
          <w:bCs/>
          <w:color w:val="000000" w:themeColor="text1"/>
          <w:vertAlign w:val="superscript"/>
          <w:lang w:val="en-US"/>
        </w:rPr>
        <w:t>a</w:t>
      </w:r>
      <w:proofErr w:type="spellEnd"/>
    </w:p>
    <w:tbl>
      <w:tblPr>
        <w:tblStyle w:val="Tablaconcuadrcula"/>
        <w:tblW w:w="94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850"/>
        <w:gridCol w:w="1170"/>
        <w:gridCol w:w="1524"/>
        <w:gridCol w:w="1422"/>
      </w:tblGrid>
      <w:tr w:rsidR="00462676" w:rsidRPr="00462676" w14:paraId="0663D8A4" w14:textId="77777777" w:rsidTr="003C2B1C">
        <w:tc>
          <w:tcPr>
            <w:tcW w:w="4531" w:type="dxa"/>
            <w:tcBorders>
              <w:top w:val="single" w:sz="12" w:space="0" w:color="auto"/>
              <w:bottom w:val="single" w:sz="2" w:space="0" w:color="auto"/>
            </w:tcBorders>
          </w:tcPr>
          <w:p w14:paraId="3CF4EBB4" w14:textId="44DBF1B1" w:rsidR="003C2B1C" w:rsidRPr="00462676" w:rsidRDefault="003C2B1C" w:rsidP="003C2B1C">
            <w:pPr>
              <w:rPr>
                <w:color w:val="000000" w:themeColor="text1"/>
                <w:sz w:val="21"/>
                <w:szCs w:val="21"/>
                <w:shd w:val="clear" w:color="auto" w:fill="FFFFFF"/>
                <w:vertAlign w:val="superscript"/>
                <w:lang w:val="en-US"/>
              </w:rPr>
            </w:pPr>
            <w:r w:rsidRPr="00462676">
              <w:rPr>
                <w:b/>
                <w:bCs/>
                <w:color w:val="000000" w:themeColor="text1"/>
                <w:sz w:val="22"/>
                <w:szCs w:val="22"/>
                <w:lang w:eastAsia="es-CL"/>
              </w:rPr>
              <w:t>Prescribing practices</w:t>
            </w:r>
          </w:p>
        </w:tc>
        <w:tc>
          <w:tcPr>
            <w:tcW w:w="850" w:type="dxa"/>
            <w:tcBorders>
              <w:top w:val="single" w:sz="12" w:space="0" w:color="auto"/>
              <w:bottom w:val="single" w:sz="2" w:space="0" w:color="auto"/>
            </w:tcBorders>
          </w:tcPr>
          <w:p w14:paraId="1B032CC3" w14:textId="44D3EF63" w:rsidR="003C2B1C" w:rsidRPr="00462676" w:rsidRDefault="003C2B1C" w:rsidP="00475E9D">
            <w:pPr>
              <w:jc w:val="center"/>
              <w:rPr>
                <w:color w:val="000000" w:themeColor="text1"/>
                <w:sz w:val="21"/>
                <w:szCs w:val="21"/>
                <w:shd w:val="clear" w:color="auto" w:fill="FFFFFF"/>
                <w:vertAlign w:val="superscript"/>
                <w:lang w:val="en-US"/>
              </w:rPr>
            </w:pPr>
            <w:r w:rsidRPr="00462676">
              <w:rPr>
                <w:b/>
                <w:bCs/>
                <w:color w:val="000000" w:themeColor="text1"/>
                <w:sz w:val="22"/>
                <w:szCs w:val="22"/>
                <w:lang w:eastAsia="es-CL"/>
              </w:rPr>
              <w:t>AD</w:t>
            </w:r>
          </w:p>
        </w:tc>
        <w:tc>
          <w:tcPr>
            <w:tcW w:w="1170" w:type="dxa"/>
            <w:tcBorders>
              <w:top w:val="single" w:sz="12" w:space="0" w:color="auto"/>
              <w:bottom w:val="single" w:sz="2" w:space="0" w:color="auto"/>
            </w:tcBorders>
          </w:tcPr>
          <w:p w14:paraId="63D8FC8B" w14:textId="11938BE0" w:rsidR="003C2B1C" w:rsidRPr="00462676" w:rsidRDefault="003C2B1C" w:rsidP="00475E9D">
            <w:pPr>
              <w:jc w:val="center"/>
              <w:rPr>
                <w:color w:val="000000" w:themeColor="text1"/>
                <w:sz w:val="21"/>
                <w:szCs w:val="21"/>
                <w:shd w:val="clear" w:color="auto" w:fill="FFFFFF"/>
                <w:vertAlign w:val="superscript"/>
                <w:lang w:val="en-US"/>
              </w:rPr>
            </w:pPr>
            <w:r w:rsidRPr="00462676">
              <w:rPr>
                <w:b/>
                <w:bCs/>
                <w:color w:val="000000" w:themeColor="text1"/>
                <w:sz w:val="22"/>
                <w:szCs w:val="22"/>
                <w:lang w:eastAsia="es-CL"/>
              </w:rPr>
              <w:t>(95% CI)</w:t>
            </w:r>
          </w:p>
        </w:tc>
        <w:tc>
          <w:tcPr>
            <w:tcW w:w="1524" w:type="dxa"/>
            <w:tcBorders>
              <w:top w:val="single" w:sz="12" w:space="0" w:color="auto"/>
              <w:bottom w:val="single" w:sz="2" w:space="0" w:color="auto"/>
            </w:tcBorders>
          </w:tcPr>
          <w:p w14:paraId="165D5A2F" w14:textId="3C5DA8CA" w:rsidR="003C2B1C" w:rsidRPr="00462676" w:rsidRDefault="003C2B1C" w:rsidP="00475E9D">
            <w:pPr>
              <w:jc w:val="center"/>
              <w:rPr>
                <w:color w:val="000000" w:themeColor="text1"/>
                <w:sz w:val="21"/>
                <w:szCs w:val="21"/>
                <w:shd w:val="clear" w:color="auto" w:fill="FFFFFF"/>
                <w:vertAlign w:val="superscript"/>
                <w:lang w:val="en-US"/>
              </w:rPr>
            </w:pPr>
            <w:r w:rsidRPr="00462676">
              <w:rPr>
                <w:b/>
                <w:bCs/>
                <w:color w:val="000000" w:themeColor="text1"/>
                <w:sz w:val="22"/>
                <w:szCs w:val="22"/>
                <w:lang w:eastAsia="es-CL"/>
              </w:rPr>
              <w:t>Relative Diff</w:t>
            </w:r>
            <w:r w:rsidR="00325AA0" w:rsidRPr="00462676">
              <w:rPr>
                <w:b/>
                <w:bCs/>
                <w:color w:val="000000" w:themeColor="text1"/>
                <w:sz w:val="22"/>
                <w:szCs w:val="22"/>
                <w:lang w:eastAsia="es-CL"/>
              </w:rPr>
              <w:t>erence</w:t>
            </w:r>
          </w:p>
        </w:tc>
        <w:tc>
          <w:tcPr>
            <w:tcW w:w="1422" w:type="dxa"/>
            <w:tcBorders>
              <w:top w:val="single" w:sz="12" w:space="0" w:color="auto"/>
              <w:bottom w:val="single" w:sz="2" w:space="0" w:color="auto"/>
            </w:tcBorders>
          </w:tcPr>
          <w:p w14:paraId="16596FF4" w14:textId="47326363" w:rsidR="003C2B1C" w:rsidRPr="00462676" w:rsidRDefault="003C2B1C" w:rsidP="00475E9D">
            <w:pPr>
              <w:jc w:val="center"/>
              <w:rPr>
                <w:color w:val="000000" w:themeColor="text1"/>
                <w:sz w:val="21"/>
                <w:szCs w:val="21"/>
                <w:shd w:val="clear" w:color="auto" w:fill="FFFFFF"/>
                <w:vertAlign w:val="superscript"/>
                <w:lang w:val="en-US"/>
              </w:rPr>
            </w:pPr>
            <w:r w:rsidRPr="00462676">
              <w:rPr>
                <w:b/>
                <w:bCs/>
                <w:color w:val="000000" w:themeColor="text1"/>
                <w:sz w:val="22"/>
                <w:szCs w:val="22"/>
                <w:lang w:eastAsia="es-CL"/>
              </w:rPr>
              <w:t>(95% CI)</w:t>
            </w:r>
          </w:p>
        </w:tc>
      </w:tr>
      <w:tr w:rsidR="00462676" w:rsidRPr="00462676" w14:paraId="022B96EC" w14:textId="77777777" w:rsidTr="003C2B1C">
        <w:tc>
          <w:tcPr>
            <w:tcW w:w="4531" w:type="dxa"/>
            <w:tcBorders>
              <w:top w:val="single" w:sz="2" w:space="0" w:color="auto"/>
            </w:tcBorders>
          </w:tcPr>
          <w:p w14:paraId="3225B575" w14:textId="731BA228" w:rsidR="003C2B1C" w:rsidRPr="00462676" w:rsidRDefault="003C2B1C" w:rsidP="003C2B1C">
            <w:pPr>
              <w:rPr>
                <w:color w:val="000000" w:themeColor="text1"/>
                <w:sz w:val="21"/>
                <w:szCs w:val="21"/>
                <w:shd w:val="clear" w:color="auto" w:fill="FFFFFF"/>
                <w:vertAlign w:val="superscript"/>
                <w:lang w:val="en-US"/>
              </w:rPr>
            </w:pPr>
            <w:r w:rsidRPr="00462676">
              <w:rPr>
                <w:color w:val="000000" w:themeColor="text1"/>
                <w:sz w:val="22"/>
                <w:szCs w:val="22"/>
                <w:lang w:val="en-US"/>
              </w:rPr>
              <w:t>Patients’ mean daily opioid dosage in MME for Buprenorphine</w:t>
            </w:r>
          </w:p>
        </w:tc>
        <w:tc>
          <w:tcPr>
            <w:tcW w:w="850" w:type="dxa"/>
            <w:tcBorders>
              <w:top w:val="single" w:sz="2" w:space="0" w:color="auto"/>
            </w:tcBorders>
          </w:tcPr>
          <w:p w14:paraId="6BAF14BB" w14:textId="0628C688" w:rsidR="003C2B1C" w:rsidRPr="00462676" w:rsidRDefault="003C2B1C" w:rsidP="00475E9D">
            <w:pPr>
              <w:jc w:val="center"/>
              <w:rPr>
                <w:color w:val="000000" w:themeColor="text1"/>
                <w:sz w:val="21"/>
                <w:szCs w:val="21"/>
                <w:shd w:val="clear" w:color="auto" w:fill="FFFFFF"/>
                <w:vertAlign w:val="superscript"/>
                <w:lang w:val="en-US"/>
              </w:rPr>
            </w:pPr>
            <w:r w:rsidRPr="00462676">
              <w:rPr>
                <w:color w:val="000000" w:themeColor="text1"/>
                <w:sz w:val="22"/>
                <w:szCs w:val="22"/>
                <w:lang w:val="en-US"/>
              </w:rPr>
              <w:t>-38.4</w:t>
            </w:r>
          </w:p>
        </w:tc>
        <w:tc>
          <w:tcPr>
            <w:tcW w:w="1170" w:type="dxa"/>
            <w:tcBorders>
              <w:top w:val="single" w:sz="2" w:space="0" w:color="auto"/>
            </w:tcBorders>
          </w:tcPr>
          <w:p w14:paraId="36BB403F" w14:textId="6554F565" w:rsidR="003C2B1C" w:rsidRPr="00462676" w:rsidRDefault="003C2B1C" w:rsidP="00475E9D">
            <w:pPr>
              <w:jc w:val="center"/>
              <w:rPr>
                <w:color w:val="000000" w:themeColor="text1"/>
                <w:sz w:val="21"/>
                <w:szCs w:val="21"/>
                <w:shd w:val="clear" w:color="auto" w:fill="FFFFFF"/>
                <w:vertAlign w:val="superscript"/>
                <w:lang w:val="en-US"/>
              </w:rPr>
            </w:pPr>
            <w:r w:rsidRPr="00462676">
              <w:rPr>
                <w:color w:val="000000" w:themeColor="text1"/>
                <w:sz w:val="22"/>
                <w:szCs w:val="22"/>
                <w:lang w:val="en-US"/>
              </w:rPr>
              <w:t>-66.5, 26.1</w:t>
            </w:r>
          </w:p>
        </w:tc>
        <w:tc>
          <w:tcPr>
            <w:tcW w:w="1524" w:type="dxa"/>
            <w:tcBorders>
              <w:top w:val="single" w:sz="2" w:space="0" w:color="auto"/>
            </w:tcBorders>
          </w:tcPr>
          <w:p w14:paraId="489C8388" w14:textId="0757010E" w:rsidR="003C2B1C" w:rsidRPr="00462676" w:rsidRDefault="003C2B1C" w:rsidP="00475E9D">
            <w:pPr>
              <w:jc w:val="center"/>
              <w:rPr>
                <w:color w:val="000000" w:themeColor="text1"/>
                <w:sz w:val="21"/>
                <w:szCs w:val="21"/>
                <w:shd w:val="clear" w:color="auto" w:fill="FFFFFF"/>
                <w:vertAlign w:val="superscript"/>
                <w:lang w:val="en-US"/>
              </w:rPr>
            </w:pPr>
            <w:r w:rsidRPr="00462676">
              <w:rPr>
                <w:color w:val="000000" w:themeColor="text1"/>
                <w:sz w:val="22"/>
                <w:szCs w:val="22"/>
                <w:lang w:val="en-US"/>
              </w:rPr>
              <w:t>-9%</w:t>
            </w:r>
          </w:p>
        </w:tc>
        <w:tc>
          <w:tcPr>
            <w:tcW w:w="1422" w:type="dxa"/>
            <w:tcBorders>
              <w:top w:val="single" w:sz="2" w:space="0" w:color="auto"/>
            </w:tcBorders>
          </w:tcPr>
          <w:p w14:paraId="376EDFA9" w14:textId="2FD03600" w:rsidR="003C2B1C" w:rsidRPr="00462676" w:rsidRDefault="003C2B1C" w:rsidP="00475E9D">
            <w:pPr>
              <w:jc w:val="center"/>
              <w:rPr>
                <w:color w:val="000000" w:themeColor="text1"/>
                <w:sz w:val="21"/>
                <w:szCs w:val="21"/>
                <w:shd w:val="clear" w:color="auto" w:fill="FFFFFF"/>
                <w:vertAlign w:val="superscript"/>
                <w:lang w:val="en-US"/>
              </w:rPr>
            </w:pPr>
            <w:r w:rsidRPr="00462676">
              <w:rPr>
                <w:color w:val="000000" w:themeColor="text1"/>
                <w:sz w:val="22"/>
                <w:szCs w:val="22"/>
                <w:lang w:val="en-US"/>
              </w:rPr>
              <w:t>-16%, 6%</w:t>
            </w:r>
          </w:p>
        </w:tc>
      </w:tr>
      <w:tr w:rsidR="00462676" w:rsidRPr="00462676" w14:paraId="2F2499E9" w14:textId="77777777" w:rsidTr="003C2B1C">
        <w:tc>
          <w:tcPr>
            <w:tcW w:w="4531" w:type="dxa"/>
          </w:tcPr>
          <w:p w14:paraId="604D2DC4" w14:textId="61B47584" w:rsidR="003C2B1C" w:rsidRPr="00462676" w:rsidRDefault="003C2B1C" w:rsidP="003C2B1C">
            <w:pPr>
              <w:rPr>
                <w:color w:val="000000" w:themeColor="text1"/>
                <w:sz w:val="21"/>
                <w:szCs w:val="21"/>
                <w:shd w:val="clear" w:color="auto" w:fill="FFFFFF"/>
                <w:vertAlign w:val="superscript"/>
                <w:lang w:val="en-US"/>
              </w:rPr>
            </w:pPr>
            <w:r w:rsidRPr="00462676">
              <w:rPr>
                <w:color w:val="000000" w:themeColor="text1"/>
                <w:sz w:val="22"/>
                <w:szCs w:val="22"/>
                <w:lang w:val="en-US"/>
              </w:rPr>
              <w:t>Patients’ mean daily opioid dosage in MME for Hydrocodone</w:t>
            </w:r>
          </w:p>
        </w:tc>
        <w:tc>
          <w:tcPr>
            <w:tcW w:w="850" w:type="dxa"/>
          </w:tcPr>
          <w:p w14:paraId="0BE1A321" w14:textId="630D28C9" w:rsidR="003C2B1C" w:rsidRPr="00462676" w:rsidRDefault="003C2B1C" w:rsidP="00475E9D">
            <w:pPr>
              <w:jc w:val="center"/>
              <w:rPr>
                <w:color w:val="000000" w:themeColor="text1"/>
                <w:sz w:val="21"/>
                <w:szCs w:val="21"/>
                <w:shd w:val="clear" w:color="auto" w:fill="FFFFFF"/>
                <w:vertAlign w:val="superscript"/>
                <w:lang w:val="en-US"/>
              </w:rPr>
            </w:pPr>
            <w:r w:rsidRPr="00462676">
              <w:rPr>
                <w:color w:val="000000" w:themeColor="text1"/>
                <w:sz w:val="22"/>
                <w:szCs w:val="22"/>
                <w:lang w:val="en-US"/>
              </w:rPr>
              <w:t>-0.5</w:t>
            </w:r>
          </w:p>
        </w:tc>
        <w:tc>
          <w:tcPr>
            <w:tcW w:w="1170" w:type="dxa"/>
          </w:tcPr>
          <w:p w14:paraId="6A3BE42E" w14:textId="0AE28D13" w:rsidR="003C2B1C" w:rsidRPr="00462676" w:rsidRDefault="003C2B1C" w:rsidP="00475E9D">
            <w:pPr>
              <w:jc w:val="center"/>
              <w:rPr>
                <w:color w:val="000000" w:themeColor="text1"/>
                <w:sz w:val="21"/>
                <w:szCs w:val="21"/>
                <w:shd w:val="clear" w:color="auto" w:fill="FFFFFF"/>
                <w:vertAlign w:val="superscript"/>
                <w:lang w:val="en-US"/>
              </w:rPr>
            </w:pPr>
            <w:r w:rsidRPr="00462676">
              <w:rPr>
                <w:color w:val="000000" w:themeColor="text1"/>
                <w:sz w:val="22"/>
                <w:szCs w:val="22"/>
                <w:lang w:val="en-US"/>
              </w:rPr>
              <w:t>-1.0, -0.2</w:t>
            </w:r>
          </w:p>
        </w:tc>
        <w:tc>
          <w:tcPr>
            <w:tcW w:w="1524" w:type="dxa"/>
          </w:tcPr>
          <w:p w14:paraId="16ADA596" w14:textId="304AD484" w:rsidR="003C2B1C" w:rsidRPr="00462676" w:rsidRDefault="003C2B1C" w:rsidP="00475E9D">
            <w:pPr>
              <w:jc w:val="center"/>
              <w:rPr>
                <w:color w:val="000000" w:themeColor="text1"/>
                <w:sz w:val="21"/>
                <w:szCs w:val="21"/>
                <w:shd w:val="clear" w:color="auto" w:fill="FFFFFF"/>
                <w:vertAlign w:val="superscript"/>
                <w:lang w:val="en-US"/>
              </w:rPr>
            </w:pPr>
            <w:r w:rsidRPr="00462676">
              <w:rPr>
                <w:color w:val="000000" w:themeColor="text1"/>
                <w:sz w:val="22"/>
                <w:szCs w:val="22"/>
                <w:lang w:val="en-US"/>
              </w:rPr>
              <w:t>-1%</w:t>
            </w:r>
          </w:p>
        </w:tc>
        <w:tc>
          <w:tcPr>
            <w:tcW w:w="1422" w:type="dxa"/>
          </w:tcPr>
          <w:p w14:paraId="1EB61C0C" w14:textId="419C567D" w:rsidR="003C2B1C" w:rsidRPr="00462676" w:rsidRDefault="003C2B1C" w:rsidP="00475E9D">
            <w:pPr>
              <w:jc w:val="center"/>
              <w:rPr>
                <w:color w:val="000000" w:themeColor="text1"/>
                <w:sz w:val="21"/>
                <w:szCs w:val="21"/>
                <w:shd w:val="clear" w:color="auto" w:fill="FFFFFF"/>
                <w:vertAlign w:val="superscript"/>
                <w:lang w:val="en-US"/>
              </w:rPr>
            </w:pPr>
            <w:r w:rsidRPr="00462676">
              <w:rPr>
                <w:color w:val="000000" w:themeColor="text1"/>
                <w:sz w:val="22"/>
                <w:szCs w:val="22"/>
                <w:lang w:val="en-US"/>
              </w:rPr>
              <w:t xml:space="preserve">-3%, </w:t>
            </w:r>
            <w:r w:rsidR="008E23AE" w:rsidRPr="00462676">
              <w:rPr>
                <w:color w:val="000000" w:themeColor="text1"/>
                <w:sz w:val="22"/>
                <w:szCs w:val="22"/>
                <w:lang w:val="en-US"/>
              </w:rPr>
              <w:t>-0.5</w:t>
            </w:r>
            <w:r w:rsidRPr="00462676">
              <w:rPr>
                <w:color w:val="000000" w:themeColor="text1"/>
                <w:sz w:val="22"/>
                <w:szCs w:val="22"/>
                <w:lang w:val="en-US"/>
              </w:rPr>
              <w:t>%</w:t>
            </w:r>
          </w:p>
        </w:tc>
      </w:tr>
      <w:tr w:rsidR="00462676" w:rsidRPr="00462676" w14:paraId="098FA04B" w14:textId="77777777" w:rsidTr="003C2B1C">
        <w:tc>
          <w:tcPr>
            <w:tcW w:w="4531" w:type="dxa"/>
            <w:tcBorders>
              <w:bottom w:val="single" w:sz="12" w:space="0" w:color="auto"/>
            </w:tcBorders>
          </w:tcPr>
          <w:p w14:paraId="0DFDD3DC" w14:textId="52536A6D" w:rsidR="003C2B1C" w:rsidRPr="00462676" w:rsidRDefault="003C2B1C" w:rsidP="003C2B1C">
            <w:pPr>
              <w:rPr>
                <w:color w:val="000000" w:themeColor="text1"/>
                <w:sz w:val="21"/>
                <w:szCs w:val="21"/>
                <w:shd w:val="clear" w:color="auto" w:fill="FFFFFF"/>
                <w:vertAlign w:val="superscript"/>
                <w:lang w:val="en-US"/>
              </w:rPr>
            </w:pPr>
            <w:r w:rsidRPr="00462676">
              <w:rPr>
                <w:color w:val="000000" w:themeColor="text1"/>
                <w:sz w:val="22"/>
                <w:szCs w:val="22"/>
                <w:lang w:val="en-US"/>
              </w:rPr>
              <w:t>Patients’ mean daily opioid dosage in MME for Oxycodone</w:t>
            </w:r>
          </w:p>
        </w:tc>
        <w:tc>
          <w:tcPr>
            <w:tcW w:w="850" w:type="dxa"/>
            <w:tcBorders>
              <w:bottom w:val="single" w:sz="12" w:space="0" w:color="auto"/>
            </w:tcBorders>
          </w:tcPr>
          <w:p w14:paraId="5DB55E89" w14:textId="6526B6E8" w:rsidR="003C2B1C" w:rsidRPr="00462676" w:rsidRDefault="003C2B1C" w:rsidP="00475E9D">
            <w:pPr>
              <w:jc w:val="center"/>
              <w:rPr>
                <w:color w:val="000000" w:themeColor="text1"/>
                <w:sz w:val="21"/>
                <w:szCs w:val="21"/>
                <w:shd w:val="clear" w:color="auto" w:fill="FFFFFF"/>
                <w:vertAlign w:val="superscript"/>
                <w:lang w:val="en-US"/>
              </w:rPr>
            </w:pPr>
            <w:r w:rsidRPr="00462676">
              <w:rPr>
                <w:color w:val="000000" w:themeColor="text1"/>
                <w:sz w:val="22"/>
                <w:szCs w:val="22"/>
                <w:lang w:val="en-US"/>
              </w:rPr>
              <w:t>-18.6</w:t>
            </w:r>
          </w:p>
        </w:tc>
        <w:tc>
          <w:tcPr>
            <w:tcW w:w="1170" w:type="dxa"/>
            <w:tcBorders>
              <w:bottom w:val="single" w:sz="12" w:space="0" w:color="auto"/>
            </w:tcBorders>
          </w:tcPr>
          <w:p w14:paraId="11F88FC7" w14:textId="1943BDEC" w:rsidR="003C2B1C" w:rsidRPr="00462676" w:rsidRDefault="003C2B1C" w:rsidP="00475E9D">
            <w:pPr>
              <w:jc w:val="center"/>
              <w:rPr>
                <w:color w:val="000000" w:themeColor="text1"/>
                <w:sz w:val="21"/>
                <w:szCs w:val="21"/>
                <w:shd w:val="clear" w:color="auto" w:fill="FFFFFF"/>
                <w:vertAlign w:val="superscript"/>
                <w:lang w:val="en-US"/>
              </w:rPr>
            </w:pPr>
            <w:r w:rsidRPr="00462676">
              <w:rPr>
                <w:color w:val="000000" w:themeColor="text1"/>
                <w:sz w:val="22"/>
                <w:szCs w:val="22"/>
                <w:lang w:val="en-US"/>
              </w:rPr>
              <w:t>-27.9, -3.7</w:t>
            </w:r>
          </w:p>
        </w:tc>
        <w:tc>
          <w:tcPr>
            <w:tcW w:w="1524" w:type="dxa"/>
            <w:tcBorders>
              <w:bottom w:val="single" w:sz="12" w:space="0" w:color="auto"/>
            </w:tcBorders>
          </w:tcPr>
          <w:p w14:paraId="07B08F40" w14:textId="56D9BFD4" w:rsidR="003C2B1C" w:rsidRPr="00462676" w:rsidRDefault="003C2B1C" w:rsidP="00475E9D">
            <w:pPr>
              <w:jc w:val="center"/>
              <w:rPr>
                <w:color w:val="000000" w:themeColor="text1"/>
                <w:sz w:val="21"/>
                <w:szCs w:val="21"/>
                <w:shd w:val="clear" w:color="auto" w:fill="FFFFFF"/>
                <w:vertAlign w:val="superscript"/>
                <w:lang w:val="en-US"/>
              </w:rPr>
            </w:pPr>
            <w:r w:rsidRPr="00462676">
              <w:rPr>
                <w:color w:val="000000" w:themeColor="text1"/>
                <w:sz w:val="22"/>
                <w:szCs w:val="22"/>
                <w:lang w:val="en-US"/>
              </w:rPr>
              <w:t>-11%</w:t>
            </w:r>
          </w:p>
        </w:tc>
        <w:tc>
          <w:tcPr>
            <w:tcW w:w="1422" w:type="dxa"/>
            <w:tcBorders>
              <w:bottom w:val="single" w:sz="12" w:space="0" w:color="auto"/>
            </w:tcBorders>
          </w:tcPr>
          <w:p w14:paraId="1B744871" w14:textId="7AA11196" w:rsidR="003C2B1C" w:rsidRPr="00462676" w:rsidRDefault="003C2B1C" w:rsidP="00475E9D">
            <w:pPr>
              <w:jc w:val="center"/>
              <w:rPr>
                <w:color w:val="000000" w:themeColor="text1"/>
                <w:sz w:val="21"/>
                <w:szCs w:val="21"/>
                <w:shd w:val="clear" w:color="auto" w:fill="FFFFFF"/>
                <w:vertAlign w:val="superscript"/>
                <w:lang w:val="en-US"/>
              </w:rPr>
            </w:pPr>
            <w:r w:rsidRPr="00462676">
              <w:rPr>
                <w:color w:val="000000" w:themeColor="text1"/>
                <w:sz w:val="22"/>
                <w:szCs w:val="22"/>
                <w:lang w:val="en-US"/>
              </w:rPr>
              <w:t>-16%, -2%</w:t>
            </w:r>
          </w:p>
        </w:tc>
      </w:tr>
    </w:tbl>
    <w:p w14:paraId="515FA260" w14:textId="4A80E182" w:rsidR="004B626A" w:rsidRPr="00462676" w:rsidRDefault="00B477AF" w:rsidP="004B626A">
      <w:pPr>
        <w:rPr>
          <w:color w:val="000000" w:themeColor="text1"/>
          <w:sz w:val="21"/>
          <w:szCs w:val="21"/>
          <w:lang w:val="en-US"/>
        </w:rPr>
      </w:pPr>
      <w:proofErr w:type="spellStart"/>
      <w:r w:rsidRPr="00462676">
        <w:rPr>
          <w:color w:val="000000" w:themeColor="text1"/>
          <w:sz w:val="21"/>
          <w:szCs w:val="21"/>
          <w:shd w:val="clear" w:color="auto" w:fill="FFFFFF"/>
          <w:vertAlign w:val="superscript"/>
          <w:lang w:val="en-US"/>
        </w:rPr>
        <w:t>a</w:t>
      </w:r>
      <w:proofErr w:type="spellEnd"/>
      <w:r w:rsidR="004B626A" w:rsidRPr="00462676">
        <w:rPr>
          <w:color w:val="000000" w:themeColor="text1"/>
          <w:sz w:val="21"/>
          <w:szCs w:val="21"/>
          <w:shd w:val="clear" w:color="auto" w:fill="FFFFFF"/>
          <w:lang w:val="en-US"/>
        </w:rPr>
        <w:t xml:space="preserve"> Each model included dummy variables for each quarter and a fixed effect for counties. Models also included the following time-varying covariates: Percentage of the total population identifying as White; Median household income (US</w:t>
      </w:r>
      <w:r w:rsidR="00475E9D" w:rsidRPr="00462676">
        <w:rPr>
          <w:color w:val="000000" w:themeColor="text1"/>
          <w:sz w:val="21"/>
          <w:szCs w:val="21"/>
          <w:shd w:val="clear" w:color="auto" w:fill="FFFFFF"/>
          <w:lang w:val="en-US"/>
        </w:rPr>
        <w:t>$</w:t>
      </w:r>
      <w:r w:rsidR="004B626A" w:rsidRPr="00462676">
        <w:rPr>
          <w:color w:val="000000" w:themeColor="text1"/>
          <w:sz w:val="21"/>
          <w:szCs w:val="21"/>
          <w:shd w:val="clear" w:color="auto" w:fill="FFFFFF"/>
          <w:lang w:val="en-US"/>
        </w:rPr>
        <w:t>); Percentage of rented occupied housing units; Percentage of US citizens; Percentage of Poverty (all ages); GINI index; Median gross rent</w:t>
      </w:r>
      <w:r w:rsidR="00475E9D" w:rsidRPr="00462676">
        <w:rPr>
          <w:color w:val="000000" w:themeColor="text1"/>
          <w:sz w:val="21"/>
          <w:szCs w:val="21"/>
          <w:shd w:val="clear" w:color="auto" w:fill="FFFFFF"/>
          <w:lang w:val="en-US"/>
        </w:rPr>
        <w:t xml:space="preserve"> </w:t>
      </w:r>
      <w:r w:rsidR="004B626A" w:rsidRPr="00462676">
        <w:rPr>
          <w:color w:val="000000" w:themeColor="text1"/>
          <w:sz w:val="21"/>
          <w:szCs w:val="21"/>
          <w:shd w:val="clear" w:color="auto" w:fill="FFFFFF"/>
          <w:lang w:val="en-US"/>
        </w:rPr>
        <w:t>(US</w:t>
      </w:r>
      <w:r w:rsidR="00475E9D" w:rsidRPr="00462676">
        <w:rPr>
          <w:color w:val="000000" w:themeColor="text1"/>
          <w:sz w:val="21"/>
          <w:szCs w:val="21"/>
          <w:shd w:val="clear" w:color="auto" w:fill="FFFFFF"/>
          <w:lang w:val="en-US"/>
        </w:rPr>
        <w:t>$)</w:t>
      </w:r>
      <w:r w:rsidR="004B626A" w:rsidRPr="00462676">
        <w:rPr>
          <w:color w:val="000000" w:themeColor="text1"/>
          <w:sz w:val="21"/>
          <w:szCs w:val="21"/>
          <w:shd w:val="clear" w:color="auto" w:fill="FFFFFF"/>
          <w:lang w:val="en-US"/>
        </w:rPr>
        <w:t>; Per capita income (US</w:t>
      </w:r>
      <w:r w:rsidR="00475E9D" w:rsidRPr="00462676">
        <w:rPr>
          <w:color w:val="000000" w:themeColor="text1"/>
          <w:sz w:val="21"/>
          <w:szCs w:val="21"/>
          <w:shd w:val="clear" w:color="auto" w:fill="FFFFFF"/>
          <w:lang w:val="en-US"/>
        </w:rPr>
        <w:t>$</w:t>
      </w:r>
      <w:r w:rsidR="004B626A" w:rsidRPr="00462676">
        <w:rPr>
          <w:color w:val="000000" w:themeColor="text1"/>
          <w:sz w:val="21"/>
          <w:szCs w:val="21"/>
          <w:shd w:val="clear" w:color="auto" w:fill="FFFFFF"/>
          <w:lang w:val="en-US"/>
        </w:rPr>
        <w:t>); and Percentage of people not graduated from high school.</w:t>
      </w:r>
      <w:r w:rsidR="003C2B1C" w:rsidRPr="00462676">
        <w:rPr>
          <w:color w:val="000000" w:themeColor="text1"/>
          <w:sz w:val="21"/>
          <w:szCs w:val="21"/>
          <w:shd w:val="clear" w:color="auto" w:fill="FFFFFF"/>
          <w:lang w:val="en-US"/>
        </w:rPr>
        <w:t xml:space="preserve"> MME = Morphine milligram equivalents</w:t>
      </w:r>
      <w:r w:rsidR="00475E9D" w:rsidRPr="00462676">
        <w:rPr>
          <w:color w:val="000000" w:themeColor="text1"/>
          <w:sz w:val="21"/>
          <w:szCs w:val="21"/>
          <w:shd w:val="clear" w:color="auto" w:fill="FFFFFF"/>
          <w:lang w:val="en-US"/>
        </w:rPr>
        <w:t>. AD = average difference.</w:t>
      </w:r>
    </w:p>
    <w:p w14:paraId="0731AD41" w14:textId="1DCC1030" w:rsidR="00980B2B" w:rsidRPr="00462676" w:rsidRDefault="00980B2B" w:rsidP="00E627CD">
      <w:pPr>
        <w:ind w:firstLine="708"/>
        <w:rPr>
          <w:color w:val="000000" w:themeColor="text1"/>
          <w:lang w:val="en-US"/>
        </w:rPr>
      </w:pPr>
      <w:r w:rsidRPr="00462676">
        <w:rPr>
          <w:color w:val="000000" w:themeColor="text1"/>
          <w:lang w:val="en-US"/>
        </w:rPr>
        <w:br w:type="page"/>
      </w:r>
    </w:p>
    <w:bookmarkEnd w:id="8"/>
    <w:p w14:paraId="02022853" w14:textId="77777777" w:rsidR="001371D6" w:rsidRPr="00462676" w:rsidRDefault="001371D6" w:rsidP="00E627CD">
      <w:pPr>
        <w:rPr>
          <w:b/>
          <w:bCs/>
          <w:color w:val="000000" w:themeColor="text1"/>
          <w:lang w:val="en-US" w:eastAsia="en-US"/>
        </w:rPr>
      </w:pPr>
      <w:r w:rsidRPr="00462676">
        <w:rPr>
          <w:b/>
          <w:bCs/>
          <w:color w:val="000000" w:themeColor="text1"/>
          <w:lang w:val="en-US" w:eastAsia="en-US"/>
        </w:rPr>
        <w:lastRenderedPageBreak/>
        <w:t>References</w:t>
      </w:r>
    </w:p>
    <w:p w14:paraId="039B9C01" w14:textId="77777777" w:rsidR="001371D6" w:rsidRPr="00462676" w:rsidRDefault="001371D6" w:rsidP="00E627CD">
      <w:pPr>
        <w:rPr>
          <w:color w:val="000000" w:themeColor="text1"/>
          <w:lang w:val="en-US" w:eastAsia="en-US"/>
        </w:rPr>
      </w:pPr>
    </w:p>
    <w:p w14:paraId="1B0E8B41" w14:textId="77777777" w:rsidR="00396C1F" w:rsidRPr="001B6B1B" w:rsidRDefault="009C1667" w:rsidP="00396C1F">
      <w:pPr>
        <w:pStyle w:val="EndNoteBibliography"/>
        <w:spacing w:line="480" w:lineRule="auto"/>
        <w:rPr>
          <w:lang w:val="en-US"/>
        </w:rPr>
      </w:pPr>
      <w:r w:rsidRPr="00462676">
        <w:rPr>
          <w:color w:val="000000" w:themeColor="text1"/>
          <w:lang w:val="en-US"/>
        </w:rPr>
        <w:fldChar w:fldCharType="begin"/>
      </w:r>
      <w:r w:rsidRPr="00396C1F">
        <w:rPr>
          <w:color w:val="000000" w:themeColor="text1"/>
          <w:lang w:val="en-US"/>
        </w:rPr>
        <w:instrText xml:space="preserve"> ADDIN EN.REFLIST </w:instrText>
      </w:r>
      <w:r w:rsidRPr="00462676">
        <w:rPr>
          <w:color w:val="000000" w:themeColor="text1"/>
          <w:lang w:val="en-US"/>
        </w:rPr>
        <w:fldChar w:fldCharType="separate"/>
      </w:r>
      <w:r w:rsidR="00396C1F" w:rsidRPr="001B6B1B">
        <w:rPr>
          <w:lang w:val="en-US"/>
        </w:rPr>
        <w:t>Abadie, A., Diamond, A., Hainmueller, J., 2010. Synthetic Control Methods for Comparative Case Studies: Estimating the Effect of California’s Tobacco Control Program. Journal of the American Statistical Association. 105, 493-505. doi: 10.1198/jasa.2009.ap08746.</w:t>
      </w:r>
    </w:p>
    <w:p w14:paraId="7B6E4154" w14:textId="77777777" w:rsidR="00396C1F" w:rsidRPr="001B6B1B" w:rsidRDefault="00396C1F" w:rsidP="00396C1F">
      <w:pPr>
        <w:pStyle w:val="EndNoteBibliography"/>
        <w:spacing w:line="480" w:lineRule="auto"/>
        <w:rPr>
          <w:lang w:val="en-US"/>
        </w:rPr>
      </w:pPr>
      <w:r w:rsidRPr="001B6B1B">
        <w:rPr>
          <w:lang w:val="en-US"/>
        </w:rPr>
        <w:t>Abadie, A., Diamond, A., Hainmueller, J., 2014. Comparative Politics and the Synthetic Control Method. American Journal of Political Science. 59, 495-510. doi: 10.1111/ajps.12116.</w:t>
      </w:r>
    </w:p>
    <w:p w14:paraId="765E3AFD" w14:textId="77777777" w:rsidR="00396C1F" w:rsidRPr="001B6B1B" w:rsidRDefault="00396C1F" w:rsidP="00396C1F">
      <w:pPr>
        <w:pStyle w:val="EndNoteBibliography"/>
        <w:spacing w:line="480" w:lineRule="auto"/>
        <w:rPr>
          <w:lang w:val="en-US"/>
        </w:rPr>
      </w:pPr>
      <w:r w:rsidRPr="001B6B1B">
        <w:rPr>
          <w:lang w:val="en-US"/>
        </w:rPr>
        <w:t>Athey, S., Bayati, M., Doudchenko, N., Imbens, G., Khosravi, K., 2018. Matrix Completion Methods for Causal Panel Data Models. National Bureau of Economic Research.</w:t>
      </w:r>
    </w:p>
    <w:p w14:paraId="5202B751" w14:textId="77777777" w:rsidR="00396C1F" w:rsidRPr="001B6B1B" w:rsidRDefault="00396C1F" w:rsidP="00396C1F">
      <w:pPr>
        <w:pStyle w:val="EndNoteBibliography"/>
        <w:spacing w:line="480" w:lineRule="auto"/>
        <w:rPr>
          <w:lang w:val="en-US"/>
        </w:rPr>
      </w:pPr>
      <w:r w:rsidRPr="001B6B1B">
        <w:rPr>
          <w:lang w:val="en-US"/>
        </w:rPr>
        <w:t>Bai, J., 2009. Panel Data Models With Interactive Fixed Effects. Econometrica. 77, 1229-1279. doi: 10.3982/ecta6135.</w:t>
      </w:r>
    </w:p>
    <w:p w14:paraId="5D50629F" w14:textId="77777777" w:rsidR="00396C1F" w:rsidRPr="001B6B1B" w:rsidRDefault="00396C1F" w:rsidP="00396C1F">
      <w:pPr>
        <w:pStyle w:val="EndNoteBibliography"/>
        <w:spacing w:line="480" w:lineRule="auto"/>
        <w:rPr>
          <w:lang w:val="en-US"/>
        </w:rPr>
      </w:pPr>
      <w:r w:rsidRPr="001B6B1B">
        <w:rPr>
          <w:lang w:val="en-US"/>
        </w:rPr>
        <w:t>Brůha, J., Tonner, J., 2018. An Exchange Rate Floor as an Instrument of Monetary Policy: An Ex-Post Assessment of the Czech Experience. Czech National Bank, Working paper series. 68, 537-549.</w:t>
      </w:r>
    </w:p>
    <w:p w14:paraId="3DA627B4" w14:textId="77777777" w:rsidR="00396C1F" w:rsidRPr="001B6B1B" w:rsidRDefault="00396C1F" w:rsidP="00396C1F">
      <w:pPr>
        <w:pStyle w:val="EndNoteBibliography"/>
        <w:spacing w:line="480" w:lineRule="auto"/>
        <w:rPr>
          <w:lang w:val="en-US"/>
        </w:rPr>
      </w:pPr>
      <w:r w:rsidRPr="001B6B1B">
        <w:rPr>
          <w:lang w:val="en-US"/>
        </w:rPr>
        <w:t>Garner, M., Harvey, A., Johnson, H., 2019. Estimating Effects of Affirmative Action in Policing: A Replication and Extension of Previous Research.</w:t>
      </w:r>
    </w:p>
    <w:p w14:paraId="0EB9FC9D" w14:textId="77777777" w:rsidR="00396C1F" w:rsidRPr="001B6B1B" w:rsidRDefault="00396C1F" w:rsidP="00396C1F">
      <w:pPr>
        <w:pStyle w:val="EndNoteBibliography"/>
        <w:spacing w:line="480" w:lineRule="auto"/>
        <w:rPr>
          <w:lang w:val="en-US"/>
        </w:rPr>
      </w:pPr>
      <w:r w:rsidRPr="001B6B1B">
        <w:rPr>
          <w:lang w:val="en-US"/>
        </w:rPr>
        <w:t>Gobillon, L., Magnac, T., 2016. Regional Policy Evaluation: Interactive Fixed Effects and Synthetic Controls. Review of Economics and Statistics. 98, 535-551. doi: 10.1162/rest_a_00537.</w:t>
      </w:r>
    </w:p>
    <w:p w14:paraId="2C02E7A2" w14:textId="77777777" w:rsidR="00396C1F" w:rsidRPr="001B6B1B" w:rsidRDefault="00396C1F" w:rsidP="00396C1F">
      <w:pPr>
        <w:pStyle w:val="EndNoteBibliography"/>
        <w:spacing w:line="480" w:lineRule="auto"/>
        <w:rPr>
          <w:lang w:val="en-US"/>
        </w:rPr>
      </w:pPr>
      <w:r w:rsidRPr="001B6B1B">
        <w:rPr>
          <w:lang w:val="en-US"/>
        </w:rPr>
        <w:t>King, G., Zeng, L., 2006. The Dangers of Extreme Counterfactuals. Political Analysis. 14, 131-159. doi: 10.1093/pan/mpj004.</w:t>
      </w:r>
    </w:p>
    <w:p w14:paraId="620BD53F" w14:textId="77777777" w:rsidR="00396C1F" w:rsidRPr="001B6B1B" w:rsidRDefault="00396C1F" w:rsidP="00396C1F">
      <w:pPr>
        <w:pStyle w:val="EndNoteBibliography"/>
        <w:spacing w:line="480" w:lineRule="auto"/>
        <w:rPr>
          <w:lang w:val="en-US"/>
        </w:rPr>
      </w:pPr>
      <w:r w:rsidRPr="001B6B1B">
        <w:rPr>
          <w:lang w:val="en-US"/>
        </w:rPr>
        <w:t>McNamee, L., Zhang, A., 2019. Demographic Engineering and International Conflict: Evidence from China and the Former USSR. International Organization. 73, 291-327. doi: 10.1017/s0020818319000067.</w:t>
      </w:r>
    </w:p>
    <w:p w14:paraId="44A949FD" w14:textId="77777777" w:rsidR="00396C1F" w:rsidRPr="001B6B1B" w:rsidRDefault="00396C1F" w:rsidP="00396C1F">
      <w:pPr>
        <w:pStyle w:val="EndNoteBibliography"/>
        <w:spacing w:line="480" w:lineRule="auto"/>
        <w:rPr>
          <w:lang w:val="en-US"/>
        </w:rPr>
      </w:pPr>
      <w:r w:rsidRPr="001B6B1B">
        <w:rPr>
          <w:lang w:val="en-US"/>
        </w:rPr>
        <w:lastRenderedPageBreak/>
        <w:t>O’Neill, S., Kreif, N., Grieve, R., Sutton, M., Sekhon, J.S., 2016. Estimating causal effects: considering three alternatives to difference-in-differences estimation. Health Services and Outcomes Research Methodology. 16, 1-21. doi: 10.1007/s10742-016-0146-8.</w:t>
      </w:r>
    </w:p>
    <w:p w14:paraId="582C9454" w14:textId="77777777" w:rsidR="00396C1F" w:rsidRPr="001B6B1B" w:rsidRDefault="00396C1F" w:rsidP="00396C1F">
      <w:pPr>
        <w:pStyle w:val="EndNoteBibliography"/>
        <w:spacing w:line="480" w:lineRule="auto"/>
        <w:rPr>
          <w:lang w:val="en-US"/>
        </w:rPr>
      </w:pPr>
      <w:r w:rsidRPr="001B6B1B">
        <w:rPr>
          <w:lang w:val="en-US"/>
        </w:rPr>
        <w:t>Pierzgalski, M., Górecki, M., Stępień, P., 2019. Ballot Paper Design and Vote Spoiling at Polish Local Elections of 2014: Establishing a Causal Link. East European Politics and Societies And Cultures. 1-26. doi: 10.1177/0888325419874427.</w:t>
      </w:r>
    </w:p>
    <w:p w14:paraId="4D4475D0" w14:textId="77777777" w:rsidR="00396C1F" w:rsidRPr="001B6B1B" w:rsidRDefault="00396C1F" w:rsidP="00396C1F">
      <w:pPr>
        <w:pStyle w:val="EndNoteBibliography"/>
        <w:spacing w:line="480" w:lineRule="auto"/>
        <w:rPr>
          <w:lang w:val="en-US"/>
        </w:rPr>
      </w:pPr>
      <w:r w:rsidRPr="001B6B1B">
        <w:rPr>
          <w:lang w:val="en-US"/>
        </w:rPr>
        <w:t>Xu, Y., 2015. 17.802: Lecture: Synthetic Control Methods [PowerPoint slides]. 17.802 Quantitative Research Methods II Spring 2015 - MIT, MIT.</w:t>
      </w:r>
    </w:p>
    <w:p w14:paraId="30C5CF9F" w14:textId="77777777" w:rsidR="00396C1F" w:rsidRPr="00396C1F" w:rsidRDefault="00396C1F" w:rsidP="00396C1F">
      <w:pPr>
        <w:pStyle w:val="EndNoteBibliography"/>
        <w:spacing w:line="480" w:lineRule="auto"/>
      </w:pPr>
      <w:r w:rsidRPr="001B6B1B">
        <w:rPr>
          <w:lang w:val="en-US"/>
        </w:rPr>
        <w:t xml:space="preserve">Xu, Y., 2017. Generalized Synthetic Control Method: Causal Inference with Interactive Fixed Effects Models. </w:t>
      </w:r>
      <w:r w:rsidRPr="00396C1F">
        <w:t>Political Analysis. 25, 57-76. doi: 10.1017/pan.2016.2.</w:t>
      </w:r>
    </w:p>
    <w:p w14:paraId="697C04D2" w14:textId="02E1F021" w:rsidR="00522703" w:rsidRPr="00462676" w:rsidRDefault="009C1667" w:rsidP="00396C1F">
      <w:pPr>
        <w:spacing w:line="480" w:lineRule="auto"/>
        <w:rPr>
          <w:color w:val="000000" w:themeColor="text1"/>
          <w:lang w:val="en-US"/>
        </w:rPr>
      </w:pPr>
      <w:r w:rsidRPr="00462676">
        <w:rPr>
          <w:color w:val="000000" w:themeColor="text1"/>
          <w:lang w:val="en-US"/>
        </w:rPr>
        <w:fldChar w:fldCharType="end"/>
      </w:r>
    </w:p>
    <w:sectPr w:rsidR="00522703" w:rsidRPr="00462676" w:rsidSect="00522703">
      <w:footerReference w:type="default" r:id="rId16"/>
      <w:pgSz w:w="12240" w:h="15840"/>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62C2292" w14:textId="77777777" w:rsidR="004E733F" w:rsidRDefault="004E733F">
      <w:r>
        <w:separator/>
      </w:r>
    </w:p>
  </w:endnote>
  <w:endnote w:type="continuationSeparator" w:id="0">
    <w:p w14:paraId="07996AE6" w14:textId="77777777" w:rsidR="004E733F" w:rsidRDefault="004E73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Calibri Light">
    <w:panose1 w:val="020F0302020204030204"/>
    <w:charset w:val="00"/>
    <w:family w:val="swiss"/>
    <w:pitch w:val="variable"/>
    <w:sig w:usb0="E0002AFF" w:usb1="C000247B" w:usb2="00000009" w:usb3="00000000" w:csb0="000001FF" w:csb1="00000000"/>
  </w:font>
  <w:font w:name="Segoe UI">
    <w:altName w:val="Sylfaen"/>
    <w:panose1 w:val="020B0604020202020204"/>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DCDF31" w14:textId="77777777" w:rsidR="00522703" w:rsidRDefault="00522703">
    <w:pPr>
      <w:pStyle w:val="Piedepgina"/>
    </w:pPr>
  </w:p>
  <w:p w14:paraId="206B4234" w14:textId="77777777" w:rsidR="00522703" w:rsidRDefault="0052270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02D3D9" w14:textId="77777777" w:rsidR="00522703" w:rsidRDefault="00522703">
    <w:pPr>
      <w:pStyle w:val="Piedepgina"/>
    </w:pPr>
  </w:p>
  <w:p w14:paraId="21861782" w14:textId="77777777" w:rsidR="00522703" w:rsidRDefault="00522703"/>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50849362"/>
      <w:docPartObj>
        <w:docPartGallery w:val="Page Numbers (Bottom of Page)"/>
        <w:docPartUnique/>
      </w:docPartObj>
    </w:sdtPr>
    <w:sdtEndPr/>
    <w:sdtContent>
      <w:p w14:paraId="37096EE6" w14:textId="77777777" w:rsidR="00522703" w:rsidRDefault="00490776">
        <w:pPr>
          <w:pStyle w:val="Piedepgina"/>
          <w:jc w:val="right"/>
        </w:pPr>
        <w:r>
          <w:fldChar w:fldCharType="begin"/>
        </w:r>
        <w:r>
          <w:instrText>PAGE   \* MERGEFORMAT</w:instrText>
        </w:r>
        <w:r>
          <w:fldChar w:fldCharType="separate"/>
        </w:r>
        <w:r w:rsidRPr="00F53884">
          <w:rPr>
            <w:noProof/>
            <w:lang w:val="es-ES"/>
          </w:rPr>
          <w:t>17</w:t>
        </w:r>
        <w:r>
          <w:fldChar w:fldCharType="end"/>
        </w:r>
      </w:p>
    </w:sdtContent>
  </w:sdt>
  <w:p w14:paraId="7FF04837" w14:textId="77777777" w:rsidR="00522703" w:rsidRDefault="00522703">
    <w:pPr>
      <w:pStyle w:val="Piedepgina"/>
    </w:pPr>
  </w:p>
  <w:p w14:paraId="400F5DF1" w14:textId="77777777" w:rsidR="00522703" w:rsidRDefault="0052270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960555E" w14:textId="77777777" w:rsidR="004E733F" w:rsidRDefault="004E733F">
      <w:r>
        <w:separator/>
      </w:r>
    </w:p>
  </w:footnote>
  <w:footnote w:type="continuationSeparator" w:id="0">
    <w:p w14:paraId="5516826A" w14:textId="77777777" w:rsidR="004E733F" w:rsidRDefault="004E73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AD20DC" w14:textId="77777777" w:rsidR="00522703" w:rsidRDefault="00522703">
    <w:pPr>
      <w:pStyle w:val="Encabezado"/>
    </w:pPr>
  </w:p>
  <w:p w14:paraId="4ED26120" w14:textId="77777777" w:rsidR="00522703" w:rsidRDefault="0052270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7A0241" w14:textId="77777777" w:rsidR="00522703" w:rsidRDefault="00522703">
    <w:pPr>
      <w:pStyle w:val="Encabezado"/>
    </w:pPr>
  </w:p>
  <w:p w14:paraId="54B53F78" w14:textId="77777777" w:rsidR="00522703" w:rsidRDefault="00522703"/>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6"/>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jCzMDM3MbEwN7AwNbdU0lEKTi0uzszPAykwtKgFAFG7/jYtAAAA"/>
    <w:docVar w:name="EN.InstantFormat" w:val="&lt;ENInstantFormat&gt;&lt;Enabled&gt;1&lt;/Enabled&gt;&lt;ScanUnformatted&gt;1&lt;/ScanUnformatted&gt;&lt;ScanChanges&gt;1&lt;/ScanChanges&gt;&lt;Suspended&gt;0&lt;/Suspended&gt;&lt;/ENInstantFormat&gt;"/>
    <w:docVar w:name="EN.Layout" w:val="&lt;ENLayout&gt;&lt;Style&gt;Drug Alcohol Depend Cop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wfvx2527dae5zeftwnxfad5w2we5zav9t5d&quot;&gt;My EndNote Library2&lt;record-ids&gt;&lt;item&gt;23&lt;/item&gt;&lt;item&gt;26&lt;/item&gt;&lt;item&gt;32&lt;/item&gt;&lt;item&gt;53&lt;/item&gt;&lt;item&gt;60&lt;/item&gt;&lt;item&gt;64&lt;/item&gt;&lt;item&gt;68&lt;/item&gt;&lt;item&gt;69&lt;/item&gt;&lt;item&gt;71&lt;/item&gt;&lt;item&gt;72&lt;/item&gt;&lt;item&gt;97&lt;/item&gt;&lt;item&gt;101&lt;/item&gt;&lt;item&gt;117&lt;/item&gt;&lt;/record-ids&gt;&lt;/item&gt;&lt;/Libraries&gt;"/>
  </w:docVars>
  <w:rsids>
    <w:rsidRoot w:val="00980B2B"/>
    <w:rsid w:val="0004228D"/>
    <w:rsid w:val="000506A1"/>
    <w:rsid w:val="000564C4"/>
    <w:rsid w:val="00060315"/>
    <w:rsid w:val="00072A89"/>
    <w:rsid w:val="000B03DD"/>
    <w:rsid w:val="000B59B2"/>
    <w:rsid w:val="000D3F18"/>
    <w:rsid w:val="00117725"/>
    <w:rsid w:val="001371D6"/>
    <w:rsid w:val="00151EC6"/>
    <w:rsid w:val="0019213B"/>
    <w:rsid w:val="001A0802"/>
    <w:rsid w:val="001B6B1B"/>
    <w:rsid w:val="001C38AB"/>
    <w:rsid w:val="001D034E"/>
    <w:rsid w:val="001F40F2"/>
    <w:rsid w:val="001F568A"/>
    <w:rsid w:val="002207C5"/>
    <w:rsid w:val="00245ED8"/>
    <w:rsid w:val="00250DE8"/>
    <w:rsid w:val="00252B44"/>
    <w:rsid w:val="00276DDB"/>
    <w:rsid w:val="00285660"/>
    <w:rsid w:val="002A1DDE"/>
    <w:rsid w:val="002A335C"/>
    <w:rsid w:val="002C54F5"/>
    <w:rsid w:val="002C7D1B"/>
    <w:rsid w:val="003065A8"/>
    <w:rsid w:val="0031621A"/>
    <w:rsid w:val="00317F6C"/>
    <w:rsid w:val="00325AA0"/>
    <w:rsid w:val="003402BB"/>
    <w:rsid w:val="00350A8C"/>
    <w:rsid w:val="00376232"/>
    <w:rsid w:val="00377E91"/>
    <w:rsid w:val="00387EC1"/>
    <w:rsid w:val="00387ED5"/>
    <w:rsid w:val="00396C1F"/>
    <w:rsid w:val="003B3006"/>
    <w:rsid w:val="003C2B1C"/>
    <w:rsid w:val="003D4F62"/>
    <w:rsid w:val="003D7814"/>
    <w:rsid w:val="003E5716"/>
    <w:rsid w:val="00400339"/>
    <w:rsid w:val="0041084D"/>
    <w:rsid w:val="00445BB1"/>
    <w:rsid w:val="00446151"/>
    <w:rsid w:val="004516D0"/>
    <w:rsid w:val="00454D4D"/>
    <w:rsid w:val="00455AD0"/>
    <w:rsid w:val="00462676"/>
    <w:rsid w:val="00475E9D"/>
    <w:rsid w:val="00476488"/>
    <w:rsid w:val="004852B4"/>
    <w:rsid w:val="00490776"/>
    <w:rsid w:val="004B626A"/>
    <w:rsid w:val="004E733F"/>
    <w:rsid w:val="004F277B"/>
    <w:rsid w:val="00501188"/>
    <w:rsid w:val="00507878"/>
    <w:rsid w:val="00522703"/>
    <w:rsid w:val="00530004"/>
    <w:rsid w:val="0056236E"/>
    <w:rsid w:val="00582777"/>
    <w:rsid w:val="005A57A3"/>
    <w:rsid w:val="005B22A8"/>
    <w:rsid w:val="005B7FA6"/>
    <w:rsid w:val="005E39DE"/>
    <w:rsid w:val="005F1761"/>
    <w:rsid w:val="006132B9"/>
    <w:rsid w:val="00621EB8"/>
    <w:rsid w:val="00630F9A"/>
    <w:rsid w:val="00634AD6"/>
    <w:rsid w:val="00656976"/>
    <w:rsid w:val="0068221B"/>
    <w:rsid w:val="00696131"/>
    <w:rsid w:val="006A4577"/>
    <w:rsid w:val="006C1E30"/>
    <w:rsid w:val="006C2FFD"/>
    <w:rsid w:val="006D40FD"/>
    <w:rsid w:val="00700590"/>
    <w:rsid w:val="00705245"/>
    <w:rsid w:val="0071011B"/>
    <w:rsid w:val="00732180"/>
    <w:rsid w:val="00734A0D"/>
    <w:rsid w:val="00750D95"/>
    <w:rsid w:val="00765959"/>
    <w:rsid w:val="00774E8F"/>
    <w:rsid w:val="00785BF8"/>
    <w:rsid w:val="007B38FE"/>
    <w:rsid w:val="007E4F50"/>
    <w:rsid w:val="007F6F03"/>
    <w:rsid w:val="008205D7"/>
    <w:rsid w:val="00826595"/>
    <w:rsid w:val="00837E08"/>
    <w:rsid w:val="008426FE"/>
    <w:rsid w:val="008844B5"/>
    <w:rsid w:val="008B2BF4"/>
    <w:rsid w:val="008C55C1"/>
    <w:rsid w:val="008E23AE"/>
    <w:rsid w:val="008F31C5"/>
    <w:rsid w:val="00915E7D"/>
    <w:rsid w:val="00921D3C"/>
    <w:rsid w:val="0094741D"/>
    <w:rsid w:val="00957178"/>
    <w:rsid w:val="00980B2B"/>
    <w:rsid w:val="009869AE"/>
    <w:rsid w:val="00994B6B"/>
    <w:rsid w:val="009C1667"/>
    <w:rsid w:val="009C5654"/>
    <w:rsid w:val="009C6AF3"/>
    <w:rsid w:val="009D05FB"/>
    <w:rsid w:val="009D704D"/>
    <w:rsid w:val="009E351F"/>
    <w:rsid w:val="009E6FF2"/>
    <w:rsid w:val="009F6ABB"/>
    <w:rsid w:val="00A23640"/>
    <w:rsid w:val="00A51FF0"/>
    <w:rsid w:val="00AD39C9"/>
    <w:rsid w:val="00AF0A7E"/>
    <w:rsid w:val="00AF408C"/>
    <w:rsid w:val="00B27108"/>
    <w:rsid w:val="00B477AF"/>
    <w:rsid w:val="00B52F8D"/>
    <w:rsid w:val="00B93FA1"/>
    <w:rsid w:val="00B972AD"/>
    <w:rsid w:val="00BF6C03"/>
    <w:rsid w:val="00C07BC1"/>
    <w:rsid w:val="00C120BB"/>
    <w:rsid w:val="00C20088"/>
    <w:rsid w:val="00C401EC"/>
    <w:rsid w:val="00C50376"/>
    <w:rsid w:val="00C50773"/>
    <w:rsid w:val="00C564AD"/>
    <w:rsid w:val="00C93E3D"/>
    <w:rsid w:val="00CA27AD"/>
    <w:rsid w:val="00CC0F25"/>
    <w:rsid w:val="00CC2741"/>
    <w:rsid w:val="00CC757F"/>
    <w:rsid w:val="00CD7390"/>
    <w:rsid w:val="00D25751"/>
    <w:rsid w:val="00D2665A"/>
    <w:rsid w:val="00D30B33"/>
    <w:rsid w:val="00D30E83"/>
    <w:rsid w:val="00D36021"/>
    <w:rsid w:val="00D372CA"/>
    <w:rsid w:val="00D44CC2"/>
    <w:rsid w:val="00D45393"/>
    <w:rsid w:val="00D45A90"/>
    <w:rsid w:val="00D57436"/>
    <w:rsid w:val="00D857F3"/>
    <w:rsid w:val="00D90E8B"/>
    <w:rsid w:val="00D9379F"/>
    <w:rsid w:val="00DA3810"/>
    <w:rsid w:val="00DA4A80"/>
    <w:rsid w:val="00DA4CB7"/>
    <w:rsid w:val="00DA4F45"/>
    <w:rsid w:val="00DF0725"/>
    <w:rsid w:val="00DF1143"/>
    <w:rsid w:val="00E14F15"/>
    <w:rsid w:val="00E15AEB"/>
    <w:rsid w:val="00E2164D"/>
    <w:rsid w:val="00E2741B"/>
    <w:rsid w:val="00E31594"/>
    <w:rsid w:val="00E32611"/>
    <w:rsid w:val="00E37842"/>
    <w:rsid w:val="00E5013A"/>
    <w:rsid w:val="00E627CD"/>
    <w:rsid w:val="00E70F14"/>
    <w:rsid w:val="00E83867"/>
    <w:rsid w:val="00E8709C"/>
    <w:rsid w:val="00E94579"/>
    <w:rsid w:val="00E96E0B"/>
    <w:rsid w:val="00E971E2"/>
    <w:rsid w:val="00EB64EF"/>
    <w:rsid w:val="00EC3A62"/>
    <w:rsid w:val="00ED7A74"/>
    <w:rsid w:val="00EF2790"/>
    <w:rsid w:val="00EF35FE"/>
    <w:rsid w:val="00F058AA"/>
    <w:rsid w:val="00F157A0"/>
    <w:rsid w:val="00F364C0"/>
    <w:rsid w:val="00F53A8A"/>
    <w:rsid w:val="00F624D0"/>
    <w:rsid w:val="00F64071"/>
    <w:rsid w:val="00F702E8"/>
    <w:rsid w:val="00F90E33"/>
    <w:rsid w:val="00F94F36"/>
    <w:rsid w:val="00F97552"/>
    <w:rsid w:val="00FA3FC7"/>
    <w:rsid w:val="00FD5B9F"/>
    <w:rsid w:val="00FE67A3"/>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9482E0"/>
  <w15:chartTrackingRefBased/>
  <w15:docId w15:val="{365E3B10-2361-4D8D-ABA4-4F49DC91F3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0B2B"/>
    <w:pPr>
      <w:spacing w:after="0" w:line="240" w:lineRule="auto"/>
    </w:pPr>
    <w:rPr>
      <w:rFonts w:ascii="Times New Roman" w:eastAsia="Times New Roman" w:hAnsi="Times New Roman" w:cs="Times New Roman"/>
      <w:sz w:val="24"/>
      <w:szCs w:val="24"/>
      <w:lang w:eastAsia="es-ES_tradnl"/>
    </w:rPr>
  </w:style>
  <w:style w:type="paragraph" w:styleId="Ttulo1">
    <w:name w:val="heading 1"/>
    <w:basedOn w:val="Normal"/>
    <w:next w:val="Normal"/>
    <w:link w:val="Ttulo1Car"/>
    <w:uiPriority w:val="9"/>
    <w:qFormat/>
    <w:rsid w:val="00980B2B"/>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317F6C"/>
    <w:pPr>
      <w:keepNext/>
      <w:keepLines/>
      <w:spacing w:before="40" w:line="259" w:lineRule="auto"/>
      <w:outlineLvl w:val="1"/>
    </w:pPr>
    <w:rPr>
      <w:rFonts w:eastAsiaTheme="majorEastAsia"/>
      <w:b/>
      <w:bCs/>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80B2B"/>
    <w:rPr>
      <w:rFonts w:asciiTheme="majorHAnsi" w:eastAsiaTheme="majorEastAsia" w:hAnsiTheme="majorHAnsi" w:cstheme="majorBidi"/>
      <w:color w:val="2F5496" w:themeColor="accent1" w:themeShade="BF"/>
      <w:sz w:val="32"/>
      <w:szCs w:val="32"/>
      <w:lang w:eastAsia="es-ES_tradnl"/>
    </w:rPr>
  </w:style>
  <w:style w:type="character" w:customStyle="1" w:styleId="Ttulo2Car">
    <w:name w:val="Título 2 Car"/>
    <w:basedOn w:val="Fuentedeprrafopredeter"/>
    <w:link w:val="Ttulo2"/>
    <w:uiPriority w:val="9"/>
    <w:rsid w:val="00317F6C"/>
    <w:rPr>
      <w:rFonts w:ascii="Times New Roman" w:eastAsiaTheme="majorEastAsia" w:hAnsi="Times New Roman" w:cs="Times New Roman"/>
      <w:b/>
      <w:bCs/>
      <w:sz w:val="24"/>
      <w:szCs w:val="24"/>
      <w:lang w:val="en-US"/>
    </w:rPr>
  </w:style>
  <w:style w:type="paragraph" w:customStyle="1" w:styleId="EndNoteBibliography">
    <w:name w:val="EndNote Bibliography"/>
    <w:basedOn w:val="Normal"/>
    <w:link w:val="EndNoteBibliographyCar"/>
    <w:rsid w:val="00980B2B"/>
    <w:rPr>
      <w:noProof/>
      <w:lang w:val="es-ES_tradnl"/>
    </w:rPr>
  </w:style>
  <w:style w:type="character" w:customStyle="1" w:styleId="EndNoteBibliographyCar">
    <w:name w:val="EndNote Bibliography Car"/>
    <w:basedOn w:val="Fuentedeprrafopredeter"/>
    <w:link w:val="EndNoteBibliography"/>
    <w:rsid w:val="00980B2B"/>
    <w:rPr>
      <w:rFonts w:ascii="Times New Roman" w:eastAsia="Times New Roman" w:hAnsi="Times New Roman" w:cs="Times New Roman"/>
      <w:noProof/>
      <w:sz w:val="24"/>
      <w:szCs w:val="24"/>
      <w:lang w:val="es-ES_tradnl" w:eastAsia="es-ES_tradnl"/>
    </w:rPr>
  </w:style>
  <w:style w:type="paragraph" w:styleId="Prrafodelista">
    <w:name w:val="List Paragraph"/>
    <w:basedOn w:val="Normal"/>
    <w:uiPriority w:val="34"/>
    <w:qFormat/>
    <w:rsid w:val="00980B2B"/>
    <w:pPr>
      <w:spacing w:after="160" w:line="259" w:lineRule="auto"/>
      <w:ind w:left="720"/>
      <w:contextualSpacing/>
    </w:pPr>
    <w:rPr>
      <w:rFonts w:asciiTheme="minorHAnsi" w:eastAsiaTheme="minorHAnsi" w:hAnsiTheme="minorHAnsi" w:cstheme="minorBidi"/>
      <w:sz w:val="22"/>
      <w:szCs w:val="22"/>
      <w:lang w:val="en-US" w:eastAsia="en-US"/>
    </w:rPr>
  </w:style>
  <w:style w:type="character" w:styleId="Refdecomentario">
    <w:name w:val="annotation reference"/>
    <w:basedOn w:val="Fuentedeprrafopredeter"/>
    <w:uiPriority w:val="99"/>
    <w:semiHidden/>
    <w:unhideWhenUsed/>
    <w:rsid w:val="00980B2B"/>
    <w:rPr>
      <w:sz w:val="16"/>
      <w:szCs w:val="16"/>
    </w:rPr>
  </w:style>
  <w:style w:type="paragraph" w:styleId="Textocomentario">
    <w:name w:val="annotation text"/>
    <w:basedOn w:val="Normal"/>
    <w:link w:val="TextocomentarioCar"/>
    <w:uiPriority w:val="99"/>
    <w:unhideWhenUsed/>
    <w:rsid w:val="00980B2B"/>
    <w:pPr>
      <w:spacing w:after="160"/>
    </w:pPr>
    <w:rPr>
      <w:rFonts w:asciiTheme="minorHAnsi" w:eastAsiaTheme="minorHAnsi" w:hAnsiTheme="minorHAnsi" w:cstheme="minorBidi"/>
      <w:sz w:val="20"/>
      <w:szCs w:val="20"/>
      <w:lang w:val="en-US" w:eastAsia="en-US"/>
    </w:rPr>
  </w:style>
  <w:style w:type="character" w:customStyle="1" w:styleId="TextocomentarioCar">
    <w:name w:val="Texto comentario Car"/>
    <w:basedOn w:val="Fuentedeprrafopredeter"/>
    <w:link w:val="Textocomentario"/>
    <w:uiPriority w:val="99"/>
    <w:rsid w:val="00980B2B"/>
    <w:rPr>
      <w:sz w:val="20"/>
      <w:szCs w:val="20"/>
      <w:lang w:val="en-US"/>
    </w:rPr>
  </w:style>
  <w:style w:type="paragraph" w:styleId="Textodeglobo">
    <w:name w:val="Balloon Text"/>
    <w:basedOn w:val="Normal"/>
    <w:link w:val="TextodegloboCar"/>
    <w:uiPriority w:val="99"/>
    <w:semiHidden/>
    <w:unhideWhenUsed/>
    <w:rsid w:val="00980B2B"/>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80B2B"/>
    <w:rPr>
      <w:rFonts w:ascii="Segoe UI" w:eastAsia="Times New Roman" w:hAnsi="Segoe UI" w:cs="Segoe UI"/>
      <w:sz w:val="18"/>
      <w:szCs w:val="18"/>
      <w:lang w:eastAsia="es-ES_tradnl"/>
    </w:rPr>
  </w:style>
  <w:style w:type="paragraph" w:customStyle="1" w:styleId="EndNoteBibliographyTitle">
    <w:name w:val="EndNote Bibliography Title"/>
    <w:basedOn w:val="Normal"/>
    <w:link w:val="EndNoteBibliographyTitleCar"/>
    <w:rsid w:val="00980B2B"/>
    <w:pPr>
      <w:jc w:val="center"/>
    </w:pPr>
    <w:rPr>
      <w:noProof/>
      <w:lang w:val="es-ES_tradnl"/>
    </w:rPr>
  </w:style>
  <w:style w:type="character" w:customStyle="1" w:styleId="EndNoteBibliographyTitleCar">
    <w:name w:val="EndNote Bibliography Title Car"/>
    <w:basedOn w:val="Fuentedeprrafopredeter"/>
    <w:link w:val="EndNoteBibliographyTitle"/>
    <w:rsid w:val="00980B2B"/>
    <w:rPr>
      <w:rFonts w:ascii="Times New Roman" w:eastAsia="Times New Roman" w:hAnsi="Times New Roman" w:cs="Times New Roman"/>
      <w:noProof/>
      <w:sz w:val="24"/>
      <w:szCs w:val="24"/>
      <w:lang w:val="es-ES_tradnl" w:eastAsia="es-ES_tradnl"/>
    </w:rPr>
  </w:style>
  <w:style w:type="paragraph" w:styleId="Encabezado">
    <w:name w:val="header"/>
    <w:basedOn w:val="Normal"/>
    <w:link w:val="EncabezadoCar"/>
    <w:uiPriority w:val="99"/>
    <w:unhideWhenUsed/>
    <w:rsid w:val="00980B2B"/>
    <w:pPr>
      <w:tabs>
        <w:tab w:val="center" w:pos="4680"/>
        <w:tab w:val="right" w:pos="9360"/>
      </w:tabs>
    </w:pPr>
  </w:style>
  <w:style w:type="character" w:customStyle="1" w:styleId="EncabezadoCar">
    <w:name w:val="Encabezado Car"/>
    <w:basedOn w:val="Fuentedeprrafopredeter"/>
    <w:link w:val="Encabezado"/>
    <w:uiPriority w:val="99"/>
    <w:rsid w:val="00980B2B"/>
    <w:rPr>
      <w:rFonts w:ascii="Times New Roman" w:eastAsia="Times New Roman" w:hAnsi="Times New Roman" w:cs="Times New Roman"/>
      <w:sz w:val="24"/>
      <w:szCs w:val="24"/>
      <w:lang w:eastAsia="es-ES_tradnl"/>
    </w:rPr>
  </w:style>
  <w:style w:type="paragraph" w:styleId="Piedepgina">
    <w:name w:val="footer"/>
    <w:basedOn w:val="Normal"/>
    <w:link w:val="PiedepginaCar"/>
    <w:uiPriority w:val="99"/>
    <w:unhideWhenUsed/>
    <w:rsid w:val="00980B2B"/>
    <w:pPr>
      <w:tabs>
        <w:tab w:val="center" w:pos="4680"/>
        <w:tab w:val="right" w:pos="9360"/>
      </w:tabs>
    </w:pPr>
  </w:style>
  <w:style w:type="character" w:customStyle="1" w:styleId="PiedepginaCar">
    <w:name w:val="Pie de página Car"/>
    <w:basedOn w:val="Fuentedeprrafopredeter"/>
    <w:link w:val="Piedepgina"/>
    <w:uiPriority w:val="99"/>
    <w:rsid w:val="00980B2B"/>
    <w:rPr>
      <w:rFonts w:ascii="Times New Roman" w:eastAsia="Times New Roman" w:hAnsi="Times New Roman" w:cs="Times New Roman"/>
      <w:sz w:val="24"/>
      <w:szCs w:val="24"/>
      <w:lang w:eastAsia="es-ES_tradnl"/>
    </w:rPr>
  </w:style>
  <w:style w:type="paragraph" w:styleId="TtuloTDC">
    <w:name w:val="TOC Heading"/>
    <w:basedOn w:val="Ttulo1"/>
    <w:next w:val="Normal"/>
    <w:uiPriority w:val="39"/>
    <w:unhideWhenUsed/>
    <w:qFormat/>
    <w:rsid w:val="00980B2B"/>
    <w:pPr>
      <w:spacing w:line="259" w:lineRule="auto"/>
      <w:outlineLvl w:val="9"/>
    </w:pPr>
    <w:rPr>
      <w:lang w:val="en-US" w:eastAsia="en-US"/>
    </w:rPr>
  </w:style>
  <w:style w:type="paragraph" w:styleId="TDC2">
    <w:name w:val="toc 2"/>
    <w:basedOn w:val="Normal"/>
    <w:next w:val="Normal"/>
    <w:autoRedefine/>
    <w:uiPriority w:val="39"/>
    <w:unhideWhenUsed/>
    <w:rsid w:val="00980B2B"/>
    <w:pPr>
      <w:spacing w:after="100"/>
      <w:ind w:left="240"/>
    </w:pPr>
  </w:style>
  <w:style w:type="character" w:styleId="Hipervnculo">
    <w:name w:val="Hyperlink"/>
    <w:basedOn w:val="Fuentedeprrafopredeter"/>
    <w:uiPriority w:val="99"/>
    <w:unhideWhenUsed/>
    <w:rsid w:val="00980B2B"/>
    <w:rPr>
      <w:color w:val="0563C1" w:themeColor="hyperlink"/>
      <w:u w:val="single"/>
    </w:rPr>
  </w:style>
  <w:style w:type="paragraph" w:styleId="ndice1">
    <w:name w:val="index 1"/>
    <w:basedOn w:val="Normal"/>
    <w:next w:val="Normal"/>
    <w:autoRedefine/>
    <w:uiPriority w:val="99"/>
    <w:semiHidden/>
    <w:unhideWhenUsed/>
    <w:rsid w:val="00980B2B"/>
    <w:pPr>
      <w:ind w:left="240" w:hanging="240"/>
    </w:pPr>
  </w:style>
  <w:style w:type="paragraph" w:styleId="TDC1">
    <w:name w:val="toc 1"/>
    <w:basedOn w:val="Normal"/>
    <w:next w:val="Normal"/>
    <w:autoRedefine/>
    <w:uiPriority w:val="39"/>
    <w:semiHidden/>
    <w:unhideWhenUsed/>
    <w:rsid w:val="00980B2B"/>
    <w:pPr>
      <w:spacing w:after="100"/>
    </w:pPr>
  </w:style>
  <w:style w:type="character" w:styleId="Mencinsinresolver">
    <w:name w:val="Unresolved Mention"/>
    <w:basedOn w:val="Fuentedeprrafopredeter"/>
    <w:uiPriority w:val="99"/>
    <w:semiHidden/>
    <w:unhideWhenUsed/>
    <w:rsid w:val="00980B2B"/>
    <w:rPr>
      <w:color w:val="605E5C"/>
      <w:shd w:val="clear" w:color="auto" w:fill="E1DFDD"/>
    </w:rPr>
  </w:style>
  <w:style w:type="paragraph" w:styleId="Asuntodelcomentario">
    <w:name w:val="annotation subject"/>
    <w:basedOn w:val="Textocomentario"/>
    <w:next w:val="Textocomentario"/>
    <w:link w:val="AsuntodelcomentarioCar"/>
    <w:uiPriority w:val="99"/>
    <w:semiHidden/>
    <w:unhideWhenUsed/>
    <w:rsid w:val="00980B2B"/>
    <w:pPr>
      <w:spacing w:after="0"/>
    </w:pPr>
    <w:rPr>
      <w:rFonts w:ascii="Times New Roman" w:eastAsia="Times New Roman" w:hAnsi="Times New Roman" w:cs="Times New Roman"/>
      <w:b/>
      <w:bCs/>
      <w:lang w:eastAsia="es-ES_tradnl"/>
    </w:rPr>
  </w:style>
  <w:style w:type="character" w:customStyle="1" w:styleId="AsuntodelcomentarioCar">
    <w:name w:val="Asunto del comentario Car"/>
    <w:basedOn w:val="TextocomentarioCar"/>
    <w:link w:val="Asuntodelcomentario"/>
    <w:uiPriority w:val="99"/>
    <w:semiHidden/>
    <w:rsid w:val="00980B2B"/>
    <w:rPr>
      <w:rFonts w:ascii="Times New Roman" w:eastAsia="Times New Roman" w:hAnsi="Times New Roman" w:cs="Times New Roman"/>
      <w:b/>
      <w:bCs/>
      <w:sz w:val="20"/>
      <w:szCs w:val="20"/>
      <w:lang w:val="en-US" w:eastAsia="es-ES_tradnl"/>
    </w:rPr>
  </w:style>
  <w:style w:type="paragraph" w:styleId="NormalWeb">
    <w:name w:val="Normal (Web)"/>
    <w:basedOn w:val="Normal"/>
    <w:uiPriority w:val="99"/>
    <w:unhideWhenUsed/>
    <w:rsid w:val="00E971E2"/>
    <w:pPr>
      <w:spacing w:before="100" w:beforeAutospacing="1" w:after="100" w:afterAutospacing="1"/>
    </w:pPr>
    <w:rPr>
      <w:lang w:eastAsia="es-CL"/>
    </w:rPr>
  </w:style>
  <w:style w:type="table" w:styleId="Tablaconcuadrcula">
    <w:name w:val="Table Grid"/>
    <w:basedOn w:val="Tablanormal"/>
    <w:uiPriority w:val="39"/>
    <w:rsid w:val="003C2B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7806107">
      <w:bodyDiv w:val="1"/>
      <w:marLeft w:val="0"/>
      <w:marRight w:val="0"/>
      <w:marTop w:val="0"/>
      <w:marBottom w:val="0"/>
      <w:divBdr>
        <w:top w:val="none" w:sz="0" w:space="0" w:color="auto"/>
        <w:left w:val="none" w:sz="0" w:space="0" w:color="auto"/>
        <w:bottom w:val="none" w:sz="0" w:space="0" w:color="auto"/>
        <w:right w:val="none" w:sz="0" w:space="0" w:color="auto"/>
      </w:divBdr>
    </w:div>
    <w:div w:id="370543095">
      <w:bodyDiv w:val="1"/>
      <w:marLeft w:val="0"/>
      <w:marRight w:val="0"/>
      <w:marTop w:val="0"/>
      <w:marBottom w:val="0"/>
      <w:divBdr>
        <w:top w:val="none" w:sz="0" w:space="0" w:color="auto"/>
        <w:left w:val="none" w:sz="0" w:space="0" w:color="auto"/>
        <w:bottom w:val="none" w:sz="0" w:space="0" w:color="auto"/>
        <w:right w:val="none" w:sz="0" w:space="0" w:color="auto"/>
      </w:divBdr>
    </w:div>
    <w:div w:id="580145678">
      <w:bodyDiv w:val="1"/>
      <w:marLeft w:val="0"/>
      <w:marRight w:val="0"/>
      <w:marTop w:val="0"/>
      <w:marBottom w:val="0"/>
      <w:divBdr>
        <w:top w:val="none" w:sz="0" w:space="0" w:color="auto"/>
        <w:left w:val="none" w:sz="0" w:space="0" w:color="auto"/>
        <w:bottom w:val="none" w:sz="0" w:space="0" w:color="auto"/>
        <w:right w:val="none" w:sz="0" w:space="0" w:color="auto"/>
      </w:divBdr>
      <w:divsChild>
        <w:div w:id="1340700384">
          <w:marLeft w:val="0"/>
          <w:marRight w:val="0"/>
          <w:marTop w:val="0"/>
          <w:marBottom w:val="0"/>
          <w:divBdr>
            <w:top w:val="none" w:sz="0" w:space="0" w:color="auto"/>
            <w:left w:val="none" w:sz="0" w:space="0" w:color="auto"/>
            <w:bottom w:val="none" w:sz="0" w:space="0" w:color="auto"/>
            <w:right w:val="none" w:sz="0" w:space="0" w:color="auto"/>
          </w:divBdr>
        </w:div>
      </w:divsChild>
    </w:div>
    <w:div w:id="736898318">
      <w:bodyDiv w:val="1"/>
      <w:marLeft w:val="0"/>
      <w:marRight w:val="0"/>
      <w:marTop w:val="0"/>
      <w:marBottom w:val="0"/>
      <w:divBdr>
        <w:top w:val="none" w:sz="0" w:space="0" w:color="auto"/>
        <w:left w:val="none" w:sz="0" w:space="0" w:color="auto"/>
        <w:bottom w:val="none" w:sz="0" w:space="0" w:color="auto"/>
        <w:right w:val="none" w:sz="0" w:space="0" w:color="auto"/>
      </w:divBdr>
    </w:div>
    <w:div w:id="1181049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image" Target="media/image2.png"/><Relationship Id="rId10"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1.tif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15965773D6E7945BFE6F09D0765B639" ma:contentTypeVersion="13" ma:contentTypeDescription="Create a new document." ma:contentTypeScope="" ma:versionID="a7d6b90c93aa62ece07effa000589f73">
  <xsd:schema xmlns:xsd="http://www.w3.org/2001/XMLSchema" xmlns:xs="http://www.w3.org/2001/XMLSchema" xmlns:p="http://schemas.microsoft.com/office/2006/metadata/properties" xmlns:ns3="71e2d690-9940-4828-b3ac-79bb1489183d" xmlns:ns4="52189499-a9b9-46a2-8fc5-b04f5a035750" targetNamespace="http://schemas.microsoft.com/office/2006/metadata/properties" ma:root="true" ma:fieldsID="3cf7eeaa5edcda09543c7f7591768da2" ns3:_="" ns4:_="">
    <xsd:import namespace="71e2d690-9940-4828-b3ac-79bb1489183d"/>
    <xsd:import namespace="52189499-a9b9-46a2-8fc5-b04f5a035750"/>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DateTaken"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e2d690-9940-4828-b3ac-79bb1489183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2189499-a9b9-46a2-8fc5-b04f5a035750"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C3391C9-2098-419E-AA51-8B5B76CD2EF5}">
  <ds:schemaRefs>
    <ds:schemaRef ds:uri="http://schemas.openxmlformats.org/officeDocument/2006/bibliography"/>
  </ds:schemaRefs>
</ds:datastoreItem>
</file>

<file path=customXml/itemProps2.xml><?xml version="1.0" encoding="utf-8"?>
<ds:datastoreItem xmlns:ds="http://schemas.openxmlformats.org/officeDocument/2006/customXml" ds:itemID="{825F6770-419E-4ED8-99E0-7A2282C2E15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D3246B7-B3A9-4C99-9017-C00559BB8A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e2d690-9940-4828-b3ac-79bb1489183d"/>
    <ds:schemaRef ds:uri="52189499-a9b9-46a2-8fc5-b04f5a0357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676BE70-39C7-4032-AB3F-FE4D60FD933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9</Pages>
  <Words>4382</Words>
  <Characters>24102</Characters>
  <Application>Microsoft Office Word</Application>
  <DocSecurity>0</DocSecurity>
  <Lines>200</Lines>
  <Paragraphs>56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28428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Andrés González Santa Cruz</dc:creator>
  <cp:keywords/>
  <dc:description/>
  <cp:lastModifiedBy>Alvaro Castillo Carniglia | U.Mayor</cp:lastModifiedBy>
  <cp:revision>3</cp:revision>
  <dcterms:created xsi:type="dcterms:W3CDTF">2020-10-26T22:33:00Z</dcterms:created>
  <dcterms:modified xsi:type="dcterms:W3CDTF">2020-10-26T22:41:00Z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0x010100515965773D6E7945BFE6F09D0765B639</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6th edition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17th edition (author-date)</vt:lpwstr>
  </property>
  <property fmtid="{D5CDD505-2E9C-101B-9397-08002B2CF9AE}" pid="13" name="Mendeley Recent Style Id 5_1">
    <vt:lpwstr>http://www.zotero.org/styles/harvard-cite-them-right</vt:lpwstr>
  </property>
  <property fmtid="{D5CDD505-2E9C-101B-9397-08002B2CF9AE}" pid="14" name="Mendeley Recent Style Name 5_1">
    <vt:lpwstr>Cite Them Right 10th edition - Harvard</vt:lpwstr>
  </property>
  <property fmtid="{D5CDD505-2E9C-101B-9397-08002B2CF9AE}" pid="15" name="Mendeley Recent Style Id 6_1">
    <vt:lpwstr>http://www.zotero.org/styles/ieee</vt:lpwstr>
  </property>
  <property fmtid="{D5CDD505-2E9C-101B-9397-08002B2CF9AE}" pid="16" name="Mendeley Recent Style Name 6_1">
    <vt:lpwstr>IEEE</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3rd edition (note with bibliography)</vt:lpwstr>
  </property>
  <property fmtid="{D5CDD505-2E9C-101B-9397-08002B2CF9AE}" pid="19" name="Mendeley Recent Style Id 8_1">
    <vt:lpwstr>http://www.zotero.org/styles/modern-language-association</vt:lpwstr>
  </property>
  <property fmtid="{D5CDD505-2E9C-101B-9397-08002B2CF9AE}" pid="20" name="Mendeley Recent Style Name 8_1">
    <vt:lpwstr>Modern Language Association 8th edition</vt:lpwstr>
  </property>
  <property fmtid="{D5CDD505-2E9C-101B-9397-08002B2CF9AE}" pid="21" name="Mendeley Recent Style Id 9_1">
    <vt:lpwstr>http://www.zotero.org/styles/vancouver</vt:lpwstr>
  </property>
  <property fmtid="{D5CDD505-2E9C-101B-9397-08002B2CF9AE}" pid="22" name="Mendeley Recent Style Name 9_1">
    <vt:lpwstr>Vancouver</vt:lpwstr>
  </property>
</Properties>
</file>