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E0" w:rsidRPr="00DD7C76" w:rsidRDefault="007629E0" w:rsidP="007629E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Table 1</w:t>
      </w:r>
      <w:r w:rsidRPr="00DD7C76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DD7C76">
        <w:rPr>
          <w:rFonts w:ascii="Times New Roman" w:hAnsi="Times New Roman"/>
        </w:rPr>
        <w:t xml:space="preserve"> Changes in unadjusted estimates of breastfeeding initiation</w:t>
      </w:r>
      <w:r>
        <w:rPr>
          <w:rFonts w:ascii="Times New Roman" w:hAnsi="Times New Roman"/>
        </w:rPr>
        <w:t xml:space="preserve"> and duration in relation to ASD versus controls,</w:t>
      </w:r>
      <w:r w:rsidRPr="00DD7C76">
        <w:rPr>
          <w:rFonts w:ascii="Times New Roman" w:hAnsi="Times New Roman"/>
        </w:rPr>
        <w:t xml:space="preserve"> including each covariate individually in models among </w:t>
      </w:r>
      <w:proofErr w:type="spellStart"/>
      <w:r w:rsidRPr="00DD7C76">
        <w:rPr>
          <w:rFonts w:ascii="Times New Roman" w:hAnsi="Times New Roman"/>
        </w:rPr>
        <w:t>preschoolers</w:t>
      </w:r>
      <w:proofErr w:type="spellEnd"/>
      <w:r w:rsidRPr="00DD7C76">
        <w:rPr>
          <w:rFonts w:ascii="Times New Roman" w:hAnsi="Times New Roman"/>
        </w:rPr>
        <w:t xml:space="preserve"> enrolled in the Study to Explore Early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"/>
        <w:gridCol w:w="1204"/>
        <w:gridCol w:w="1465"/>
        <w:gridCol w:w="1244"/>
        <w:gridCol w:w="1323"/>
        <w:gridCol w:w="1219"/>
        <w:gridCol w:w="1348"/>
      </w:tblGrid>
      <w:tr w:rsidR="007629E0" w:rsidRPr="00AF1B56" w:rsidTr="009E2ED2">
        <w:tc>
          <w:tcPr>
            <w:tcW w:w="3474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1B56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B56">
              <w:rPr>
                <w:rFonts w:ascii="Times New Roman" w:hAnsi="Times New Roman"/>
                <w:b/>
              </w:rPr>
              <w:t>Breastfeeding initiation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B56">
              <w:rPr>
                <w:rFonts w:ascii="Times New Roman" w:hAnsi="Times New Roman"/>
                <w:b/>
              </w:rPr>
              <w:t xml:space="preserve">Breastfeeding duration high </w:t>
            </w:r>
            <w:proofErr w:type="spellStart"/>
            <w:r>
              <w:rPr>
                <w:rFonts w:ascii="Times New Roman" w:hAnsi="Times New Roman"/>
                <w:b/>
              </w:rPr>
              <w:t>tertile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AF1B56">
              <w:rPr>
                <w:rFonts w:ascii="Times New Roman" w:hAnsi="Times New Roman"/>
                <w:b/>
              </w:rPr>
              <w:t xml:space="preserve">versus low </w:t>
            </w:r>
            <w:proofErr w:type="spellStart"/>
            <w:r w:rsidRPr="00AF1B56">
              <w:rPr>
                <w:rFonts w:ascii="Times New Roman" w:hAnsi="Times New Roman"/>
                <w:b/>
              </w:rPr>
              <w:t>tertile</w:t>
            </w:r>
            <w:proofErr w:type="spellEnd"/>
          </w:p>
        </w:tc>
        <w:tc>
          <w:tcPr>
            <w:tcW w:w="3474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B56">
              <w:rPr>
                <w:rFonts w:ascii="Times New Roman" w:hAnsi="Times New Roman"/>
                <w:b/>
              </w:rPr>
              <w:t xml:space="preserve">Breastfeeding duration middle </w:t>
            </w:r>
            <w:proofErr w:type="spellStart"/>
            <w:r>
              <w:rPr>
                <w:rFonts w:ascii="Times New Roman" w:hAnsi="Times New Roman"/>
                <w:b/>
              </w:rPr>
              <w:t>tertile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AF1B56">
              <w:rPr>
                <w:rFonts w:ascii="Times New Roman" w:hAnsi="Times New Roman"/>
                <w:b/>
              </w:rPr>
              <w:t xml:space="preserve">versus low </w:t>
            </w:r>
            <w:proofErr w:type="spellStart"/>
            <w:r w:rsidRPr="00AF1B56">
              <w:rPr>
                <w:rFonts w:ascii="Times New Roman" w:hAnsi="Times New Roman"/>
                <w:b/>
              </w:rPr>
              <w:t>tertile</w:t>
            </w:r>
            <w:proofErr w:type="spellEnd"/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</w:rPr>
              <w:t>OR</w:t>
            </w:r>
            <w:r w:rsidRPr="000B5896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†</w:t>
            </w:r>
            <w:r w:rsidRPr="00AF1B56">
              <w:rPr>
                <w:rFonts w:ascii="Times New Roman" w:hAnsi="Times New Roman"/>
              </w:rPr>
              <w:t xml:space="preserve"> and 95% CI</w:t>
            </w:r>
            <w:r w:rsidRPr="00B9388C">
              <w:rPr>
                <w:rFonts w:ascii="Times New Roman" w:hAnsi="Times New Roman"/>
                <w:sz w:val="20"/>
                <w:szCs w:val="20"/>
                <w:lang w:val="en"/>
              </w:rPr>
              <w:t>‡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</w:rPr>
              <w:t>Change in univariate estimates (%)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</w:rPr>
              <w:t>OR</w:t>
            </w:r>
            <w:r w:rsidRPr="000B5896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†</w:t>
            </w:r>
            <w:r w:rsidRPr="00AF1B56">
              <w:rPr>
                <w:rFonts w:ascii="Times New Roman" w:hAnsi="Times New Roman"/>
              </w:rPr>
              <w:t xml:space="preserve"> and 95% CI</w:t>
            </w:r>
            <w:r w:rsidRPr="00B9388C">
              <w:rPr>
                <w:rFonts w:ascii="Times New Roman" w:hAnsi="Times New Roman"/>
                <w:sz w:val="20"/>
                <w:szCs w:val="20"/>
                <w:lang w:val="en"/>
              </w:rPr>
              <w:t>‡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</w:rPr>
              <w:t>Change in univariate estimates (%)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</w:rPr>
              <w:t>OR</w:t>
            </w:r>
            <w:r w:rsidRPr="000B5896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†</w:t>
            </w:r>
            <w:r w:rsidRPr="00AF1B56">
              <w:rPr>
                <w:rFonts w:ascii="Times New Roman" w:hAnsi="Times New Roman"/>
              </w:rPr>
              <w:t xml:space="preserve"> and 95% CI</w:t>
            </w:r>
            <w:r w:rsidRPr="00B9388C">
              <w:rPr>
                <w:rFonts w:ascii="Times New Roman" w:hAnsi="Times New Roman"/>
                <w:sz w:val="20"/>
                <w:szCs w:val="20"/>
                <w:lang w:val="en"/>
              </w:rPr>
              <w:t>‡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56">
              <w:rPr>
                <w:rFonts w:ascii="Times New Roman" w:hAnsi="Times New Roman"/>
              </w:rPr>
              <w:t>Change in univariate estimates (%)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Unadjusted estimates in six sites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0.62 (0.45, 0.85)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0.47 (0.36, 0.61)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 (0.42, 0.71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4A20D7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20D7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  <w:t xml:space="preserve"> Variable added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Child sex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0.66 (0.48, 0.92)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0.49 (0.37, 0.64)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0.58 (0.44, 0.76)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 xml:space="preserve">Child gestational age 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 (0.45, 0.84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 (0.38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, 0.66)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 (0.44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, 0.76)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 xml:space="preserve">Child birth weight 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 (0.44, 0.83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-1.6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0.50 (0.38, 0.65)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0.58 (0.44, 0.75)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age at the time of child’s birth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0.63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(0.46, 0.87)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 (0.36, 0.62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0.55 (0.43, 0.72)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Parity of the index child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 (0.46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, 0.86)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0.47 (0.36, 0.61)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0.55 (0.42, 0.71)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Birth plurality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 (0.45, 0.85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0.49 (0.38, 0.64)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0.57 (0.44, 0.75)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ethnicity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0.62 (0.45, 0.84)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tabs>
                <w:tab w:val="left" w:pos="2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0.48 (0.37, 0.62)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0.56 (0.43, 0.73)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race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 (0.50, 0.96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Pr="00325137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§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0.50 (0.38, 0.66)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0.58 (0.44, 0.75)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education at the time of child’s birth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0.74 (0</w:t>
            </w:r>
            <w:r>
              <w:rPr>
                <w:rFonts w:ascii="Times New Roman" w:hAnsi="Times New Roman"/>
                <w:sz w:val="20"/>
                <w:szCs w:val="20"/>
              </w:rPr>
              <w:t>.53, 1.02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19.4</w:t>
            </w:r>
            <w:r w:rsidRPr="00325137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§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0.52 (0.39, 0.68)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10.6</w:t>
            </w:r>
            <w:r w:rsidRPr="00325137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§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0.60 (0.46, 0.78)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place of birth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0.58 (0.42, 0.80)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-6.5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 (0.36, 0.61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0.55 (0.42, 0.71)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employment status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(0.46, 0.87)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 (0.36, 0.60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 (0.42, 0.7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smoking status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 (0.46, 0.87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(0.36, 0.62)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0.55 (0.42, 0.72)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Maternal psychiatric diagnoses</w:t>
            </w:r>
            <w:r w:rsidRPr="00632745">
              <w:rPr>
                <w:rFonts w:ascii="Times New Roman" w:hAnsi="Times New Roman"/>
                <w:sz w:val="18"/>
                <w:szCs w:val="18"/>
                <w:vertAlign w:val="superscript"/>
                <w:lang w:val="en"/>
              </w:rPr>
              <w:t>¶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0.64 (0.47, 0.88)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(0.36, 0.62)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(0.44, 0.75)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Mode of delivery of the child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(0.46, 0.87)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0.48 (0.37, 0.63)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0.56 (0.43, 0.72)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Family Income</w:t>
            </w:r>
            <w:r w:rsidRPr="00AF1B56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†</w:t>
            </w:r>
            <w:r w:rsidRPr="00AF1B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 (0.56, 1.08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25.8</w:t>
            </w:r>
            <w:r w:rsidRPr="00325137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§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 (0.39, 0.67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 (0.45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, 0.76)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Unadjusted estimates in 5 sites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0.61 (0.44, 0.85)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 (0.35, 0.62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 (0.38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, 0.66)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D4B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  <w:t>Variable added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Marital status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0.67 (0.48, 0.94)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 (0.36, 0.65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 (0.39, 0.68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7629E0" w:rsidRPr="00AF1B56" w:rsidTr="009E2ED2">
        <w:tc>
          <w:tcPr>
            <w:tcW w:w="346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Apgar score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 xml:space="preserve"> (0.43, 0.84)</w:t>
            </w:r>
          </w:p>
        </w:tc>
        <w:tc>
          <w:tcPr>
            <w:tcW w:w="166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 (0.36, 0.64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36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 (0.38, 0.68</w:t>
            </w:r>
            <w:r w:rsidRPr="00AF1B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7629E0" w:rsidRPr="00AF1B56" w:rsidRDefault="007629E0" w:rsidP="009E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56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</w:tbl>
    <w:p w:rsidR="007629E0" w:rsidRPr="005920D0" w:rsidRDefault="007629E0" w:rsidP="007629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920D0">
        <w:rPr>
          <w:rFonts w:ascii="Times New Roman" w:hAnsi="Times New Roman"/>
          <w:sz w:val="18"/>
          <w:szCs w:val="18"/>
          <w:vertAlign w:val="superscript"/>
          <w:lang w:val="en"/>
        </w:rPr>
        <w:t xml:space="preserve">† </w:t>
      </w:r>
      <w:r w:rsidRPr="005920D0">
        <w:rPr>
          <w:rFonts w:ascii="Times New Roman" w:hAnsi="Times New Roman"/>
          <w:sz w:val="18"/>
          <w:szCs w:val="18"/>
        </w:rPr>
        <w:t xml:space="preserve">OR: odds-ratios; </w:t>
      </w:r>
      <w:r w:rsidRPr="005920D0">
        <w:rPr>
          <w:rFonts w:ascii="Times New Roman" w:hAnsi="Times New Roman"/>
          <w:sz w:val="18"/>
          <w:szCs w:val="18"/>
          <w:lang w:val="en"/>
        </w:rPr>
        <w:t>‡ CI: confidence interval; §: change</w:t>
      </w:r>
      <w:r w:rsidRPr="005920D0">
        <w:rPr>
          <w:rFonts w:ascii="Times New Roman" w:hAnsi="Times New Roman"/>
          <w:sz w:val="18"/>
          <w:szCs w:val="18"/>
        </w:rPr>
        <w:t xml:space="preserve"> in breastfeeding unadjusted estimate by more than 10% when the variable is added in the </w:t>
      </w:r>
      <w:proofErr w:type="gramStart"/>
      <w:r w:rsidRPr="005920D0">
        <w:rPr>
          <w:rFonts w:ascii="Times New Roman" w:hAnsi="Times New Roman"/>
          <w:sz w:val="18"/>
          <w:szCs w:val="18"/>
        </w:rPr>
        <w:t>model;</w:t>
      </w:r>
      <w:r w:rsidRPr="005920D0">
        <w:rPr>
          <w:rFonts w:ascii="Times New Roman" w:hAnsi="Times New Roman"/>
          <w:sz w:val="18"/>
          <w:szCs w:val="18"/>
          <w:vertAlign w:val="superscript"/>
          <w:lang w:val="en"/>
        </w:rPr>
        <w:t>¶</w:t>
      </w:r>
      <w:proofErr w:type="gramEnd"/>
      <w:r w:rsidRPr="005920D0">
        <w:rPr>
          <w:rFonts w:ascii="Times New Roman" w:hAnsi="Times New Roman"/>
          <w:sz w:val="18"/>
          <w:szCs w:val="18"/>
        </w:rPr>
        <w:t xml:space="preserve">Psychiatric diagnoses include depression, anxiety, seizure disorder, intellectual disability </w:t>
      </w:r>
    </w:p>
    <w:p w:rsidR="007629E0" w:rsidRPr="005920D0" w:rsidRDefault="007629E0" w:rsidP="007629E0">
      <w:pPr>
        <w:spacing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1096" w:rsidRDefault="00C61096"/>
    <w:sectPr w:rsidR="00C61096" w:rsidSect="00157411">
      <w:footerReference w:type="default" r:id="rId6"/>
      <w:pgSz w:w="12240" w:h="15840" w:code="1"/>
      <w:pgMar w:top="1080" w:right="1080" w:bottom="1080" w:left="108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4B24">
      <w:pPr>
        <w:spacing w:after="0" w:line="240" w:lineRule="auto"/>
      </w:pPr>
      <w:r>
        <w:separator/>
      </w:r>
    </w:p>
  </w:endnote>
  <w:endnote w:type="continuationSeparator" w:id="0">
    <w:p w:rsidR="00000000" w:rsidRDefault="0052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BE" w:rsidRDefault="007629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2BBE" w:rsidRDefault="00524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4B24">
      <w:pPr>
        <w:spacing w:after="0" w:line="240" w:lineRule="auto"/>
      </w:pPr>
      <w:r>
        <w:separator/>
      </w:r>
    </w:p>
  </w:footnote>
  <w:footnote w:type="continuationSeparator" w:id="0">
    <w:p w:rsidR="00000000" w:rsidRDefault="0052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E0"/>
    <w:rsid w:val="0019756A"/>
    <w:rsid w:val="001A4EC5"/>
    <w:rsid w:val="00314AE2"/>
    <w:rsid w:val="0037374A"/>
    <w:rsid w:val="00452262"/>
    <w:rsid w:val="00524B24"/>
    <w:rsid w:val="00576428"/>
    <w:rsid w:val="005B3450"/>
    <w:rsid w:val="005D6EE0"/>
    <w:rsid w:val="00684300"/>
    <w:rsid w:val="00751843"/>
    <w:rsid w:val="007629E0"/>
    <w:rsid w:val="008202C1"/>
    <w:rsid w:val="00A74DDD"/>
    <w:rsid w:val="00AF4BC5"/>
    <w:rsid w:val="00B031E9"/>
    <w:rsid w:val="00B11443"/>
    <w:rsid w:val="00C61096"/>
    <w:rsid w:val="00D50F35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8CACB-56A5-4868-B32E-19C65B04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29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629E0"/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6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4</DocSecurity>
  <Lines>18</Lines>
  <Paragraphs>5</Paragraphs>
  <ScaleCrop>false</ScaleCrop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303431</dc:creator>
  <cp:lastModifiedBy>Wade, Diane (CDC/DDNID/NCBDDD/OD) (CTR)</cp:lastModifiedBy>
  <cp:revision>2</cp:revision>
  <dcterms:created xsi:type="dcterms:W3CDTF">2020-08-26T17:29:00Z</dcterms:created>
  <dcterms:modified xsi:type="dcterms:W3CDTF">2020-08-26T17:29:00Z</dcterms:modified>
</cp:coreProperties>
</file>