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5112" w14:textId="73F2BA5B" w:rsidR="009F275B" w:rsidRPr="00033CE2" w:rsidRDefault="009F275B" w:rsidP="009F27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</w:pPr>
      <w:bookmarkStart w:id="0" w:name="_GoBack"/>
      <w:bookmarkEnd w:id="0"/>
      <w:r w:rsidRPr="00B72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 xml:space="preserve">Supplementary Figure 1a: 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3-year rolling averages for </w:t>
      </w:r>
      <w:r w:rsidR="006E29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total, livebirth (LB), stillbirth (SB) and elective terminations for fetal anomalies (ETOPFA) 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prevalence </w:t>
      </w:r>
      <w:r w:rsidR="00097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>(</w:t>
      </w:r>
      <w:r w:rsidR="00097FA6" w:rsidRPr="005F443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 w:eastAsia="nl-NL"/>
        </w:rPr>
        <w:t>per 10,000 births</w:t>
      </w:r>
      <w:r w:rsidR="00097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) 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>of omphalocele for 2000-2012 for 23 birth defect surveillance systems in 18 countries, 2000-2012</w:t>
      </w:r>
      <w:r w:rsidR="0024032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GB" w:eastAsia="nl-NL"/>
        </w:rPr>
        <w:t>1</w:t>
      </w:r>
    </w:p>
    <w:p w14:paraId="6D21ECDD" w14:textId="50DBDCD7" w:rsidR="009F275B" w:rsidRPr="00033CE2" w:rsidRDefault="009F275B" w:rsidP="009F275B">
      <w:pPr>
        <w:spacing w:after="0" w:line="240" w:lineRule="auto"/>
        <w:rPr>
          <w:noProof/>
          <w:lang w:val="en-US" w:eastAsia="nl-NL"/>
        </w:rPr>
      </w:pPr>
    </w:p>
    <w:p w14:paraId="1DB4151A" w14:textId="20FC37D3" w:rsidR="00552432" w:rsidRDefault="005F4437" w:rsidP="009F275B">
      <w:pPr>
        <w:spacing w:after="0" w:line="240" w:lineRule="auto"/>
        <w:rPr>
          <w:noProof/>
          <w:lang w:eastAsia="nl-NL"/>
        </w:rPr>
      </w:pPr>
      <w:r>
        <w:rPr>
          <w:noProof/>
          <w:lang w:val="en-US"/>
        </w:rPr>
        <w:drawing>
          <wp:inline distT="0" distB="0" distL="0" distR="0" wp14:anchorId="06F65466" wp14:editId="2F0532C7">
            <wp:extent cx="5760720" cy="3836397"/>
            <wp:effectExtent l="0" t="0" r="11430" b="12065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AA8AEB7" w14:textId="664B5792" w:rsidR="001075A5" w:rsidRPr="001075A5" w:rsidRDefault="003831E1" w:rsidP="00220E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GB" w:eastAsia="nl-NL"/>
        </w:rPr>
        <w:t>1</w:t>
      </w:r>
      <w:r w:rsidR="001075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Argentina-RENAC (2009-2012), Colombia-Cali (2011-2012), Iran-TROCA (2004-2012), Italy-Lombardy (2003-2012), Slovak Republic (2001-2012), and USA-Atlanta (2000-2008) provided data for years other than 2000-2012.  </w:t>
      </w:r>
    </w:p>
    <w:p w14:paraId="6BB929A9" w14:textId="77777777" w:rsidR="00552432" w:rsidRDefault="00552432" w:rsidP="009F27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</w:pPr>
    </w:p>
    <w:p w14:paraId="6F0A9ED5" w14:textId="106B2C78" w:rsidR="006E2965" w:rsidRPr="00B72151" w:rsidRDefault="006E2965" w:rsidP="009F27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</w:pPr>
    </w:p>
    <w:p w14:paraId="6D26A297" w14:textId="77777777" w:rsidR="005F4437" w:rsidRDefault="005F443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br w:type="page"/>
      </w:r>
    </w:p>
    <w:p w14:paraId="1F0DE35F" w14:textId="6DA5C157" w:rsidR="009F275B" w:rsidRPr="00033CE2" w:rsidRDefault="009F275B" w:rsidP="009F27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GB" w:eastAsia="nl-NL"/>
        </w:rPr>
      </w:pPr>
      <w:r w:rsidRPr="00B721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lastRenderedPageBreak/>
        <w:t xml:space="preserve">Supplementary Figure 1b: 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>3-year rolling averages for</w:t>
      </w:r>
      <w:r w:rsidR="003831E1"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 </w:t>
      </w:r>
      <w:r w:rsidR="003831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total, livebirth (LB), stillbirth (SB) and elective terminations for fetal anomalies (ETOPFA) 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prevalence </w:t>
      </w:r>
      <w:r w:rsidR="00097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(per 10,000 births) 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>of omphalocele for 18 birth defect surveillance systems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GB" w:eastAsia="nl-NL"/>
        </w:rPr>
        <w:t>1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 that include </w:t>
      </w:r>
      <w:r w:rsidR="005F4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>E</w:t>
      </w:r>
      <w:r w:rsidRPr="00B721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>TOPFA, 2000-2012</w:t>
      </w:r>
      <w:r w:rsidR="0024032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GB" w:eastAsia="nl-NL"/>
        </w:rPr>
        <w:t>2</w:t>
      </w:r>
    </w:p>
    <w:p w14:paraId="72D87080" w14:textId="423AC7EB" w:rsidR="009F275B" w:rsidRPr="00033CE2" w:rsidRDefault="009F275B">
      <w:pPr>
        <w:rPr>
          <w:noProof/>
          <w:lang w:val="en-US" w:eastAsia="nl-NL"/>
        </w:rPr>
      </w:pPr>
    </w:p>
    <w:p w14:paraId="64146CC4" w14:textId="2C98F7C2" w:rsidR="005F4437" w:rsidRPr="00B72151" w:rsidRDefault="005F4437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365AA18" wp14:editId="2E9D4121">
            <wp:extent cx="5760720" cy="3618364"/>
            <wp:effectExtent l="0" t="0" r="11430" b="127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60D928" w14:textId="57D2E040" w:rsidR="00A4123C" w:rsidRDefault="002D0ED3" w:rsidP="00166E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7215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Included registries: 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Czech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 Republic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, France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 – Paris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, Germany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 – Saxony Anhalt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, Italy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– 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Lombardy,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Italy – 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Tuscany, Netherlands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 – North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, Slovak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 Republic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, Sweden,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UK – 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Wales, Ukraine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 – OMNI-net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Spain – ECEMC, USA – 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Arkansas,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USA – </w:t>
      </w:r>
      <w:r w:rsidR="00B72151">
        <w:rPr>
          <w:rFonts w:ascii="Times New Roman" w:hAnsi="Times New Roman" w:cs="Times New Roman"/>
          <w:sz w:val="20"/>
          <w:szCs w:val="20"/>
          <w:lang w:val="en-GB"/>
        </w:rPr>
        <w:t>At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lanta,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USA – 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xas, 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USA – </w:t>
      </w:r>
      <w:r w:rsidR="009F275B" w:rsidRPr="00B72151">
        <w:rPr>
          <w:rFonts w:ascii="Times New Roman" w:hAnsi="Times New Roman" w:cs="Times New Roman"/>
          <w:sz w:val="20"/>
          <w:szCs w:val="20"/>
          <w:lang w:val="en-GB"/>
        </w:rPr>
        <w:t>Utah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, Iran </w:t>
      </w:r>
      <w:r w:rsidR="00552432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B72151">
        <w:rPr>
          <w:rFonts w:ascii="Times New Roman" w:hAnsi="Times New Roman" w:cs="Times New Roman"/>
          <w:sz w:val="20"/>
          <w:szCs w:val="20"/>
          <w:lang w:val="en-GB"/>
        </w:rPr>
        <w:t xml:space="preserve"> TROCA</w:t>
      </w:r>
    </w:p>
    <w:p w14:paraId="3A267EC6" w14:textId="1BD407DE" w:rsidR="001075A5" w:rsidRPr="001075A5" w:rsidRDefault="003831E1" w:rsidP="001075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GB" w:eastAsia="nl-NL"/>
        </w:rPr>
        <w:t>2</w:t>
      </w:r>
      <w:r w:rsidR="001075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 w:eastAsia="nl-NL"/>
        </w:rPr>
        <w:t xml:space="preserve">Iran-TROCA (2004-2012), Italy-Lombardy (2003-2012), Slovak Republic (2001-2012), and USA-Atlanta (2000-2008) provided data for years other than 2000-2012.  </w:t>
      </w:r>
    </w:p>
    <w:p w14:paraId="142ED0C3" w14:textId="77777777" w:rsidR="00552432" w:rsidRDefault="00552432" w:rsidP="00166E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6C58D29" w14:textId="7A95C165" w:rsidR="006E2965" w:rsidRPr="00B72151" w:rsidRDefault="006E2965" w:rsidP="00166E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6E2965" w:rsidRPr="00B7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5B"/>
    <w:rsid w:val="0000074F"/>
    <w:rsid w:val="00007BD0"/>
    <w:rsid w:val="00014DE7"/>
    <w:rsid w:val="000154C3"/>
    <w:rsid w:val="0002413B"/>
    <w:rsid w:val="00030B81"/>
    <w:rsid w:val="00033CE2"/>
    <w:rsid w:val="00035DCB"/>
    <w:rsid w:val="00041FBE"/>
    <w:rsid w:val="00050592"/>
    <w:rsid w:val="0005290D"/>
    <w:rsid w:val="000676DC"/>
    <w:rsid w:val="00074850"/>
    <w:rsid w:val="00074FEB"/>
    <w:rsid w:val="00076712"/>
    <w:rsid w:val="0007765B"/>
    <w:rsid w:val="00081D1D"/>
    <w:rsid w:val="00082FEF"/>
    <w:rsid w:val="00083901"/>
    <w:rsid w:val="000860F2"/>
    <w:rsid w:val="00091D2F"/>
    <w:rsid w:val="00092C36"/>
    <w:rsid w:val="00097FA6"/>
    <w:rsid w:val="000C1ECD"/>
    <w:rsid w:val="000C5B4E"/>
    <w:rsid w:val="000D1C13"/>
    <w:rsid w:val="000D6786"/>
    <w:rsid w:val="000E44E5"/>
    <w:rsid w:val="000F1B1D"/>
    <w:rsid w:val="001075A5"/>
    <w:rsid w:val="00107807"/>
    <w:rsid w:val="001110E4"/>
    <w:rsid w:val="00113BAA"/>
    <w:rsid w:val="00116272"/>
    <w:rsid w:val="00126F27"/>
    <w:rsid w:val="0013200D"/>
    <w:rsid w:val="00134EEC"/>
    <w:rsid w:val="001355C1"/>
    <w:rsid w:val="00135D4A"/>
    <w:rsid w:val="0013622B"/>
    <w:rsid w:val="00141635"/>
    <w:rsid w:val="00144BCD"/>
    <w:rsid w:val="00150B18"/>
    <w:rsid w:val="001531C7"/>
    <w:rsid w:val="00153AC9"/>
    <w:rsid w:val="001620F2"/>
    <w:rsid w:val="00166E92"/>
    <w:rsid w:val="00167C12"/>
    <w:rsid w:val="001763FF"/>
    <w:rsid w:val="001902B7"/>
    <w:rsid w:val="00197EE9"/>
    <w:rsid w:val="001A3C71"/>
    <w:rsid w:val="001A4465"/>
    <w:rsid w:val="001B5C61"/>
    <w:rsid w:val="001C0884"/>
    <w:rsid w:val="001C11FB"/>
    <w:rsid w:val="001C5330"/>
    <w:rsid w:val="001C5408"/>
    <w:rsid w:val="001C5A53"/>
    <w:rsid w:val="001C622A"/>
    <w:rsid w:val="001C64B4"/>
    <w:rsid w:val="001E4E4F"/>
    <w:rsid w:val="001E5D30"/>
    <w:rsid w:val="001F05FC"/>
    <w:rsid w:val="001F1046"/>
    <w:rsid w:val="001F52C4"/>
    <w:rsid w:val="002002A5"/>
    <w:rsid w:val="00203F1E"/>
    <w:rsid w:val="00212B73"/>
    <w:rsid w:val="00215644"/>
    <w:rsid w:val="00216E6B"/>
    <w:rsid w:val="0022013D"/>
    <w:rsid w:val="00220E87"/>
    <w:rsid w:val="0022169D"/>
    <w:rsid w:val="00221BDD"/>
    <w:rsid w:val="00222CAF"/>
    <w:rsid w:val="00226201"/>
    <w:rsid w:val="002274FD"/>
    <w:rsid w:val="00234680"/>
    <w:rsid w:val="00240321"/>
    <w:rsid w:val="00242DBA"/>
    <w:rsid w:val="00247386"/>
    <w:rsid w:val="00256008"/>
    <w:rsid w:val="00262D66"/>
    <w:rsid w:val="00266F3E"/>
    <w:rsid w:val="00272FD5"/>
    <w:rsid w:val="00274EA3"/>
    <w:rsid w:val="002803C1"/>
    <w:rsid w:val="0029649C"/>
    <w:rsid w:val="002A4334"/>
    <w:rsid w:val="002A4820"/>
    <w:rsid w:val="002A58B2"/>
    <w:rsid w:val="002A755C"/>
    <w:rsid w:val="002B59B3"/>
    <w:rsid w:val="002C5FE6"/>
    <w:rsid w:val="002C63AF"/>
    <w:rsid w:val="002D0ED3"/>
    <w:rsid w:val="002D16D9"/>
    <w:rsid w:val="002D4FCA"/>
    <w:rsid w:val="002D5411"/>
    <w:rsid w:val="002D7283"/>
    <w:rsid w:val="002D791B"/>
    <w:rsid w:val="002E09C0"/>
    <w:rsid w:val="002E249E"/>
    <w:rsid w:val="002E38ED"/>
    <w:rsid w:val="002F33B7"/>
    <w:rsid w:val="003003DC"/>
    <w:rsid w:val="003039F3"/>
    <w:rsid w:val="003173BB"/>
    <w:rsid w:val="0031769E"/>
    <w:rsid w:val="00322112"/>
    <w:rsid w:val="00322BAC"/>
    <w:rsid w:val="0032378A"/>
    <w:rsid w:val="0032652B"/>
    <w:rsid w:val="00336BD9"/>
    <w:rsid w:val="003426F8"/>
    <w:rsid w:val="00366744"/>
    <w:rsid w:val="00376A59"/>
    <w:rsid w:val="003831E1"/>
    <w:rsid w:val="0038529A"/>
    <w:rsid w:val="00390B24"/>
    <w:rsid w:val="0039371F"/>
    <w:rsid w:val="00394E2E"/>
    <w:rsid w:val="003968F8"/>
    <w:rsid w:val="003A0E80"/>
    <w:rsid w:val="003A6BBD"/>
    <w:rsid w:val="003C7D87"/>
    <w:rsid w:val="003D554C"/>
    <w:rsid w:val="003D5629"/>
    <w:rsid w:val="003D5A0D"/>
    <w:rsid w:val="003D6CEA"/>
    <w:rsid w:val="003E0BD2"/>
    <w:rsid w:val="003E45A8"/>
    <w:rsid w:val="003E4949"/>
    <w:rsid w:val="003F3535"/>
    <w:rsid w:val="00414A62"/>
    <w:rsid w:val="00415972"/>
    <w:rsid w:val="00421241"/>
    <w:rsid w:val="00426003"/>
    <w:rsid w:val="004264A1"/>
    <w:rsid w:val="004521DC"/>
    <w:rsid w:val="00453EA0"/>
    <w:rsid w:val="00460811"/>
    <w:rsid w:val="00464C50"/>
    <w:rsid w:val="00466A19"/>
    <w:rsid w:val="00486B73"/>
    <w:rsid w:val="004A1F23"/>
    <w:rsid w:val="004B099C"/>
    <w:rsid w:val="004B3D3D"/>
    <w:rsid w:val="004D1C1A"/>
    <w:rsid w:val="004D729D"/>
    <w:rsid w:val="004E1EA1"/>
    <w:rsid w:val="004E4297"/>
    <w:rsid w:val="004E5EC9"/>
    <w:rsid w:val="005006AA"/>
    <w:rsid w:val="00507EBE"/>
    <w:rsid w:val="005100C1"/>
    <w:rsid w:val="00514011"/>
    <w:rsid w:val="0051410A"/>
    <w:rsid w:val="00520042"/>
    <w:rsid w:val="00525515"/>
    <w:rsid w:val="00532772"/>
    <w:rsid w:val="00535688"/>
    <w:rsid w:val="00536098"/>
    <w:rsid w:val="00552432"/>
    <w:rsid w:val="005544E1"/>
    <w:rsid w:val="005600BE"/>
    <w:rsid w:val="005669AE"/>
    <w:rsid w:val="00575D60"/>
    <w:rsid w:val="00595713"/>
    <w:rsid w:val="005A54FC"/>
    <w:rsid w:val="005B643B"/>
    <w:rsid w:val="005D431B"/>
    <w:rsid w:val="005E45E8"/>
    <w:rsid w:val="005E756C"/>
    <w:rsid w:val="005F0CF6"/>
    <w:rsid w:val="005F1B77"/>
    <w:rsid w:val="005F27C2"/>
    <w:rsid w:val="005F4437"/>
    <w:rsid w:val="005F6739"/>
    <w:rsid w:val="0060203A"/>
    <w:rsid w:val="00604C2A"/>
    <w:rsid w:val="0060688D"/>
    <w:rsid w:val="00623CEA"/>
    <w:rsid w:val="00631E6C"/>
    <w:rsid w:val="00632933"/>
    <w:rsid w:val="00632DC6"/>
    <w:rsid w:val="0063365C"/>
    <w:rsid w:val="00633813"/>
    <w:rsid w:val="006360EC"/>
    <w:rsid w:val="0063788A"/>
    <w:rsid w:val="00640511"/>
    <w:rsid w:val="006438E1"/>
    <w:rsid w:val="00650CC6"/>
    <w:rsid w:val="006512E0"/>
    <w:rsid w:val="006513A4"/>
    <w:rsid w:val="006525E2"/>
    <w:rsid w:val="00654BD9"/>
    <w:rsid w:val="00657E4D"/>
    <w:rsid w:val="00661B35"/>
    <w:rsid w:val="0066302E"/>
    <w:rsid w:val="0066397E"/>
    <w:rsid w:val="0066638C"/>
    <w:rsid w:val="00672B9C"/>
    <w:rsid w:val="006747F7"/>
    <w:rsid w:val="006752BB"/>
    <w:rsid w:val="00677BE2"/>
    <w:rsid w:val="006847AA"/>
    <w:rsid w:val="00685565"/>
    <w:rsid w:val="0069162C"/>
    <w:rsid w:val="006926B3"/>
    <w:rsid w:val="00693C25"/>
    <w:rsid w:val="006963E5"/>
    <w:rsid w:val="006A025F"/>
    <w:rsid w:val="006A3D34"/>
    <w:rsid w:val="006A7680"/>
    <w:rsid w:val="006B2815"/>
    <w:rsid w:val="006B3CE9"/>
    <w:rsid w:val="006B460D"/>
    <w:rsid w:val="006B523D"/>
    <w:rsid w:val="006C0ADA"/>
    <w:rsid w:val="006C44D5"/>
    <w:rsid w:val="006C782B"/>
    <w:rsid w:val="006E2965"/>
    <w:rsid w:val="006E6308"/>
    <w:rsid w:val="006F1D90"/>
    <w:rsid w:val="00700629"/>
    <w:rsid w:val="00706D86"/>
    <w:rsid w:val="00712DD5"/>
    <w:rsid w:val="007136A7"/>
    <w:rsid w:val="007172F6"/>
    <w:rsid w:val="00717475"/>
    <w:rsid w:val="00720C4F"/>
    <w:rsid w:val="00722764"/>
    <w:rsid w:val="00737E2E"/>
    <w:rsid w:val="0074120F"/>
    <w:rsid w:val="007419A4"/>
    <w:rsid w:val="00744629"/>
    <w:rsid w:val="0074464F"/>
    <w:rsid w:val="00761389"/>
    <w:rsid w:val="007803C2"/>
    <w:rsid w:val="00781FAB"/>
    <w:rsid w:val="00782876"/>
    <w:rsid w:val="00785A7E"/>
    <w:rsid w:val="007875CF"/>
    <w:rsid w:val="00787FC3"/>
    <w:rsid w:val="007B048F"/>
    <w:rsid w:val="007B22F0"/>
    <w:rsid w:val="007C2414"/>
    <w:rsid w:val="007C4326"/>
    <w:rsid w:val="007D5B94"/>
    <w:rsid w:val="007E2947"/>
    <w:rsid w:val="007E36D6"/>
    <w:rsid w:val="007E4C8F"/>
    <w:rsid w:val="007F0F3F"/>
    <w:rsid w:val="007F4C38"/>
    <w:rsid w:val="00812AD8"/>
    <w:rsid w:val="00816445"/>
    <w:rsid w:val="00820B53"/>
    <w:rsid w:val="008230C7"/>
    <w:rsid w:val="00827015"/>
    <w:rsid w:val="00830F20"/>
    <w:rsid w:val="00840565"/>
    <w:rsid w:val="00840BBD"/>
    <w:rsid w:val="008468A8"/>
    <w:rsid w:val="0086216E"/>
    <w:rsid w:val="00870DD1"/>
    <w:rsid w:val="008735EC"/>
    <w:rsid w:val="00873F39"/>
    <w:rsid w:val="00874406"/>
    <w:rsid w:val="008804AA"/>
    <w:rsid w:val="00881613"/>
    <w:rsid w:val="00884C18"/>
    <w:rsid w:val="008854DE"/>
    <w:rsid w:val="00897F45"/>
    <w:rsid w:val="008A18FB"/>
    <w:rsid w:val="008A1917"/>
    <w:rsid w:val="008A1FED"/>
    <w:rsid w:val="008B053C"/>
    <w:rsid w:val="008B63F7"/>
    <w:rsid w:val="008C109B"/>
    <w:rsid w:val="008C15DE"/>
    <w:rsid w:val="008C444B"/>
    <w:rsid w:val="008C6BA6"/>
    <w:rsid w:val="008C7F46"/>
    <w:rsid w:val="008D2181"/>
    <w:rsid w:val="008D31F6"/>
    <w:rsid w:val="008D42AF"/>
    <w:rsid w:val="008D5668"/>
    <w:rsid w:val="008D78E0"/>
    <w:rsid w:val="008E0A26"/>
    <w:rsid w:val="008E10F2"/>
    <w:rsid w:val="008E4314"/>
    <w:rsid w:val="008F4581"/>
    <w:rsid w:val="008F46D2"/>
    <w:rsid w:val="008F6162"/>
    <w:rsid w:val="00900E96"/>
    <w:rsid w:val="00906F16"/>
    <w:rsid w:val="00911B4A"/>
    <w:rsid w:val="0092716B"/>
    <w:rsid w:val="0093042C"/>
    <w:rsid w:val="009324D8"/>
    <w:rsid w:val="009403B1"/>
    <w:rsid w:val="00942ADA"/>
    <w:rsid w:val="0094443D"/>
    <w:rsid w:val="0094719C"/>
    <w:rsid w:val="00957AAD"/>
    <w:rsid w:val="00960FC3"/>
    <w:rsid w:val="00965DE4"/>
    <w:rsid w:val="0098157D"/>
    <w:rsid w:val="00984BEF"/>
    <w:rsid w:val="009910C2"/>
    <w:rsid w:val="009A1966"/>
    <w:rsid w:val="009A322E"/>
    <w:rsid w:val="009A55B3"/>
    <w:rsid w:val="009B0264"/>
    <w:rsid w:val="009B09F8"/>
    <w:rsid w:val="009B4175"/>
    <w:rsid w:val="009B6A1C"/>
    <w:rsid w:val="009B6BD5"/>
    <w:rsid w:val="009B7735"/>
    <w:rsid w:val="009C3D93"/>
    <w:rsid w:val="009D35AA"/>
    <w:rsid w:val="009D4E7E"/>
    <w:rsid w:val="009E3939"/>
    <w:rsid w:val="009E6029"/>
    <w:rsid w:val="009F275B"/>
    <w:rsid w:val="009F3181"/>
    <w:rsid w:val="009F4619"/>
    <w:rsid w:val="009F7EC9"/>
    <w:rsid w:val="00A0102F"/>
    <w:rsid w:val="00A1761A"/>
    <w:rsid w:val="00A22EC4"/>
    <w:rsid w:val="00A317AA"/>
    <w:rsid w:val="00A34DD9"/>
    <w:rsid w:val="00A4123C"/>
    <w:rsid w:val="00A44FE5"/>
    <w:rsid w:val="00A55EAC"/>
    <w:rsid w:val="00A5698B"/>
    <w:rsid w:val="00A629DE"/>
    <w:rsid w:val="00A66672"/>
    <w:rsid w:val="00A75081"/>
    <w:rsid w:val="00A75CF3"/>
    <w:rsid w:val="00A76F48"/>
    <w:rsid w:val="00A81AAB"/>
    <w:rsid w:val="00A8606B"/>
    <w:rsid w:val="00A87B39"/>
    <w:rsid w:val="00A90BB0"/>
    <w:rsid w:val="00A90F50"/>
    <w:rsid w:val="00AA1F56"/>
    <w:rsid w:val="00AB026B"/>
    <w:rsid w:val="00AB4CBC"/>
    <w:rsid w:val="00AC3277"/>
    <w:rsid w:val="00AD14C8"/>
    <w:rsid w:val="00AD2AFF"/>
    <w:rsid w:val="00AD338C"/>
    <w:rsid w:val="00AD611D"/>
    <w:rsid w:val="00AE0440"/>
    <w:rsid w:val="00AE7197"/>
    <w:rsid w:val="00AF4D8D"/>
    <w:rsid w:val="00AF76D5"/>
    <w:rsid w:val="00B02C65"/>
    <w:rsid w:val="00B04584"/>
    <w:rsid w:val="00B068E8"/>
    <w:rsid w:val="00B16F13"/>
    <w:rsid w:val="00B224AC"/>
    <w:rsid w:val="00B3114B"/>
    <w:rsid w:val="00B35E28"/>
    <w:rsid w:val="00B368A5"/>
    <w:rsid w:val="00B435F1"/>
    <w:rsid w:val="00B51430"/>
    <w:rsid w:val="00B54674"/>
    <w:rsid w:val="00B5714D"/>
    <w:rsid w:val="00B57BDB"/>
    <w:rsid w:val="00B63943"/>
    <w:rsid w:val="00B6700B"/>
    <w:rsid w:val="00B71A5E"/>
    <w:rsid w:val="00B72151"/>
    <w:rsid w:val="00B72C7F"/>
    <w:rsid w:val="00B751AB"/>
    <w:rsid w:val="00B8182A"/>
    <w:rsid w:val="00B818B9"/>
    <w:rsid w:val="00B83340"/>
    <w:rsid w:val="00B860BF"/>
    <w:rsid w:val="00B87D85"/>
    <w:rsid w:val="00B93C0B"/>
    <w:rsid w:val="00B95363"/>
    <w:rsid w:val="00BA505C"/>
    <w:rsid w:val="00BA6CA5"/>
    <w:rsid w:val="00BB2A43"/>
    <w:rsid w:val="00BB3F4A"/>
    <w:rsid w:val="00BC0B51"/>
    <w:rsid w:val="00BC25E7"/>
    <w:rsid w:val="00BC2C3E"/>
    <w:rsid w:val="00BC6E37"/>
    <w:rsid w:val="00BC7A94"/>
    <w:rsid w:val="00BD0069"/>
    <w:rsid w:val="00BD0945"/>
    <w:rsid w:val="00BD42FF"/>
    <w:rsid w:val="00BD6238"/>
    <w:rsid w:val="00BE346F"/>
    <w:rsid w:val="00BE508E"/>
    <w:rsid w:val="00BE7A49"/>
    <w:rsid w:val="00BE7C81"/>
    <w:rsid w:val="00BF1706"/>
    <w:rsid w:val="00BF5A4E"/>
    <w:rsid w:val="00BF7308"/>
    <w:rsid w:val="00C01576"/>
    <w:rsid w:val="00C015BD"/>
    <w:rsid w:val="00C02C69"/>
    <w:rsid w:val="00C221A6"/>
    <w:rsid w:val="00C23A08"/>
    <w:rsid w:val="00C30F56"/>
    <w:rsid w:val="00C3469B"/>
    <w:rsid w:val="00C40E11"/>
    <w:rsid w:val="00C415AF"/>
    <w:rsid w:val="00C42B39"/>
    <w:rsid w:val="00C44558"/>
    <w:rsid w:val="00C450EC"/>
    <w:rsid w:val="00C46554"/>
    <w:rsid w:val="00C51AEA"/>
    <w:rsid w:val="00C57F7A"/>
    <w:rsid w:val="00C63DCC"/>
    <w:rsid w:val="00C739B9"/>
    <w:rsid w:val="00C75BDE"/>
    <w:rsid w:val="00C81D28"/>
    <w:rsid w:val="00C82F2D"/>
    <w:rsid w:val="00C86075"/>
    <w:rsid w:val="00C862D4"/>
    <w:rsid w:val="00C87A8B"/>
    <w:rsid w:val="00C9710F"/>
    <w:rsid w:val="00CB2AAC"/>
    <w:rsid w:val="00CB2E90"/>
    <w:rsid w:val="00CB305B"/>
    <w:rsid w:val="00CB6EF9"/>
    <w:rsid w:val="00CC193D"/>
    <w:rsid w:val="00CC3EF1"/>
    <w:rsid w:val="00CC60A6"/>
    <w:rsid w:val="00CD5176"/>
    <w:rsid w:val="00CF35A7"/>
    <w:rsid w:val="00CF5E38"/>
    <w:rsid w:val="00D004FF"/>
    <w:rsid w:val="00D014B0"/>
    <w:rsid w:val="00D023FF"/>
    <w:rsid w:val="00D0504A"/>
    <w:rsid w:val="00D0590B"/>
    <w:rsid w:val="00D12D59"/>
    <w:rsid w:val="00D160E3"/>
    <w:rsid w:val="00D22C1C"/>
    <w:rsid w:val="00D2357D"/>
    <w:rsid w:val="00D255D1"/>
    <w:rsid w:val="00D335E0"/>
    <w:rsid w:val="00D34674"/>
    <w:rsid w:val="00D50AD0"/>
    <w:rsid w:val="00D50F57"/>
    <w:rsid w:val="00D52706"/>
    <w:rsid w:val="00D53C1E"/>
    <w:rsid w:val="00D53E2F"/>
    <w:rsid w:val="00D56E4C"/>
    <w:rsid w:val="00D6166B"/>
    <w:rsid w:val="00D629CB"/>
    <w:rsid w:val="00D67313"/>
    <w:rsid w:val="00D67869"/>
    <w:rsid w:val="00D7126E"/>
    <w:rsid w:val="00D75116"/>
    <w:rsid w:val="00D831FC"/>
    <w:rsid w:val="00D928D7"/>
    <w:rsid w:val="00D930F8"/>
    <w:rsid w:val="00DA3491"/>
    <w:rsid w:val="00DC0E81"/>
    <w:rsid w:val="00DC2A1E"/>
    <w:rsid w:val="00DC3650"/>
    <w:rsid w:val="00DC6E21"/>
    <w:rsid w:val="00DD4244"/>
    <w:rsid w:val="00DD484E"/>
    <w:rsid w:val="00DE266F"/>
    <w:rsid w:val="00DE44B3"/>
    <w:rsid w:val="00DF0C1E"/>
    <w:rsid w:val="00DF113B"/>
    <w:rsid w:val="00DF41BE"/>
    <w:rsid w:val="00E16AAB"/>
    <w:rsid w:val="00E21290"/>
    <w:rsid w:val="00E26739"/>
    <w:rsid w:val="00E3002C"/>
    <w:rsid w:val="00E34D41"/>
    <w:rsid w:val="00E35FAD"/>
    <w:rsid w:val="00E36C27"/>
    <w:rsid w:val="00E40542"/>
    <w:rsid w:val="00E507EF"/>
    <w:rsid w:val="00E520CD"/>
    <w:rsid w:val="00E5428E"/>
    <w:rsid w:val="00E57848"/>
    <w:rsid w:val="00E60F0B"/>
    <w:rsid w:val="00E62A75"/>
    <w:rsid w:val="00E636E4"/>
    <w:rsid w:val="00E63CE8"/>
    <w:rsid w:val="00E77133"/>
    <w:rsid w:val="00E838CD"/>
    <w:rsid w:val="00E851FA"/>
    <w:rsid w:val="00E87A6F"/>
    <w:rsid w:val="00E90DF7"/>
    <w:rsid w:val="00EB1964"/>
    <w:rsid w:val="00EB72F5"/>
    <w:rsid w:val="00EC6FF2"/>
    <w:rsid w:val="00ED3AED"/>
    <w:rsid w:val="00EE0EC2"/>
    <w:rsid w:val="00EE2CA2"/>
    <w:rsid w:val="00EE3BF0"/>
    <w:rsid w:val="00EE696B"/>
    <w:rsid w:val="00EE7BB2"/>
    <w:rsid w:val="00EF20B3"/>
    <w:rsid w:val="00EF36A2"/>
    <w:rsid w:val="00EF6658"/>
    <w:rsid w:val="00F02BC9"/>
    <w:rsid w:val="00F06296"/>
    <w:rsid w:val="00F10F52"/>
    <w:rsid w:val="00F1425A"/>
    <w:rsid w:val="00F20713"/>
    <w:rsid w:val="00F2176B"/>
    <w:rsid w:val="00F23F60"/>
    <w:rsid w:val="00F4144F"/>
    <w:rsid w:val="00F62927"/>
    <w:rsid w:val="00F64536"/>
    <w:rsid w:val="00F735BB"/>
    <w:rsid w:val="00F76369"/>
    <w:rsid w:val="00F83340"/>
    <w:rsid w:val="00F84922"/>
    <w:rsid w:val="00F909A1"/>
    <w:rsid w:val="00FA009D"/>
    <w:rsid w:val="00FA4948"/>
    <w:rsid w:val="00FA568F"/>
    <w:rsid w:val="00FA6106"/>
    <w:rsid w:val="00FC1D56"/>
    <w:rsid w:val="00FD16D0"/>
    <w:rsid w:val="00FD1CF3"/>
    <w:rsid w:val="00FD525E"/>
    <w:rsid w:val="00FE38F2"/>
    <w:rsid w:val="00FE6B4E"/>
    <w:rsid w:val="00FF0230"/>
    <w:rsid w:val="00FF3F6D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8B38"/>
  <w15:docId w15:val="{6BA6A215-07E9-4809-92AE-908B1168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'Supl Figure 1a'!$C$23</c:f>
              <c:strCache>
                <c:ptCount val="1"/>
                <c:pt idx="0">
                  <c:v>total prevalence</c:v>
                </c:pt>
              </c:strCache>
            </c:strRef>
          </c:tx>
          <c:marker>
            <c:symbol val="none"/>
          </c:marker>
          <c:cat>
            <c:strRef>
              <c:f>'Supl Figure 1a'!$B$24:$B$34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1a'!$C$24:$C$34</c:f>
              <c:numCache>
                <c:formatCode>General</c:formatCode>
                <c:ptCount val="11"/>
                <c:pt idx="0">
                  <c:v>2.6378566840994586</c:v>
                </c:pt>
                <c:pt idx="1">
                  <c:v>2.6088598349776024</c:v>
                </c:pt>
                <c:pt idx="2">
                  <c:v>2.5840076807022356</c:v>
                </c:pt>
                <c:pt idx="3">
                  <c:v>2.6245282289747913</c:v>
                </c:pt>
                <c:pt idx="4">
                  <c:v>2.6060791459308392</c:v>
                </c:pt>
                <c:pt idx="5">
                  <c:v>2.6633988502682673</c:v>
                </c:pt>
                <c:pt idx="6">
                  <c:v>2.600318752188024</c:v>
                </c:pt>
                <c:pt idx="7">
                  <c:v>2.6272241469152462</c:v>
                </c:pt>
                <c:pt idx="8">
                  <c:v>2.5737244184578936</c:v>
                </c:pt>
                <c:pt idx="9">
                  <c:v>2.6245628105970393</c:v>
                </c:pt>
                <c:pt idx="10">
                  <c:v>2.5892123973020151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FC-4430-AFC7-8A75B6BCAF43}"/>
            </c:ext>
          </c:extLst>
        </c:ser>
        <c:ser>
          <c:idx val="1"/>
          <c:order val="1"/>
          <c:tx>
            <c:strRef>
              <c:f>'Supl Figure 1a'!$D$23</c:f>
              <c:strCache>
                <c:ptCount val="1"/>
                <c:pt idx="0">
                  <c:v>LB prevalence</c:v>
                </c:pt>
              </c:strCache>
            </c:strRef>
          </c:tx>
          <c:marker>
            <c:symbol val="none"/>
          </c:marker>
          <c:cat>
            <c:strRef>
              <c:f>'Supl Figure 1a'!$B$24:$B$34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1a'!$D$24:$D$34</c:f>
              <c:numCache>
                <c:formatCode>General</c:formatCode>
                <c:ptCount val="11"/>
                <c:pt idx="0">
                  <c:v>1.7026967894019918</c:v>
                </c:pt>
                <c:pt idx="1">
                  <c:v>1.6874207166648201</c:v>
                </c:pt>
                <c:pt idx="2">
                  <c:v>1.6678096283088739</c:v>
                </c:pt>
                <c:pt idx="3">
                  <c:v>1.6557606516129311</c:v>
                </c:pt>
                <c:pt idx="4">
                  <c:v>1.6228038853495717</c:v>
                </c:pt>
                <c:pt idx="5">
                  <c:v>1.6114232239814037</c:v>
                </c:pt>
                <c:pt idx="6">
                  <c:v>1.5719139997857934</c:v>
                </c:pt>
                <c:pt idx="7">
                  <c:v>1.5697936811443796</c:v>
                </c:pt>
                <c:pt idx="8">
                  <c:v>1.6278257005631123</c:v>
                </c:pt>
                <c:pt idx="9">
                  <c:v>1.6845020109421989</c:v>
                </c:pt>
                <c:pt idx="10">
                  <c:v>1.6938295879887073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FC-4430-AFC7-8A75B6BCAF43}"/>
            </c:ext>
          </c:extLst>
        </c:ser>
        <c:ser>
          <c:idx val="2"/>
          <c:order val="2"/>
          <c:tx>
            <c:strRef>
              <c:f>'Supl Figure 1a'!$E$23</c:f>
              <c:strCache>
                <c:ptCount val="1"/>
                <c:pt idx="0">
                  <c:v>SB prevalence</c:v>
                </c:pt>
              </c:strCache>
            </c:strRef>
          </c:tx>
          <c:marker>
            <c:symbol val="none"/>
          </c:marker>
          <c:cat>
            <c:strRef>
              <c:f>'Supl Figure 1a'!$B$24:$B$34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1a'!$E$24:$E$34</c:f>
              <c:numCache>
                <c:formatCode>General</c:formatCode>
                <c:ptCount val="11"/>
                <c:pt idx="0">
                  <c:v>0.32054222805667892</c:v>
                </c:pt>
                <c:pt idx="1">
                  <c:v>0.30243553883272317</c:v>
                </c:pt>
                <c:pt idx="2">
                  <c:v>0.30997119736661644</c:v>
                </c:pt>
                <c:pt idx="3">
                  <c:v>0.30861017007372293</c:v>
                </c:pt>
                <c:pt idx="4">
                  <c:v>0.31443490717774952</c:v>
                </c:pt>
                <c:pt idx="5">
                  <c:v>0.29176932128566946</c:v>
                </c:pt>
                <c:pt idx="6">
                  <c:v>0.28507592877471166</c:v>
                </c:pt>
                <c:pt idx="7">
                  <c:v>0.29433631521457121</c:v>
                </c:pt>
                <c:pt idx="8">
                  <c:v>0.28871908540393038</c:v>
                </c:pt>
                <c:pt idx="9">
                  <c:v>0.27984468891459113</c:v>
                </c:pt>
                <c:pt idx="10">
                  <c:v>0.28060429921499674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FC-4430-AFC7-8A75B6BCAF43}"/>
            </c:ext>
          </c:extLst>
        </c:ser>
        <c:ser>
          <c:idx val="3"/>
          <c:order val="3"/>
          <c:tx>
            <c:strRef>
              <c:f>'Supl Figure 1a'!$F$23</c:f>
              <c:strCache>
                <c:ptCount val="1"/>
                <c:pt idx="0">
                  <c:v>ETOPFA prevalence</c:v>
                </c:pt>
              </c:strCache>
            </c:strRef>
          </c:tx>
          <c:marker>
            <c:symbol val="none"/>
          </c:marker>
          <c:cat>
            <c:strRef>
              <c:f>'Supl Figure 1a'!$B$24:$B$34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1a'!$F$24:$F$34</c:f>
              <c:numCache>
                <c:formatCode>General</c:formatCode>
                <c:ptCount val="11"/>
                <c:pt idx="0">
                  <c:v>0.60873615786910584</c:v>
                </c:pt>
                <c:pt idx="1">
                  <c:v>0.61335057875421439</c:v>
                </c:pt>
                <c:pt idx="2">
                  <c:v>0.5925113153202578</c:v>
                </c:pt>
                <c:pt idx="3">
                  <c:v>0.6494231405029649</c:v>
                </c:pt>
                <c:pt idx="4">
                  <c:v>0.65818154299071296</c:v>
                </c:pt>
                <c:pt idx="5">
                  <c:v>0.75485273947301634</c:v>
                </c:pt>
                <c:pt idx="6">
                  <c:v>0.73533604057776103</c:v>
                </c:pt>
                <c:pt idx="7">
                  <c:v>0.75491814180033534</c:v>
                </c:pt>
                <c:pt idx="8">
                  <c:v>0.64893051576502447</c:v>
                </c:pt>
                <c:pt idx="9">
                  <c:v>0.65478223328559682</c:v>
                </c:pt>
                <c:pt idx="10">
                  <c:v>0.60967661374894744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FC-4430-AFC7-8A75B6BCA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421312"/>
        <c:axId val="151423616"/>
      </c:lineChart>
      <c:catAx>
        <c:axId val="151421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nl-N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Birth years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1423616"/>
        <c:crosses val="autoZero"/>
        <c:auto val="1"/>
        <c:lblAlgn val="ctr"/>
        <c:lblOffset val="100"/>
        <c:noMultiLvlLbl val="0"/>
      </c:catAx>
      <c:valAx>
        <c:axId val="151423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nl-N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Omphalocele</a:t>
                </a:r>
                <a:r>
                  <a:rPr lang="nl-NL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prevalence (per 10,000 births)</a:t>
                </a:r>
                <a:endParaRPr lang="nl-NL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142131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'Supl Figure 1b'!$C$22</c:f>
              <c:strCache>
                <c:ptCount val="1"/>
                <c:pt idx="0">
                  <c:v>total prevalence</c:v>
                </c:pt>
              </c:strCache>
            </c:strRef>
          </c:tx>
          <c:marker>
            <c:symbol val="none"/>
          </c:marker>
          <c:cat>
            <c:strRef>
              <c:f>'Supl Figure 1b'!$B$23:$B$33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1b'!$C$23:$C$33</c:f>
              <c:numCache>
                <c:formatCode>General</c:formatCode>
                <c:ptCount val="11"/>
                <c:pt idx="0">
                  <c:v>2.5473236757955786</c:v>
                </c:pt>
                <c:pt idx="1">
                  <c:v>2.4437475775536344</c:v>
                </c:pt>
                <c:pt idx="2">
                  <c:v>2.404360658323101</c:v>
                </c:pt>
                <c:pt idx="3">
                  <c:v>2.4192957830339954</c:v>
                </c:pt>
                <c:pt idx="4">
                  <c:v>2.4121698114459615</c:v>
                </c:pt>
                <c:pt idx="5">
                  <c:v>2.4484765935366708</c:v>
                </c:pt>
                <c:pt idx="6">
                  <c:v>2.3891719676419698</c:v>
                </c:pt>
                <c:pt idx="7">
                  <c:v>2.4429541318508252</c:v>
                </c:pt>
                <c:pt idx="8">
                  <c:v>2.3578596520832558</c:v>
                </c:pt>
                <c:pt idx="9">
                  <c:v>2.4431549637388845</c:v>
                </c:pt>
                <c:pt idx="10">
                  <c:v>2.4892136962223232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D7-4900-931B-C93E300195FD}"/>
            </c:ext>
          </c:extLst>
        </c:ser>
        <c:ser>
          <c:idx val="1"/>
          <c:order val="1"/>
          <c:tx>
            <c:strRef>
              <c:f>'Supl Figure 1b'!$D$22</c:f>
              <c:strCache>
                <c:ptCount val="1"/>
                <c:pt idx="0">
                  <c:v>LB prevalence</c:v>
                </c:pt>
              </c:strCache>
            </c:strRef>
          </c:tx>
          <c:marker>
            <c:symbol val="none"/>
          </c:marker>
          <c:cat>
            <c:strRef>
              <c:f>'Supl Figure 1b'!$B$23:$B$33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1b'!$D$23:$D$33</c:f>
              <c:numCache>
                <c:formatCode>General</c:formatCode>
                <c:ptCount val="11"/>
                <c:pt idx="0">
                  <c:v>1.5178742846923505</c:v>
                </c:pt>
                <c:pt idx="1">
                  <c:v>1.4430438217601582</c:v>
                </c:pt>
                <c:pt idx="2">
                  <c:v>1.4010769282761262</c:v>
                </c:pt>
                <c:pt idx="3">
                  <c:v>1.344813638942518</c:v>
                </c:pt>
                <c:pt idx="4">
                  <c:v>1.3305090706875247</c:v>
                </c:pt>
                <c:pt idx="5">
                  <c:v>1.3036921729824391</c:v>
                </c:pt>
                <c:pt idx="6">
                  <c:v>1.2994299664435713</c:v>
                </c:pt>
                <c:pt idx="7">
                  <c:v>1.3290184107572163</c:v>
                </c:pt>
                <c:pt idx="8">
                  <c:v>1.3669699508610273</c:v>
                </c:pt>
                <c:pt idx="9">
                  <c:v>1.395116344196299</c:v>
                </c:pt>
                <c:pt idx="10">
                  <c:v>1.4040829344986645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D7-4900-931B-C93E300195FD}"/>
            </c:ext>
          </c:extLst>
        </c:ser>
        <c:ser>
          <c:idx val="2"/>
          <c:order val="2"/>
          <c:tx>
            <c:strRef>
              <c:f>'Supl Figure 1b'!$E$22</c:f>
              <c:strCache>
                <c:ptCount val="1"/>
                <c:pt idx="0">
                  <c:v>SB prevalence</c:v>
                </c:pt>
              </c:strCache>
            </c:strRef>
          </c:tx>
          <c:marker>
            <c:symbol val="none"/>
          </c:marker>
          <c:cat>
            <c:strRef>
              <c:f>'Supl Figure 1b'!$B$23:$B$33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1b'!$E$23:$E$33</c:f>
              <c:numCache>
                <c:formatCode>General</c:formatCode>
                <c:ptCount val="11"/>
                <c:pt idx="0">
                  <c:v>0.24421244679456136</c:v>
                </c:pt>
                <c:pt idx="1">
                  <c:v>0.20666708000082665</c:v>
                </c:pt>
                <c:pt idx="2">
                  <c:v>0.22529880253686449</c:v>
                </c:pt>
                <c:pt idx="3">
                  <c:v>0.23269040063127536</c:v>
                </c:pt>
                <c:pt idx="4">
                  <c:v>0.2488483299290882</c:v>
                </c:pt>
                <c:pt idx="5">
                  <c:v>0.22376805954176193</c:v>
                </c:pt>
                <c:pt idx="6">
                  <c:v>0.20333378448016765</c:v>
                </c:pt>
                <c:pt idx="7">
                  <c:v>0.21508268966360747</c:v>
                </c:pt>
                <c:pt idx="8">
                  <c:v>0.20929683458159276</c:v>
                </c:pt>
                <c:pt idx="9">
                  <c:v>0.22117698139697423</c:v>
                </c:pt>
                <c:pt idx="10">
                  <c:v>0.24961474391087368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D7-4900-931B-C93E300195FD}"/>
            </c:ext>
          </c:extLst>
        </c:ser>
        <c:ser>
          <c:idx val="3"/>
          <c:order val="3"/>
          <c:tx>
            <c:strRef>
              <c:f>'Supl Figure 1b'!$F$22</c:f>
              <c:strCache>
                <c:ptCount val="1"/>
                <c:pt idx="0">
                  <c:v>ETOPFA prevalence</c:v>
                </c:pt>
              </c:strCache>
            </c:strRef>
          </c:tx>
          <c:marker>
            <c:symbol val="none"/>
          </c:marker>
          <c:cat>
            <c:strRef>
              <c:f>'Supl Figure 1b'!$B$23:$B$33</c:f>
              <c:strCache>
                <c:ptCount val="11"/>
                <c:pt idx="0">
                  <c:v>2000-2002</c:v>
                </c:pt>
                <c:pt idx="1">
                  <c:v>2001-2003</c:v>
                </c:pt>
                <c:pt idx="2">
                  <c:v>2002-2004</c:v>
                </c:pt>
                <c:pt idx="3">
                  <c:v>2003-2005</c:v>
                </c:pt>
                <c:pt idx="4">
                  <c:v>2004-2006</c:v>
                </c:pt>
                <c:pt idx="5">
                  <c:v>2005-2007</c:v>
                </c:pt>
                <c:pt idx="6">
                  <c:v>2006-2008</c:v>
                </c:pt>
                <c:pt idx="7">
                  <c:v>2007-2009</c:v>
                </c:pt>
                <c:pt idx="8">
                  <c:v>2008-2010</c:v>
                </c:pt>
                <c:pt idx="9">
                  <c:v>2009-2011</c:v>
                </c:pt>
                <c:pt idx="10">
                  <c:v>2010-2012</c:v>
                </c:pt>
              </c:strCache>
            </c:strRef>
          </c:cat>
          <c:val>
            <c:numRef>
              <c:f>'Supl Figure 1b'!$F$23:$F$33</c:f>
              <c:numCache>
                <c:formatCode>General</c:formatCode>
                <c:ptCount val="11"/>
                <c:pt idx="0">
                  <c:v>0.77772271517652614</c:v>
                </c:pt>
                <c:pt idx="1">
                  <c:v>0.78678519930139279</c:v>
                </c:pt>
                <c:pt idx="2">
                  <c:v>0.76038345856191769</c:v>
                </c:pt>
                <c:pt idx="3">
                  <c:v>0.82810407283483289</c:v>
                </c:pt>
                <c:pt idx="4">
                  <c:v>0.81954049989979705</c:v>
                </c:pt>
                <c:pt idx="5">
                  <c:v>0.91453033030111397</c:v>
                </c:pt>
                <c:pt idx="6">
                  <c:v>0.87687694557072304</c:v>
                </c:pt>
                <c:pt idx="7">
                  <c:v>0.88922246323610843</c:v>
                </c:pt>
                <c:pt idx="8">
                  <c:v>0.77178207751962324</c:v>
                </c:pt>
                <c:pt idx="9">
                  <c:v>0.82005619256416595</c:v>
                </c:pt>
                <c:pt idx="10">
                  <c:v>0.82858227492637238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D7-4900-931B-C93E30019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902144"/>
        <c:axId val="244947584"/>
      </c:lineChart>
      <c:catAx>
        <c:axId val="24490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nl-N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Birth years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44947584"/>
        <c:crosses val="autoZero"/>
        <c:auto val="1"/>
        <c:lblAlgn val="ctr"/>
        <c:lblOffset val="100"/>
        <c:noMultiLvlLbl val="0"/>
      </c:catAx>
      <c:valAx>
        <c:axId val="244947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nl-N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Omphalocele prevalence (per 10,000 birhts)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49021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Kammen-Bergman, JEH van</dc:creator>
  <cp:lastModifiedBy>Cragan, Janet D. (CDC/DDNID/NCBDDD/DBDID)</cp:lastModifiedBy>
  <cp:revision>2</cp:revision>
  <dcterms:created xsi:type="dcterms:W3CDTF">2020-03-03T16:30:00Z</dcterms:created>
  <dcterms:modified xsi:type="dcterms:W3CDTF">2020-03-03T16:30:00Z</dcterms:modified>
</cp:coreProperties>
</file>