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0B24" w14:textId="1A50125B" w:rsidR="00C27F24" w:rsidRPr="003D2382" w:rsidRDefault="00753C13" w:rsidP="00C27F24">
      <w:pPr>
        <w:pStyle w:val="Heading1"/>
      </w:pPr>
      <w:bookmarkStart w:id="0" w:name="_GoBack"/>
      <w:bookmarkEnd w:id="0"/>
      <w:r>
        <w:t>Supplemental Digital Content</w:t>
      </w:r>
      <w:r w:rsidR="00C41753">
        <w:t xml:space="preserve"> (SDC)</w:t>
      </w:r>
    </w:p>
    <w:p w14:paraId="5D8F3693" w14:textId="719D3D9B" w:rsidR="00C27F24" w:rsidRDefault="00C41753" w:rsidP="00C41753">
      <w:pPr>
        <w:pStyle w:val="Heading2"/>
      </w:pPr>
      <w:r>
        <w:t xml:space="preserve">SDC Section 1: </w:t>
      </w:r>
      <w:r w:rsidR="0084707F">
        <w:t>I</w:t>
      </w:r>
      <w:r w:rsidR="00E66A49" w:rsidRPr="007928C1">
        <w:t>mputation</w:t>
      </w:r>
      <w:r w:rsidR="0084707F">
        <w:t xml:space="preserve"> of deductible amounts</w:t>
      </w:r>
    </w:p>
    <w:p w14:paraId="257DCF7C" w14:textId="66CC7862" w:rsidR="00E66A49" w:rsidRDefault="00E66A49" w:rsidP="00E66A49">
      <w:pPr>
        <w:spacing w:before="100" w:beforeAutospacing="1" w:after="100" w:afterAutospacing="1"/>
        <w:rPr>
          <w:rFonts w:cs="Arial"/>
        </w:rPr>
      </w:pPr>
      <w:r>
        <w:rPr>
          <w:rFonts w:cs="Arial"/>
        </w:rPr>
        <w:t xml:space="preserve">Our </w:t>
      </w:r>
      <w:r w:rsidR="007928C1">
        <w:rPr>
          <w:rFonts w:cs="Arial"/>
        </w:rPr>
        <w:t xml:space="preserve">algorithm for </w:t>
      </w:r>
      <w:r>
        <w:rPr>
          <w:rFonts w:cs="Arial"/>
        </w:rPr>
        <w:t>imput</w:t>
      </w:r>
      <w:r w:rsidR="007928C1">
        <w:rPr>
          <w:rFonts w:cs="Arial"/>
        </w:rPr>
        <w:t>ing</w:t>
      </w:r>
      <w:r>
        <w:rPr>
          <w:rFonts w:cs="Arial"/>
        </w:rPr>
        <w:t xml:space="preserve"> </w:t>
      </w:r>
      <w:r w:rsidR="00863EE0">
        <w:rPr>
          <w:rFonts w:cs="Arial"/>
        </w:rPr>
        <w:t xml:space="preserve">employer-mandated membership in </w:t>
      </w:r>
      <w:r w:rsidR="007928C1">
        <w:rPr>
          <w:rFonts w:cs="Arial"/>
        </w:rPr>
        <w:t xml:space="preserve">high deductible health plans </w:t>
      </w:r>
      <w:r>
        <w:rPr>
          <w:rFonts w:cs="Arial"/>
        </w:rPr>
        <w:t>has been described in detail previously.</w:t>
      </w:r>
      <w:r w:rsidR="007928C1">
        <w:rPr>
          <w:rFonts w:cs="Arial"/>
        </w:rPr>
        <w:fldChar w:fldCharType="begin"/>
      </w:r>
      <w:r w:rsidR="007C6E15">
        <w:rPr>
          <w:rFonts w:cs="Arial"/>
        </w:rPr>
        <w:instrText xml:space="preserve"> ADDIN ZOTERO_ITEM CSL_CITATION {"citationID":"EVNcnUQv","properties":{"unsorted":true,"formattedCitation":"\\super 1\\uc0\\u8211{}3\\nosupersub{}","plainCitation":"1–3","noteIndex":0},"citationItems":[{"id":7631,"uris":["http://zotero.org/groups/444755/items/VJ4VBC2J"],"uri":["http://zotero.org/groups/444755/items/VJ4VBC2J"],"itemData":{"id":7631,"type":"article-journal","title":"Diabetes Outpatient Care and Acute Complications Before and After High-Deductible Insurance Enrollment: A Natural Experiment for Translation in Diabetes (NEXT-D) Study","container-title":"JAMA Internal Medicine","page":"358","volume":"177","issue":"3","source":"CrossRef","DOI":"10.1001/jamainternmed.2016.8411","ISSN":"2168-6106","title-short":"Diabetes Outpatient Care and Acute Complications Before and After High-Deductible Insurance Enrollment","language":"en","author":[{"family":"Wharam","given":"J. Frank"},{"family":"Zhang","given":"Fang"},{"family":"Eggleston","given":"Emma M."},{"family":"Lu","given":"Christine Y."},{"family":"Soumerai","given":"Stephen"},{"family":"Ross-Degnan","given":"Dennis"}],"issued":{"date-parts":[["2017",3,1]]}}},{"id":780,"uris":["http://zotero.org/users/22428/items/8HLAJGSP"],"uri":["http://zotero.org/users/22428/items/8HLAJGSP"],"itemData":{"id":780,"type":"article-journal","title":"Effect of High-Deductible Insurance on High-Acuity Outcomes in Diabetes: A Natural Experiment for Translation in Diabetes (NEXT-D) Study","container-title":"Diabetes Care","page":"dc171183","source":"care.diabetesjournals.org","abstract":"OBJECTIVE High-deductible health plans (HDHP) are now the predominant commercial health insurance benefit in the U.S. We sought to determine the effects of HDHPs on emergency department and hospital care, adverse outcomes, and total health care expenditures among patients with diabetes.\nRESEARCH DESIGN AND METHODS We applied a controlled interrupted time–series design to study 23,493 HDHP members with diabetes, aged 12–64, insured through a large national health insurer from 2003 to</w:instrText>
      </w:r>
      <w:r w:rsidR="007C6E15">
        <w:rPr>
          <w:rFonts w:cs="Arial" w:hint="eastAsia"/>
        </w:rPr>
        <w:instrText xml:space="preserve"> 2012. HDHP members were enrolled for 1 year in a low-deductible (</w:instrText>
      </w:r>
      <w:r w:rsidR="007C6E15">
        <w:rPr>
          <w:rFonts w:cs="Arial" w:hint="eastAsia"/>
        </w:rPr>
        <w:instrText>≤</w:instrText>
      </w:r>
      <w:r w:rsidR="007C6E15">
        <w:rPr>
          <w:rFonts w:cs="Arial" w:hint="eastAsia"/>
        </w:rPr>
        <w:instrText>$500) plan, followed by 1 year in an HDHP (</w:instrText>
      </w:r>
      <w:r w:rsidR="007C6E15">
        <w:rPr>
          <w:rFonts w:cs="Arial" w:hint="eastAsia"/>
        </w:rPr>
        <w:instrText>≥</w:instrText>
      </w:r>
      <w:r w:rsidR="007C6E15">
        <w:rPr>
          <w:rFonts w:cs="Arial" w:hint="eastAsia"/>
        </w:rPr>
        <w:instrText>$1,000 deductible) after an employer-mandated switch. Patients transitioning to HDHPs were matched to 192,842 contemporaneous patients whose emp</w:instrText>
      </w:r>
      <w:r w:rsidR="007C6E15">
        <w:rPr>
          <w:rFonts w:cs="Arial"/>
        </w:rPr>
        <w:instrText xml:space="preserve">loyers offered only low-deductible coverage. HDHP members from low-income neighborhoods (n = 8,453) were a subgroup of interest. Utilization measures included emergency department visits, hospitalizations, and total (health plan plus member out-of-pocket) health care expenditures. Proxy health outcome measures comprised high-severity emergency department visit expenditures and high-severity hospitalization days.\nRESULTS After the HDHP transition, emergency department visits declined by 4.0% (95% CI −7.8%, −0.1%), hospitalizations fell by 5.6% (−10.8%, −0.5%), direct (nonemergency department–based) hospitalizations declined by 11.1% (−16.6%, −5.6%), and total health care expenditures dropped by 3.8% (−4.3%, −3.4%). Adverse outcomes did not change in the overall HDHP cohort, but members from low-income neighborhoods experienced 23.5% higher (18.3%, 28.7%) high-severity emergency department visit expenditures and 27.4% higher (15.5%, 39.2%) high-severity hospitalization days.\nCONCLUSIONS After an HDHP switch, direct hospitalizations declined by 11.1% among patients with diabetes, likely driving 3.8% lower total health care expenditures. Proxy adverse outcomes were unchanged in the overall HDHP population with diabetes, but members from low-income neighborhoods experienced large, concerning increases in high-severity emergency department visit expenditures and hospitalization days.","DOI":"10.2337/dc17-1183","ISSN":"0149-5992, 1935-5548","note":"PMID: 29382660","title-short":"Effect of High-Deductible Insurance on High-Acuity Outcomes in Diabetes","language":"en","author":[{"family":"Wharam","given":"J. Frank"},{"family":"Zhang","given":"Fang"},{"family":"Eggleston","given":"Emma M."},{"family":"Lu","given":"Christine Y."},{"family":"Soumerai","given":"Stephen B."},{"family":"Ross-Degnan","given":"Dennis"}],"issued":{"date-parts":[["2018",1,30]]}}},{"id":11594,"uris":["http://zotero.org/users/22428/items/8XXNMV5U"],"uri":["http://zotero.org/users/22428/items/8XXNMV5U"],"itemData":{"id":11594,"type":"article-journal","title":"High-Deductible Insurance and Delay in Care for the Macrovascular Complications of Diabetes","container-title":"Annals of Internal Medicine","page":"845","volume":"169","issue":"12","source":"Crossref","DOI":"10.7326/M17-3365","ISSN":"0003-4819","language":"en","author":[{"family":"Wharam","given":"J. Frank"},{"family":"Lu","given":"Christine Y."},{"family":"Zhang","given":"Fang"},{"family":"Callahan","given":"Matthew"},{"family":"Xu","given":"Xin"},{"family":"Wallace","given":"Jamie"},{"family":"Soumerai","given":"Stephen"},{"family":"Ross-Degnan","given":"Dennis"},{"family":"Newhouse","given":"Joseph P."}],"issued":{"date-parts":[["2018",12,18]]}}}],"schema":"https://github.com/citation-style-language/schema/raw/master/csl-citation.json"} </w:instrText>
      </w:r>
      <w:r w:rsidR="007928C1">
        <w:rPr>
          <w:rFonts w:cs="Arial"/>
        </w:rPr>
        <w:fldChar w:fldCharType="separate"/>
      </w:r>
      <w:r w:rsidR="00D41B24" w:rsidRPr="00D41B24">
        <w:rPr>
          <w:rFonts w:cs="Arial"/>
          <w:szCs w:val="24"/>
          <w:vertAlign w:val="superscript"/>
        </w:rPr>
        <w:t>1–3</w:t>
      </w:r>
      <w:r w:rsidR="007928C1">
        <w:rPr>
          <w:rFonts w:cs="Arial"/>
        </w:rPr>
        <w:fldChar w:fldCharType="end"/>
      </w:r>
      <w:r w:rsidR="00D05AFD">
        <w:rPr>
          <w:rFonts w:cs="Arial"/>
        </w:rPr>
        <w:t xml:space="preserve"> We summarize these methods briefly below.</w:t>
      </w:r>
    </w:p>
    <w:p w14:paraId="19066310" w14:textId="27126041" w:rsidR="008D778F" w:rsidRDefault="00E66A49" w:rsidP="00E66A49">
      <w:pPr>
        <w:spacing w:before="100" w:beforeAutospacing="1" w:after="100" w:afterAutospacing="1"/>
        <w:rPr>
          <w:rFonts w:cs="Arial"/>
        </w:rPr>
      </w:pPr>
      <w:r>
        <w:rPr>
          <w:rFonts w:cs="Arial"/>
        </w:rPr>
        <w:t>To determine deductible levels</w:t>
      </w:r>
      <w:r w:rsidR="00097626">
        <w:rPr>
          <w:rFonts w:cs="Arial"/>
        </w:rPr>
        <w:t xml:space="preserve"> in smaller employers</w:t>
      </w:r>
      <w:r>
        <w:rPr>
          <w:rFonts w:cs="Arial"/>
        </w:rPr>
        <w:t xml:space="preserve"> (</w:t>
      </w:r>
      <w:r w:rsidR="00D41B24">
        <w:rPr>
          <w:rFonts w:cs="Arial"/>
        </w:rPr>
        <w:t>~</w:t>
      </w:r>
      <w:r>
        <w:rPr>
          <w:rFonts w:cs="Arial"/>
        </w:rPr>
        <w:t>100 or fewer employees)</w:t>
      </w:r>
      <w:r w:rsidR="00097626">
        <w:rPr>
          <w:rFonts w:cs="Arial"/>
        </w:rPr>
        <w:t>, we used a</w:t>
      </w:r>
      <w:r w:rsidR="00853E31">
        <w:rPr>
          <w:rFonts w:cs="Arial"/>
        </w:rPr>
        <w:t>n available</w:t>
      </w:r>
      <w:r w:rsidR="00097626">
        <w:rPr>
          <w:rFonts w:cs="Arial"/>
        </w:rPr>
        <w:t xml:space="preserve"> benefit variable </w:t>
      </w:r>
      <w:r w:rsidR="00853E31">
        <w:rPr>
          <w:rFonts w:cs="Arial"/>
        </w:rPr>
        <w:t xml:space="preserve">that </w:t>
      </w:r>
      <w:r w:rsidR="00863EE0">
        <w:rPr>
          <w:rFonts w:cs="Arial"/>
        </w:rPr>
        <w:t>specified exact in-network deductible amount</w:t>
      </w:r>
      <w:r w:rsidR="002C7AF9">
        <w:rPr>
          <w:rFonts w:cs="Arial"/>
        </w:rPr>
        <w:t>s</w:t>
      </w:r>
      <w:r w:rsidR="00863EE0">
        <w:rPr>
          <w:rFonts w:cs="Arial"/>
        </w:rPr>
        <w:t>. F</w:t>
      </w:r>
      <w:r>
        <w:rPr>
          <w:rFonts w:cs="Arial"/>
        </w:rPr>
        <w:t>or larger employers</w:t>
      </w:r>
      <w:r w:rsidR="00853E31">
        <w:rPr>
          <w:rFonts w:cs="Arial"/>
        </w:rPr>
        <w:t xml:space="preserve"> where such data were unavailable</w:t>
      </w:r>
      <w:r>
        <w:rPr>
          <w:rFonts w:cs="Arial"/>
        </w:rPr>
        <w:t xml:space="preserve">, we </w:t>
      </w:r>
      <w:r w:rsidR="00853E31">
        <w:rPr>
          <w:rFonts w:cs="Arial"/>
        </w:rPr>
        <w:t xml:space="preserve">based our imputation on </w:t>
      </w:r>
      <w:r w:rsidR="00863EE0">
        <w:rPr>
          <w:rFonts w:cs="Arial"/>
        </w:rPr>
        <w:t xml:space="preserve">total in-network </w:t>
      </w:r>
      <w:r w:rsidR="00375563">
        <w:rPr>
          <w:rFonts w:cs="Arial"/>
        </w:rPr>
        <w:t xml:space="preserve">individual </w:t>
      </w:r>
      <w:r w:rsidR="00863EE0">
        <w:rPr>
          <w:rFonts w:cs="Arial"/>
        </w:rPr>
        <w:t xml:space="preserve">deductible amounts paid </w:t>
      </w:r>
      <w:r w:rsidR="00853E31">
        <w:rPr>
          <w:rFonts w:cs="Arial"/>
        </w:rPr>
        <w:t xml:space="preserve">by </w:t>
      </w:r>
      <w:r w:rsidR="00F66DDA">
        <w:rPr>
          <w:rFonts w:cs="Arial"/>
        </w:rPr>
        <w:t>member</w:t>
      </w:r>
      <w:r>
        <w:rPr>
          <w:rFonts w:cs="Arial"/>
        </w:rPr>
        <w:t>s who utilize</w:t>
      </w:r>
      <w:r w:rsidR="00097626">
        <w:rPr>
          <w:rFonts w:cs="Arial"/>
        </w:rPr>
        <w:t>d</w:t>
      </w:r>
      <w:r>
        <w:rPr>
          <w:rFonts w:cs="Arial"/>
        </w:rPr>
        <w:t xml:space="preserve"> health services. For </w:t>
      </w:r>
      <w:r w:rsidR="00F66DDA">
        <w:rPr>
          <w:rFonts w:cs="Arial"/>
        </w:rPr>
        <w:t xml:space="preserve">members </w:t>
      </w:r>
      <w:r>
        <w:rPr>
          <w:rFonts w:cs="Arial"/>
        </w:rPr>
        <w:t xml:space="preserve">who </w:t>
      </w:r>
      <w:r w:rsidR="00863EE0">
        <w:rPr>
          <w:rFonts w:cs="Arial"/>
        </w:rPr>
        <w:t xml:space="preserve">meet their annual deductible, </w:t>
      </w:r>
      <w:r>
        <w:rPr>
          <w:rFonts w:cs="Arial"/>
        </w:rPr>
        <w:t xml:space="preserve">yearly deductible payments add to </w:t>
      </w:r>
      <w:r w:rsidR="00097626">
        <w:rPr>
          <w:rFonts w:cs="Arial"/>
        </w:rPr>
        <w:t xml:space="preserve">an exact </w:t>
      </w:r>
      <w:r>
        <w:rPr>
          <w:rFonts w:cs="Arial"/>
        </w:rPr>
        <w:t xml:space="preserve">amount </w:t>
      </w:r>
      <w:r w:rsidR="00097626">
        <w:rPr>
          <w:rFonts w:cs="Arial"/>
        </w:rPr>
        <w:t xml:space="preserve">(e.g., </w:t>
      </w:r>
      <w:r>
        <w:rPr>
          <w:rFonts w:cs="Arial"/>
        </w:rPr>
        <w:t>$500.00, $1000.00, $2000.00, etc.</w:t>
      </w:r>
      <w:r w:rsidR="00097626">
        <w:rPr>
          <w:rFonts w:cs="Arial"/>
        </w:rPr>
        <w:t>).</w:t>
      </w:r>
      <w:r>
        <w:rPr>
          <w:rFonts w:cs="Arial"/>
        </w:rPr>
        <w:t xml:space="preserve"> </w:t>
      </w:r>
      <w:r w:rsidR="00375563">
        <w:rPr>
          <w:rFonts w:cs="Arial"/>
        </w:rPr>
        <w:t>Having s</w:t>
      </w:r>
      <w:r>
        <w:rPr>
          <w:rFonts w:cs="Arial"/>
        </w:rPr>
        <w:t xml:space="preserve">everal members </w:t>
      </w:r>
      <w:r w:rsidR="00853E31">
        <w:rPr>
          <w:rFonts w:cs="Arial"/>
        </w:rPr>
        <w:t xml:space="preserve">with </w:t>
      </w:r>
      <w:r>
        <w:rPr>
          <w:rFonts w:cs="Arial"/>
        </w:rPr>
        <w:t xml:space="preserve">the same </w:t>
      </w:r>
      <w:r w:rsidR="00853E31">
        <w:rPr>
          <w:rFonts w:cs="Arial"/>
        </w:rPr>
        <w:t xml:space="preserve">exact </w:t>
      </w:r>
      <w:r>
        <w:rPr>
          <w:rFonts w:cs="Arial"/>
        </w:rPr>
        <w:t>amount</w:t>
      </w:r>
      <w:r w:rsidR="00097626">
        <w:rPr>
          <w:rFonts w:cs="Arial"/>
        </w:rPr>
        <w:t xml:space="preserve"> provide</w:t>
      </w:r>
      <w:r w:rsidR="00375563">
        <w:rPr>
          <w:rFonts w:cs="Arial"/>
        </w:rPr>
        <w:t>s</w:t>
      </w:r>
      <w:r w:rsidR="00097626">
        <w:rPr>
          <w:rFonts w:cs="Arial"/>
        </w:rPr>
        <w:t xml:space="preserve"> </w:t>
      </w:r>
      <w:r>
        <w:rPr>
          <w:rFonts w:cs="Arial"/>
        </w:rPr>
        <w:t>evidence that the employer offer</w:t>
      </w:r>
      <w:r w:rsidR="00863EE0">
        <w:rPr>
          <w:rFonts w:cs="Arial"/>
        </w:rPr>
        <w:t>ed</w:t>
      </w:r>
      <w:r>
        <w:rPr>
          <w:rFonts w:cs="Arial"/>
        </w:rPr>
        <w:t xml:space="preserve"> </w:t>
      </w:r>
      <w:r w:rsidR="00F66DDA">
        <w:rPr>
          <w:rFonts w:cs="Arial"/>
        </w:rPr>
        <w:t xml:space="preserve">that </w:t>
      </w:r>
      <w:r>
        <w:rPr>
          <w:rFonts w:cs="Arial"/>
        </w:rPr>
        <w:t>annual deductible level</w:t>
      </w:r>
      <w:r w:rsidR="00097626">
        <w:rPr>
          <w:rFonts w:cs="Arial"/>
        </w:rPr>
        <w:t xml:space="preserve">; </w:t>
      </w:r>
      <w:r>
        <w:rPr>
          <w:rFonts w:cs="Arial"/>
        </w:rPr>
        <w:t xml:space="preserve">when multiple </w:t>
      </w:r>
      <w:r w:rsidR="00097626">
        <w:rPr>
          <w:rFonts w:cs="Arial"/>
        </w:rPr>
        <w:t xml:space="preserve">members </w:t>
      </w:r>
      <w:r>
        <w:rPr>
          <w:rFonts w:cs="Arial"/>
        </w:rPr>
        <w:t xml:space="preserve">have </w:t>
      </w:r>
      <w:r w:rsidR="00863EE0">
        <w:rPr>
          <w:rFonts w:cs="Arial"/>
        </w:rPr>
        <w:t xml:space="preserve">exact </w:t>
      </w:r>
      <w:r>
        <w:rPr>
          <w:rFonts w:cs="Arial"/>
        </w:rPr>
        <w:t>deductibles at two or more levels</w:t>
      </w:r>
      <w:r w:rsidR="00097626">
        <w:rPr>
          <w:rFonts w:cs="Arial"/>
        </w:rPr>
        <w:t>, there is evidence that the employer offer</w:t>
      </w:r>
      <w:r w:rsidR="00F66DDA">
        <w:rPr>
          <w:rFonts w:cs="Arial"/>
        </w:rPr>
        <w:t>ed</w:t>
      </w:r>
      <w:r w:rsidR="00097626">
        <w:rPr>
          <w:rFonts w:cs="Arial"/>
        </w:rPr>
        <w:t xml:space="preserve"> multiple deductible plan options</w:t>
      </w:r>
      <w:r>
        <w:rPr>
          <w:rFonts w:cs="Arial"/>
        </w:rPr>
        <w:t xml:space="preserve">. </w:t>
      </w:r>
    </w:p>
    <w:p w14:paraId="36DF09E9" w14:textId="03B6168E" w:rsidR="00E66A49" w:rsidRDefault="00E66A49" w:rsidP="0063243A">
      <w:pPr>
        <w:spacing w:before="100" w:beforeAutospacing="1" w:after="100" w:afterAutospacing="1"/>
        <w:rPr>
          <w:rFonts w:cs="Arial"/>
        </w:rPr>
      </w:pPr>
      <w:r>
        <w:rPr>
          <w:rFonts w:cs="Arial"/>
        </w:rPr>
        <w:t xml:space="preserve">For employer accounts with 10 </w:t>
      </w:r>
      <w:r w:rsidR="00097626">
        <w:rPr>
          <w:rFonts w:cs="Arial"/>
        </w:rPr>
        <w:t xml:space="preserve">or more </w:t>
      </w:r>
      <w:r w:rsidR="00F66DDA">
        <w:rPr>
          <w:rFonts w:cs="Arial"/>
        </w:rPr>
        <w:t>members</w:t>
      </w:r>
      <w:r>
        <w:rPr>
          <w:rFonts w:cs="Arial"/>
        </w:rPr>
        <w:t xml:space="preserve">, we summed each </w:t>
      </w:r>
      <w:r w:rsidR="00097626">
        <w:rPr>
          <w:rFonts w:cs="Arial"/>
        </w:rPr>
        <w:t>member</w:t>
      </w:r>
      <w:r>
        <w:rPr>
          <w:rFonts w:cs="Arial"/>
        </w:rPr>
        <w:t xml:space="preserve">’s in-network individual deductible payments over the </w:t>
      </w:r>
      <w:r w:rsidR="00375563">
        <w:rPr>
          <w:rFonts w:cs="Arial"/>
        </w:rPr>
        <w:t xml:space="preserve">benefit </w:t>
      </w:r>
      <w:r>
        <w:rPr>
          <w:rFonts w:cs="Arial"/>
        </w:rPr>
        <w:t>year</w:t>
      </w:r>
      <w:r w:rsidR="00097626">
        <w:rPr>
          <w:rFonts w:cs="Arial"/>
        </w:rPr>
        <w:t xml:space="preserve">. Then, using a random half of our available </w:t>
      </w:r>
      <w:r>
        <w:rPr>
          <w:rFonts w:cs="Arial"/>
        </w:rPr>
        <w:t>employer account data</w:t>
      </w:r>
      <w:r w:rsidR="00097626">
        <w:rPr>
          <w:rFonts w:cs="Arial"/>
        </w:rPr>
        <w:t>,</w:t>
      </w:r>
      <w:r>
        <w:rPr>
          <w:rFonts w:cs="Arial"/>
        </w:rPr>
        <w:t xml:space="preserve"> </w:t>
      </w:r>
      <w:r w:rsidR="00097626">
        <w:rPr>
          <w:rFonts w:cs="Arial"/>
        </w:rPr>
        <w:t>w</w:t>
      </w:r>
      <w:r>
        <w:rPr>
          <w:rFonts w:cs="Arial"/>
        </w:rPr>
        <w:t xml:space="preserve">e used a multinomial logistic model </w:t>
      </w:r>
      <w:r w:rsidR="00097626">
        <w:rPr>
          <w:rFonts w:cs="Arial"/>
        </w:rPr>
        <w:t xml:space="preserve">to </w:t>
      </w:r>
      <w:r>
        <w:rPr>
          <w:rFonts w:cs="Arial"/>
        </w:rPr>
        <w:t>predict</w:t>
      </w:r>
      <w:r w:rsidR="00097626">
        <w:rPr>
          <w:rFonts w:cs="Arial"/>
        </w:rPr>
        <w:t xml:space="preserve"> </w:t>
      </w:r>
      <w:r w:rsidR="00F66DDA">
        <w:rPr>
          <w:rFonts w:cs="Arial"/>
        </w:rPr>
        <w:t xml:space="preserve">whether the employers offered </w:t>
      </w:r>
      <w:r>
        <w:rPr>
          <w:rFonts w:cs="Arial"/>
        </w:rPr>
        <w:t xml:space="preserve">individual-level deductible </w:t>
      </w:r>
      <w:r w:rsidR="00097626">
        <w:rPr>
          <w:rFonts w:cs="Arial"/>
        </w:rPr>
        <w:t>amounts at three levels (</w:t>
      </w:r>
      <w:r>
        <w:rPr>
          <w:rFonts w:cs="Arial"/>
        </w:rPr>
        <w:t>≤$500</w:t>
      </w:r>
      <w:r w:rsidR="00097626">
        <w:rPr>
          <w:rFonts w:cs="Arial"/>
        </w:rPr>
        <w:t xml:space="preserve"> </w:t>
      </w:r>
      <w:r>
        <w:rPr>
          <w:rFonts w:cs="Arial"/>
        </w:rPr>
        <w:t>/</w:t>
      </w:r>
      <w:r w:rsidR="00097626">
        <w:rPr>
          <w:rFonts w:cs="Arial"/>
        </w:rPr>
        <w:t xml:space="preserve"> </w:t>
      </w:r>
      <w:r>
        <w:rPr>
          <w:rFonts w:cs="Arial"/>
        </w:rPr>
        <w:t>$500-$999</w:t>
      </w:r>
      <w:r w:rsidR="00097626">
        <w:rPr>
          <w:rFonts w:cs="Arial"/>
        </w:rPr>
        <w:t xml:space="preserve"> </w:t>
      </w:r>
      <w:r>
        <w:rPr>
          <w:rFonts w:cs="Arial"/>
        </w:rPr>
        <w:t>/</w:t>
      </w:r>
      <w:r w:rsidR="00097626">
        <w:rPr>
          <w:rFonts w:cs="Arial"/>
        </w:rPr>
        <w:t xml:space="preserve"> </w:t>
      </w:r>
      <w:r>
        <w:rPr>
          <w:rFonts w:cs="Arial"/>
        </w:rPr>
        <w:t>≥$1000</w:t>
      </w:r>
      <w:r w:rsidR="00097626">
        <w:rPr>
          <w:rFonts w:cs="Arial"/>
        </w:rPr>
        <w:t>).</w:t>
      </w:r>
      <w:r>
        <w:rPr>
          <w:rFonts w:cs="Arial"/>
        </w:rPr>
        <w:t xml:space="preserve"> </w:t>
      </w:r>
      <w:r w:rsidR="00097626">
        <w:rPr>
          <w:rFonts w:cs="Arial"/>
        </w:rPr>
        <w:t xml:space="preserve">Predictors included multiple </w:t>
      </w:r>
      <w:r>
        <w:rPr>
          <w:rFonts w:cs="Arial"/>
        </w:rPr>
        <w:t xml:space="preserve">employer characteristics </w:t>
      </w:r>
      <w:r w:rsidR="00097626">
        <w:rPr>
          <w:rFonts w:cs="Arial"/>
        </w:rPr>
        <w:t>(</w:t>
      </w:r>
      <w:r w:rsidR="00F66DDA">
        <w:rPr>
          <w:rFonts w:cs="Arial"/>
        </w:rPr>
        <w:t xml:space="preserve">median yearly deductible amount, </w:t>
      </w:r>
      <w:r>
        <w:rPr>
          <w:rFonts w:cs="Arial"/>
        </w:rPr>
        <w:t xml:space="preserve">common whole number deductible values, </w:t>
      </w:r>
      <w:r w:rsidR="00097626">
        <w:rPr>
          <w:rFonts w:cs="Arial"/>
        </w:rPr>
        <w:t xml:space="preserve">% of employees with HSAs, % </w:t>
      </w:r>
      <w:r>
        <w:rPr>
          <w:rFonts w:cs="Arial"/>
        </w:rPr>
        <w:t xml:space="preserve">of </w:t>
      </w:r>
      <w:r w:rsidR="00F66DDA">
        <w:rPr>
          <w:rFonts w:cs="Arial"/>
        </w:rPr>
        <w:t>member</w:t>
      </w:r>
      <w:r w:rsidR="00097626">
        <w:rPr>
          <w:rFonts w:cs="Arial"/>
        </w:rPr>
        <w:t xml:space="preserve">s </w:t>
      </w:r>
      <w:r>
        <w:rPr>
          <w:rFonts w:cs="Arial"/>
        </w:rPr>
        <w:t xml:space="preserve">using services, employer account size, </w:t>
      </w:r>
      <w:r w:rsidR="00097626">
        <w:rPr>
          <w:rFonts w:cs="Arial"/>
        </w:rPr>
        <w:t xml:space="preserve">and </w:t>
      </w:r>
      <w:r>
        <w:rPr>
          <w:rFonts w:cs="Arial"/>
        </w:rPr>
        <w:t xml:space="preserve">the </w:t>
      </w:r>
      <w:r w:rsidR="00097626">
        <w:rPr>
          <w:rFonts w:cs="Arial"/>
        </w:rPr>
        <w:t xml:space="preserve">% </w:t>
      </w:r>
      <w:r>
        <w:rPr>
          <w:rFonts w:cs="Arial"/>
        </w:rPr>
        <w:t xml:space="preserve">of enrollees with </w:t>
      </w:r>
      <w:r w:rsidR="00097626">
        <w:rPr>
          <w:rFonts w:cs="Arial"/>
        </w:rPr>
        <w:t xml:space="preserve">yearly </w:t>
      </w:r>
      <w:r>
        <w:rPr>
          <w:rFonts w:cs="Arial"/>
        </w:rPr>
        <w:t>annual deductible amounts ≤$500</w:t>
      </w:r>
      <w:r w:rsidR="00097626">
        <w:rPr>
          <w:rFonts w:cs="Arial"/>
        </w:rPr>
        <w:t xml:space="preserve"> </w:t>
      </w:r>
      <w:r>
        <w:rPr>
          <w:rFonts w:cs="Arial"/>
        </w:rPr>
        <w:t>/ &gt;$500 to &lt;$1000</w:t>
      </w:r>
      <w:r w:rsidR="00097626">
        <w:rPr>
          <w:rFonts w:cs="Arial"/>
        </w:rPr>
        <w:t xml:space="preserve"> </w:t>
      </w:r>
      <w:r>
        <w:rPr>
          <w:rFonts w:cs="Arial"/>
        </w:rPr>
        <w:t xml:space="preserve">/ ≥$1000 </w:t>
      </w:r>
      <w:r w:rsidR="00F66DDA">
        <w:rPr>
          <w:rFonts w:cs="Arial"/>
        </w:rPr>
        <w:t>and above)</w:t>
      </w:r>
      <w:r>
        <w:rPr>
          <w:rFonts w:cs="Arial"/>
        </w:rPr>
        <w:t>.</w:t>
      </w:r>
      <w:r w:rsidR="00F66DDA">
        <w:rPr>
          <w:rFonts w:cs="Arial"/>
        </w:rPr>
        <w:t xml:space="preserve"> W</w:t>
      </w:r>
      <w:r>
        <w:rPr>
          <w:rFonts w:cs="Arial"/>
        </w:rPr>
        <w:t xml:space="preserve">e </w:t>
      </w:r>
      <w:r w:rsidR="00853E31">
        <w:rPr>
          <w:rFonts w:cs="Arial"/>
        </w:rPr>
        <w:t xml:space="preserve">first </w:t>
      </w:r>
      <w:r>
        <w:rPr>
          <w:rFonts w:cs="Arial"/>
        </w:rPr>
        <w:t xml:space="preserve">assigned the employer to the level that had the highest probability. If employers </w:t>
      </w:r>
      <w:r w:rsidR="00F66DDA">
        <w:rPr>
          <w:rFonts w:cs="Arial"/>
        </w:rPr>
        <w:t xml:space="preserve">had members </w:t>
      </w:r>
      <w:r>
        <w:rPr>
          <w:rFonts w:cs="Arial"/>
        </w:rPr>
        <w:t xml:space="preserve">with whole number deductible levels both above and below $500 (e.g. $250.00 and $1500.00), we </w:t>
      </w:r>
      <w:r w:rsidR="00853E31">
        <w:rPr>
          <w:rFonts w:cs="Arial"/>
        </w:rPr>
        <w:t xml:space="preserve">changed the </w:t>
      </w:r>
      <w:r>
        <w:rPr>
          <w:rFonts w:cs="Arial"/>
        </w:rPr>
        <w:t xml:space="preserve">employers' </w:t>
      </w:r>
      <w:r w:rsidR="00853E31">
        <w:rPr>
          <w:rFonts w:cs="Arial"/>
        </w:rPr>
        <w:lastRenderedPageBreak/>
        <w:t xml:space="preserve">assignment to </w:t>
      </w:r>
      <w:r>
        <w:rPr>
          <w:rFonts w:cs="Arial"/>
        </w:rPr>
        <w:t xml:space="preserve">"choice." </w:t>
      </w:r>
      <w:r w:rsidR="00B1596F">
        <w:rPr>
          <w:rFonts w:cs="Arial"/>
        </w:rPr>
        <w:t>We further differentiated high deductible plans</w:t>
      </w:r>
      <w:r w:rsidR="00244009">
        <w:rPr>
          <w:rFonts w:cs="Arial"/>
        </w:rPr>
        <w:t xml:space="preserve"> </w:t>
      </w:r>
      <w:r w:rsidR="00B1596F">
        <w:rPr>
          <w:rFonts w:cs="Arial"/>
        </w:rPr>
        <w:t xml:space="preserve">into those with deductibles $1000-$2499, </w:t>
      </w:r>
      <w:r w:rsidR="00C52877">
        <w:rPr>
          <w:rFonts w:cs="Arial"/>
          <w:bCs/>
          <w:lang w:bidi="en-US"/>
        </w:rPr>
        <w:t>≥</w:t>
      </w:r>
      <w:r w:rsidR="00244009">
        <w:rPr>
          <w:rFonts w:cs="Arial"/>
        </w:rPr>
        <w:t xml:space="preserve">$2500, or </w:t>
      </w:r>
      <w:r w:rsidR="00C52877">
        <w:rPr>
          <w:rFonts w:cs="Arial"/>
          <w:bCs/>
          <w:lang w:bidi="en-US"/>
        </w:rPr>
        <w:t>≥</w:t>
      </w:r>
      <w:r w:rsidR="00C52877">
        <w:rPr>
          <w:rFonts w:cs="Arial"/>
        </w:rPr>
        <w:t xml:space="preserve">$1000 </w:t>
      </w:r>
      <w:r w:rsidR="00244009">
        <w:rPr>
          <w:rFonts w:cs="Arial"/>
        </w:rPr>
        <w:t>level undetermined.</w:t>
      </w:r>
      <w:r w:rsidR="00B1596F">
        <w:rPr>
          <w:rFonts w:cs="Arial"/>
        </w:rPr>
        <w:t xml:space="preserve"> </w:t>
      </w:r>
      <w:r>
        <w:rPr>
          <w:rFonts w:cs="Arial"/>
        </w:rPr>
        <w:t xml:space="preserve">If </w:t>
      </w:r>
      <w:r w:rsidR="00F66DDA">
        <w:rPr>
          <w:rFonts w:cs="Arial"/>
        </w:rPr>
        <w:t xml:space="preserve">at least </w:t>
      </w:r>
      <w:r>
        <w:rPr>
          <w:rFonts w:cs="Arial"/>
        </w:rPr>
        <w:t xml:space="preserve">98% of employees had </w:t>
      </w:r>
      <w:r w:rsidR="00F66DDA">
        <w:rPr>
          <w:rFonts w:cs="Arial"/>
        </w:rPr>
        <w:t>H</w:t>
      </w:r>
      <w:r w:rsidR="00853E31">
        <w:rPr>
          <w:rFonts w:cs="Arial"/>
        </w:rPr>
        <w:t xml:space="preserve">ealth </w:t>
      </w:r>
      <w:r w:rsidR="00F66DDA">
        <w:rPr>
          <w:rFonts w:cs="Arial"/>
        </w:rPr>
        <w:t>S</w:t>
      </w:r>
      <w:r w:rsidR="00853E31">
        <w:rPr>
          <w:rFonts w:cs="Arial"/>
        </w:rPr>
        <w:t xml:space="preserve">avings </w:t>
      </w:r>
      <w:r w:rsidR="00F66DDA">
        <w:rPr>
          <w:rFonts w:cs="Arial"/>
        </w:rPr>
        <w:t>A</w:t>
      </w:r>
      <w:r w:rsidR="00853E31">
        <w:rPr>
          <w:rFonts w:cs="Arial"/>
        </w:rPr>
        <w:t>ccount</w:t>
      </w:r>
      <w:r w:rsidR="00F66DDA">
        <w:rPr>
          <w:rFonts w:cs="Arial"/>
        </w:rPr>
        <w:t xml:space="preserve">s </w:t>
      </w:r>
      <w:r>
        <w:rPr>
          <w:rFonts w:cs="Arial"/>
        </w:rPr>
        <w:t>or Health Reimbursement Arrangements, we assign</w:t>
      </w:r>
      <w:r w:rsidR="00F66DDA">
        <w:rPr>
          <w:rFonts w:cs="Arial"/>
        </w:rPr>
        <w:t>ed</w:t>
      </w:r>
      <w:r>
        <w:rPr>
          <w:rFonts w:cs="Arial"/>
        </w:rPr>
        <w:t xml:space="preserve"> the employer as a high-deductible employer. If</w:t>
      </w:r>
      <w:r w:rsidR="00F66DDA">
        <w:rPr>
          <w:rFonts w:cs="Arial"/>
        </w:rPr>
        <w:t xml:space="preserve"> no employee ever </w:t>
      </w:r>
      <w:r>
        <w:rPr>
          <w:rFonts w:cs="Arial"/>
        </w:rPr>
        <w:t>exceeded a $500 deductible, we assigned the account to low-deductible status. Finally, for any employer that had gold standard deductible level information in our benefits file, we overwrote any imputed deductible level.</w:t>
      </w:r>
    </w:p>
    <w:p w14:paraId="3008F547" w14:textId="19EC6885" w:rsidR="00E66A49" w:rsidRDefault="00E66A49" w:rsidP="00E66A49">
      <w:pPr>
        <w:rPr>
          <w:rFonts w:cs="Arial"/>
        </w:rPr>
      </w:pPr>
      <w:r>
        <w:rPr>
          <w:rFonts w:cs="Arial"/>
        </w:rPr>
        <w:t xml:space="preserve">To </w:t>
      </w:r>
      <w:r w:rsidR="008D778F">
        <w:rPr>
          <w:rFonts w:cs="Arial"/>
        </w:rPr>
        <w:t xml:space="preserve">validate </w:t>
      </w:r>
      <w:r>
        <w:rPr>
          <w:rFonts w:cs="Arial"/>
        </w:rPr>
        <w:t xml:space="preserve">our imputation algorithm, we took advantage of the fact that </w:t>
      </w:r>
      <w:r w:rsidR="00375563">
        <w:rPr>
          <w:rFonts w:cs="Arial"/>
        </w:rPr>
        <w:t xml:space="preserve">we have </w:t>
      </w:r>
      <w:r w:rsidR="008D778F">
        <w:rPr>
          <w:rFonts w:cs="Arial"/>
        </w:rPr>
        <w:t xml:space="preserve">exact deductible amounts for some </w:t>
      </w:r>
      <w:r>
        <w:rPr>
          <w:rFonts w:cs="Arial"/>
        </w:rPr>
        <w:t xml:space="preserve">larger employers. </w:t>
      </w:r>
      <w:r w:rsidR="008D778F">
        <w:rPr>
          <w:rFonts w:cs="Arial"/>
        </w:rPr>
        <w:t xml:space="preserve">Using </w:t>
      </w:r>
      <w:r w:rsidR="00853E31">
        <w:rPr>
          <w:rFonts w:cs="Arial"/>
        </w:rPr>
        <w:t xml:space="preserve">the other </w:t>
      </w:r>
      <w:r w:rsidR="008D778F">
        <w:rPr>
          <w:rFonts w:cs="Arial"/>
        </w:rPr>
        <w:t xml:space="preserve">half </w:t>
      </w:r>
      <w:r w:rsidR="00853E31">
        <w:rPr>
          <w:rFonts w:cs="Arial"/>
        </w:rPr>
        <w:t xml:space="preserve">of the split </w:t>
      </w:r>
      <w:r w:rsidR="008D778F">
        <w:rPr>
          <w:rFonts w:cs="Arial"/>
        </w:rPr>
        <w:t>sample, w</w:t>
      </w:r>
      <w:r>
        <w:rPr>
          <w:rFonts w:cs="Arial"/>
        </w:rPr>
        <w:t xml:space="preserve">e tested the sensitivity and specificity of </w:t>
      </w:r>
      <w:r w:rsidR="008D778F">
        <w:rPr>
          <w:rFonts w:cs="Arial"/>
        </w:rPr>
        <w:t xml:space="preserve">our </w:t>
      </w:r>
      <w:r>
        <w:rPr>
          <w:rFonts w:cs="Arial"/>
        </w:rPr>
        <w:t>imputation</w:t>
      </w:r>
      <w:r w:rsidR="008D778F">
        <w:rPr>
          <w:rFonts w:cs="Arial"/>
        </w:rPr>
        <w:t>.</w:t>
      </w:r>
      <w:r>
        <w:rPr>
          <w:rFonts w:cs="Arial"/>
        </w:rPr>
        <w:t xml:space="preserve"> </w:t>
      </w:r>
      <w:r w:rsidR="00375563">
        <w:rPr>
          <w:rFonts w:cs="Arial"/>
        </w:rPr>
        <w:t xml:space="preserve">For </w:t>
      </w:r>
      <w:r>
        <w:rPr>
          <w:rFonts w:cs="Arial"/>
        </w:rPr>
        <w:t>employers with 75-100 enrollees, we found sensitivity and specificity of 96%</w:t>
      </w:r>
      <w:r w:rsidR="0031241C">
        <w:rPr>
          <w:rFonts w:cs="Arial"/>
        </w:rPr>
        <w:t>;</w:t>
      </w:r>
      <w:r>
        <w:rPr>
          <w:rFonts w:cs="Arial"/>
        </w:rPr>
        <w:t xml:space="preserve"> </w:t>
      </w:r>
      <w:r w:rsidR="0031241C">
        <w:rPr>
          <w:rFonts w:cs="Arial"/>
        </w:rPr>
        <w:t>s</w:t>
      </w:r>
      <w:r>
        <w:rPr>
          <w:rFonts w:cs="Arial"/>
        </w:rPr>
        <w:t xml:space="preserve">ensitivity and specificity increased </w:t>
      </w:r>
      <w:r w:rsidR="0031241C">
        <w:rPr>
          <w:rFonts w:cs="Arial"/>
        </w:rPr>
        <w:t xml:space="preserve">with larger levels of </w:t>
      </w:r>
      <w:r>
        <w:rPr>
          <w:rFonts w:cs="Arial"/>
        </w:rPr>
        <w:t>employer size.</w:t>
      </w:r>
    </w:p>
    <w:p w14:paraId="5A2D7EB7" w14:textId="499BF823" w:rsidR="00C27F24" w:rsidRDefault="00C41753" w:rsidP="00C41753">
      <w:pPr>
        <w:pStyle w:val="Heading2"/>
      </w:pPr>
      <w:r>
        <w:t xml:space="preserve">SDC Section 2: </w:t>
      </w:r>
      <w:r w:rsidR="007928C1">
        <w:t>I</w:t>
      </w:r>
      <w:r w:rsidR="00C27F24">
        <w:t>mputation</w:t>
      </w:r>
      <w:r w:rsidR="007928C1">
        <w:t xml:space="preserve"> of Preventive Drug Lists</w:t>
      </w:r>
    </w:p>
    <w:p w14:paraId="37C8723C" w14:textId="68E7D637" w:rsidR="00D16AF8" w:rsidRDefault="00D16AF8" w:rsidP="00D16AF8">
      <w:r>
        <w:t xml:space="preserve">We </w:t>
      </w:r>
      <w:r w:rsidR="00662918">
        <w:t xml:space="preserve">do not have access to a </w:t>
      </w:r>
      <w:r>
        <w:t xml:space="preserve">variable indicating </w:t>
      </w:r>
      <w:r w:rsidR="00711A19">
        <w:t xml:space="preserve">which employers offered </w:t>
      </w:r>
      <w:r>
        <w:t xml:space="preserve">PDL </w:t>
      </w:r>
      <w:r w:rsidR="00662918">
        <w:t xml:space="preserve">coverage, so we used pharmacy claims to impute the presence of a PDL.  Larger employers are more likely to offer an extended pharmacy benefit </w:t>
      </w:r>
      <w:r w:rsidR="00750788">
        <w:t xml:space="preserve">that </w:t>
      </w:r>
      <w:r w:rsidR="00662918">
        <w:t>includes a PDL</w:t>
      </w:r>
      <w:r w:rsidR="00F776D6">
        <w:t>,</w:t>
      </w:r>
      <w:r w:rsidR="00662918">
        <w:t xml:space="preserve"> and they </w:t>
      </w:r>
      <w:r w:rsidR="00750788">
        <w:t xml:space="preserve">are </w:t>
      </w:r>
      <w:r w:rsidR="00662918">
        <w:t xml:space="preserve">also more likely to have enough pharmacy claims experience to impute the </w:t>
      </w:r>
      <w:r w:rsidR="00F776D6">
        <w:t xml:space="preserve">PDL </w:t>
      </w:r>
      <w:r w:rsidR="00662918">
        <w:t>benefit reliably.  We restricted inclusion in the study to employer</w:t>
      </w:r>
      <w:r w:rsidR="00DF5242">
        <w:t xml:space="preserve">s </w:t>
      </w:r>
      <w:r w:rsidR="00600436">
        <w:t xml:space="preserve">with at least </w:t>
      </w:r>
      <w:r w:rsidR="00F776D6">
        <w:t xml:space="preserve">100 members </w:t>
      </w:r>
      <w:r w:rsidR="00662918">
        <w:t xml:space="preserve">(employees and family members) </w:t>
      </w:r>
      <w:r w:rsidR="00F776D6">
        <w:t>per month</w:t>
      </w:r>
      <w:r w:rsidR="00DF5242">
        <w:t xml:space="preserve"> (n=78,702)</w:t>
      </w:r>
      <w:r w:rsidR="00600436">
        <w:t>; this study focuses on the subset of these accounts (n=5030) that are HSA-linked HDHPs in which all medicines would normally be included under the deductible</w:t>
      </w:r>
      <w:r w:rsidR="00662918">
        <w:t>.</w:t>
      </w:r>
      <w:r w:rsidR="00F776D6">
        <w:t xml:space="preserve">  We linked all contracts of any size for th</w:t>
      </w:r>
      <w:r w:rsidR="00DF5242">
        <w:t>e</w:t>
      </w:r>
      <w:r w:rsidR="00F776D6">
        <w:t>se employers</w:t>
      </w:r>
      <w:r w:rsidR="005C61AC">
        <w:t>,</w:t>
      </w:r>
      <w:r w:rsidR="00F776D6">
        <w:t xml:space="preserve"> and </w:t>
      </w:r>
      <w:r w:rsidR="00750788">
        <w:t xml:space="preserve">as part of the deductible imputation </w:t>
      </w:r>
      <w:r w:rsidR="00600436">
        <w:t xml:space="preserve">process </w:t>
      </w:r>
      <w:r w:rsidR="00750788">
        <w:t xml:space="preserve">(see above), we </w:t>
      </w:r>
      <w:r w:rsidR="00F776D6">
        <w:t xml:space="preserve">determined </w:t>
      </w:r>
      <w:r w:rsidR="00750788">
        <w:t xml:space="preserve">whether </w:t>
      </w:r>
      <w:r w:rsidR="00F776D6">
        <w:t xml:space="preserve">members had choice between </w:t>
      </w:r>
      <w:r w:rsidR="002C7AF9">
        <w:t xml:space="preserve">plans </w:t>
      </w:r>
      <w:r w:rsidR="00F776D6">
        <w:t xml:space="preserve">by examining </w:t>
      </w:r>
      <w:r w:rsidR="00750788">
        <w:t xml:space="preserve">the number of </w:t>
      </w:r>
      <w:r w:rsidR="005C61AC">
        <w:t xml:space="preserve">members </w:t>
      </w:r>
      <w:r w:rsidR="00F776D6">
        <w:t>transition</w:t>
      </w:r>
      <w:r w:rsidR="00EB2078">
        <w:t>ing</w:t>
      </w:r>
      <w:r w:rsidR="00F776D6">
        <w:t xml:space="preserve"> </w:t>
      </w:r>
      <w:r w:rsidR="00750788">
        <w:t>between contracts</w:t>
      </w:r>
      <w:r w:rsidR="00EB2078">
        <w:t>, especially</w:t>
      </w:r>
      <w:r w:rsidR="00750788">
        <w:t xml:space="preserve"> </w:t>
      </w:r>
      <w:r w:rsidR="00F776D6">
        <w:t>during</w:t>
      </w:r>
      <w:r w:rsidR="00EB2078">
        <w:t xml:space="preserve"> annual</w:t>
      </w:r>
      <w:r w:rsidR="00F776D6">
        <w:t xml:space="preserve"> open enrollment. </w:t>
      </w:r>
      <w:r w:rsidR="005C61AC">
        <w:t xml:space="preserve">In this study, </w:t>
      </w:r>
      <w:r w:rsidR="00DF5242">
        <w:t xml:space="preserve">we </w:t>
      </w:r>
      <w:r w:rsidR="005C61AC">
        <w:t xml:space="preserve">required that </w:t>
      </w:r>
      <w:r w:rsidR="00600436">
        <w:t xml:space="preserve">eligible </w:t>
      </w:r>
      <w:r w:rsidR="005C61AC">
        <w:t xml:space="preserve">members </w:t>
      </w:r>
      <w:r w:rsidR="002C7AF9">
        <w:t xml:space="preserve">in HSA-HDHP plans </w:t>
      </w:r>
      <w:r w:rsidR="005C61AC">
        <w:t xml:space="preserve">have no choice </w:t>
      </w:r>
      <w:r w:rsidR="002C7AF9">
        <w:t xml:space="preserve">between plans </w:t>
      </w:r>
      <w:r w:rsidR="005C61AC">
        <w:t>with and without a PDL.</w:t>
      </w:r>
    </w:p>
    <w:p w14:paraId="2DEA99EC" w14:textId="7AAB13C9" w:rsidR="00750788" w:rsidRDefault="00750788" w:rsidP="00750788">
      <w:r>
        <w:lastRenderedPageBreak/>
        <w:t xml:space="preserve">The national insurer represented in our data markets two </w:t>
      </w:r>
      <w:r w:rsidR="00EF61D9">
        <w:t xml:space="preserve">standard </w:t>
      </w:r>
      <w:r>
        <w:t xml:space="preserve">types of preventive drug lists (PDL): a core PDL and an expanded PDL.  This insurer’s core PDL contains medications in several therapeutic categories (i.e., for </w:t>
      </w:r>
      <w:r>
        <w:rPr>
          <w:rFonts w:cs="Arial"/>
          <w:color w:val="000000"/>
          <w:lang w:eastAsia="zh-CN"/>
        </w:rPr>
        <w:t xml:space="preserve">hypertension, high cholesterol, breast cancer prevention, blood clotting/platelet therapy, organ rejection, osteoporosis, prenatal vitamins) </w:t>
      </w:r>
      <w:r>
        <w:t>that employers can choose to offer members as a pharmacy benefit enhancement</w:t>
      </w:r>
      <w:r>
        <w:rPr>
          <w:rFonts w:cs="Arial"/>
          <w:color w:val="000000"/>
          <w:lang w:eastAsia="zh-CN"/>
        </w:rPr>
        <w:t xml:space="preserve">; </w:t>
      </w:r>
      <w:r>
        <w:t>the expanded PDL contains additional therapeutic categories (i.e., for diabetes, asthma, HIV/AIDS, multiple sclerosis, psychosis) that can be optionally added to the core list. Although the lists are standardized, employers have some discretion over the actual composition of the</w:t>
      </w:r>
      <w:r w:rsidR="002C7AF9">
        <w:t xml:space="preserve"> PDLs they offer</w:t>
      </w:r>
      <w:r>
        <w:t xml:space="preserve">.  The numbers of products listed by category on the insurer’s 2014 PDLs are shown in </w:t>
      </w:r>
      <w:r w:rsidR="007604B7">
        <w:t xml:space="preserve">SDC </w:t>
      </w:r>
      <w:r>
        <w:t xml:space="preserve">Table 1 and the names of the actual products listed are in </w:t>
      </w:r>
      <w:r w:rsidR="007604B7">
        <w:t>SDC</w:t>
      </w:r>
      <w:r>
        <w:t xml:space="preserve"> Table 2. For our imputation, we included all products (brand or generic) that were chemically equivalent to </w:t>
      </w:r>
      <w:r w:rsidR="005C61AC">
        <w:t xml:space="preserve">medications </w:t>
      </w:r>
      <w:r>
        <w:t xml:space="preserve">listed </w:t>
      </w:r>
      <w:r w:rsidR="005C61AC">
        <w:t xml:space="preserve">on </w:t>
      </w:r>
      <w:r>
        <w:t>the core or expanded PDL</w:t>
      </w:r>
      <w:r w:rsidR="005C61AC">
        <w:t xml:space="preserve"> using</w:t>
      </w:r>
      <w:r>
        <w:t xml:space="preserve"> </w:t>
      </w:r>
      <w:r w:rsidR="005C61AC">
        <w:t xml:space="preserve">equivalency </w:t>
      </w:r>
      <w:r>
        <w:t xml:space="preserve">data </w:t>
      </w:r>
      <w:bookmarkStart w:id="1" w:name="_Hlk8641879"/>
      <w:r w:rsidR="005C61AC">
        <w:t xml:space="preserve">from </w:t>
      </w:r>
      <w:r>
        <w:t xml:space="preserve">the </w:t>
      </w:r>
      <w:r>
        <w:rPr>
          <w:color w:val="000000"/>
          <w:shd w:val="clear" w:color="auto" w:fill="FFFFFF"/>
        </w:rPr>
        <w:t xml:space="preserve">First </w:t>
      </w:r>
      <w:proofErr w:type="spellStart"/>
      <w:r>
        <w:rPr>
          <w:color w:val="000000"/>
          <w:shd w:val="clear" w:color="auto" w:fill="FFFFFF"/>
        </w:rPr>
        <w:t>DataBank</w:t>
      </w:r>
      <w:proofErr w:type="spellEnd"/>
      <w:r>
        <w:rPr>
          <w:color w:val="000000"/>
          <w:shd w:val="clear" w:color="auto" w:fill="FFFFFF"/>
        </w:rPr>
        <w:t xml:space="preserve"> National Drug Data File </w:t>
      </w:r>
      <w:proofErr w:type="spellStart"/>
      <w:r>
        <w:rPr>
          <w:color w:val="000000"/>
          <w:shd w:val="clear" w:color="auto" w:fill="FFFFFF"/>
        </w:rPr>
        <w:t>Plus</w:t>
      </w:r>
      <w:r w:rsidRPr="00750788">
        <w:rPr>
          <w:color w:val="000000"/>
          <w:shd w:val="clear" w:color="auto" w:fill="FFFFFF"/>
          <w:vertAlign w:val="superscript"/>
        </w:rPr>
        <w:t>TM</w:t>
      </w:r>
      <w:proofErr w:type="spellEnd"/>
      <w:r>
        <w:rPr>
          <w:color w:val="000000"/>
          <w:shd w:val="clear" w:color="auto" w:fill="FFFFFF"/>
        </w:rPr>
        <w:t xml:space="preserve"> (First </w:t>
      </w:r>
      <w:proofErr w:type="spellStart"/>
      <w:r>
        <w:rPr>
          <w:color w:val="000000"/>
          <w:shd w:val="clear" w:color="auto" w:fill="FFFFFF"/>
        </w:rPr>
        <w:t>DataBank</w:t>
      </w:r>
      <w:proofErr w:type="spellEnd"/>
      <w:r>
        <w:rPr>
          <w:color w:val="000000"/>
          <w:shd w:val="clear" w:color="auto" w:fill="FFFFFF"/>
        </w:rPr>
        <w:t>, Inc., San Bruno, CA)</w:t>
      </w:r>
      <w:bookmarkEnd w:id="1"/>
      <w:r>
        <w:t>.</w:t>
      </w:r>
      <w:r w:rsidR="005C61AC">
        <w:t xml:space="preserve">  We had acces</w:t>
      </w:r>
      <w:r w:rsidR="00EF61D9">
        <w:t>s</w:t>
      </w:r>
      <w:r w:rsidR="005C61AC">
        <w:t xml:space="preserve"> to </w:t>
      </w:r>
      <w:r w:rsidR="002C7AF9">
        <w:t xml:space="preserve">the insurer’s </w:t>
      </w:r>
      <w:r w:rsidR="005C61AC">
        <w:t xml:space="preserve">annual </w:t>
      </w:r>
      <w:r w:rsidR="00EF61D9">
        <w:t xml:space="preserve">core and expanded </w:t>
      </w:r>
      <w:r w:rsidR="005C61AC">
        <w:t xml:space="preserve">PDL lists for the years 2008-2014 and varied the </w:t>
      </w:r>
      <w:r w:rsidR="00EF61D9">
        <w:t xml:space="preserve">products included </w:t>
      </w:r>
      <w:r w:rsidR="005C61AC">
        <w:t xml:space="preserve">accordingly; </w:t>
      </w:r>
      <w:r w:rsidR="00EF61D9">
        <w:t>we used the 2008 list for earlier years.</w:t>
      </w:r>
    </w:p>
    <w:p w14:paraId="0DB6DF8C" w14:textId="49A2AD25" w:rsidR="00EF61D9" w:rsidRDefault="00EF61D9" w:rsidP="00750788">
      <w:r>
        <w:t xml:space="preserve">Employers </w:t>
      </w:r>
      <w:r w:rsidR="00DB6187">
        <w:t xml:space="preserve">offering </w:t>
      </w:r>
      <w:r>
        <w:t xml:space="preserve">HSA-HDHPs </w:t>
      </w:r>
      <w:r w:rsidR="00DB6187">
        <w:t xml:space="preserve">linked to </w:t>
      </w:r>
      <w:r>
        <w:t>PDL</w:t>
      </w:r>
      <w:r w:rsidR="00DB6187">
        <w:t>s</w:t>
      </w:r>
      <w:r>
        <w:t xml:space="preserve"> can choose different </w:t>
      </w:r>
      <w:r w:rsidR="00DB6187">
        <w:t xml:space="preserve">copayment </w:t>
      </w:r>
      <w:r>
        <w:t>arrangements for covered products</w:t>
      </w:r>
      <w:r w:rsidR="00DB6187">
        <w:t>.</w:t>
      </w:r>
      <w:r>
        <w:t xml:space="preserve"> </w:t>
      </w:r>
      <w:r w:rsidR="002C7AF9">
        <w:t xml:space="preserve">One </w:t>
      </w:r>
      <w:r>
        <w:t xml:space="preserve">common element </w:t>
      </w:r>
      <w:r w:rsidR="00DB6187">
        <w:t xml:space="preserve">is that the covered medications </w:t>
      </w:r>
      <w:r>
        <w:t>are exempt from deductibles</w:t>
      </w:r>
      <w:r w:rsidR="00DB6187">
        <w:t xml:space="preserve"> throughout the benefit year</w:t>
      </w:r>
      <w:r>
        <w:t xml:space="preserve">, although </w:t>
      </w:r>
      <w:r w:rsidR="00DB6187">
        <w:t xml:space="preserve">they may be </w:t>
      </w:r>
      <w:r>
        <w:t>subject to copays</w:t>
      </w:r>
      <w:r w:rsidR="00DB6187">
        <w:t xml:space="preserve"> either before or after the </w:t>
      </w:r>
      <w:r>
        <w:t>annual deductible obligation</w:t>
      </w:r>
      <w:r w:rsidR="00DB6187">
        <w:t xml:space="preserve"> is met.  Since the percentage of members satisfying annual deductibles increases during the benefit year, it is harder later in the benefit year to determine whether no deductible payment </w:t>
      </w:r>
      <w:r w:rsidR="002C7AF9">
        <w:t xml:space="preserve">on a claim </w:t>
      </w:r>
      <w:r w:rsidR="00DB6187">
        <w:t xml:space="preserve">means that the drug is covered under a PDL or that the annual deductible obligation has been met.  We thus used only the first 6 months of the benefit year to </w:t>
      </w:r>
      <w:r w:rsidR="00286829">
        <w:t xml:space="preserve">separately </w:t>
      </w:r>
      <w:r w:rsidR="00DB6187">
        <w:t xml:space="preserve">impute the presence of a core or an expanded PDL.  To be counted as a </w:t>
      </w:r>
      <w:r w:rsidR="00DB6187" w:rsidRPr="005D23B1">
        <w:rPr>
          <w:i/>
        </w:rPr>
        <w:t>possible PDL month</w:t>
      </w:r>
      <w:r w:rsidR="00DB6187">
        <w:t xml:space="preserve">, we required that ≤10% of fills in the month for the products </w:t>
      </w:r>
      <w:r w:rsidR="00286829">
        <w:t xml:space="preserve">on the list </w:t>
      </w:r>
      <w:r w:rsidR="00DB6187">
        <w:t xml:space="preserve">in question be charged a deductible </w:t>
      </w:r>
      <w:r w:rsidR="00286829">
        <w:t xml:space="preserve">and that </w:t>
      </w:r>
      <w:r w:rsidR="00DB6187">
        <w:t xml:space="preserve">&gt;10% of </w:t>
      </w:r>
      <w:r w:rsidR="002C7AF9">
        <w:t xml:space="preserve">claims for </w:t>
      </w:r>
      <w:r w:rsidR="00DB6187">
        <w:t xml:space="preserve">unlisted </w:t>
      </w:r>
      <w:r w:rsidR="00DB6187">
        <w:lastRenderedPageBreak/>
        <w:t>products have a deductible charge.</w:t>
      </w:r>
      <w:r w:rsidR="00286829">
        <w:t xml:space="preserve">  To be counted as a </w:t>
      </w:r>
      <w:r w:rsidR="00286829" w:rsidRPr="005D23B1">
        <w:rPr>
          <w:i/>
        </w:rPr>
        <w:t>PDL year</w:t>
      </w:r>
      <w:r w:rsidR="00286829">
        <w:t xml:space="preserve">, at least 5 of the first 6 months in the benefit year (or 4/5 if one month had no pharmacy claims) had to meet the monthly rule, </w:t>
      </w:r>
      <w:r w:rsidR="008F0374">
        <w:t>the benefit year</w:t>
      </w:r>
      <w:r w:rsidR="00C36139">
        <w:t xml:space="preserve"> had to</w:t>
      </w:r>
      <w:r w:rsidR="008F0374">
        <w:t xml:space="preserve"> contain a full 12 months, </w:t>
      </w:r>
      <w:r w:rsidR="00286829">
        <w:t xml:space="preserve">and &lt;10% of </w:t>
      </w:r>
      <w:r w:rsidR="002C7AF9">
        <w:t xml:space="preserve">total </w:t>
      </w:r>
      <w:r w:rsidR="005D23B1">
        <w:t xml:space="preserve">pharmacy </w:t>
      </w:r>
      <w:r w:rsidR="00286829">
        <w:t xml:space="preserve">claims for </w:t>
      </w:r>
      <w:r w:rsidR="008F0374">
        <w:t xml:space="preserve">PDL </w:t>
      </w:r>
      <w:r w:rsidR="00286829">
        <w:t xml:space="preserve">listed products during the entire </w:t>
      </w:r>
      <w:r w:rsidR="005D23B1">
        <w:t xml:space="preserve">benefit </w:t>
      </w:r>
      <w:r w:rsidR="00286829">
        <w:t xml:space="preserve">year </w:t>
      </w:r>
      <w:r w:rsidR="002C7AF9">
        <w:t>had</w:t>
      </w:r>
      <w:r w:rsidR="00C36139">
        <w:t xml:space="preserve"> to have</w:t>
      </w:r>
      <w:r w:rsidR="002C7AF9">
        <w:t xml:space="preserve"> </w:t>
      </w:r>
      <w:r w:rsidR="00286829">
        <w:t>a deductible charge.</w:t>
      </w:r>
      <w:r w:rsidR="00BB4923">
        <w:t xml:space="preserve">  Benefit years with a full 12 months of coverage in which deductibles were charged for </w:t>
      </w:r>
      <w:r w:rsidR="00F806A9">
        <w:t xml:space="preserve">&gt;10% of </w:t>
      </w:r>
      <w:r w:rsidR="00BB4923">
        <w:t>listed medications were identified as non-PDL years.</w:t>
      </w:r>
    </w:p>
    <w:p w14:paraId="4D2CB6A5" w14:textId="69F367EA" w:rsidR="008F0374" w:rsidRDefault="008F0374" w:rsidP="00750788">
      <w:r>
        <w:t>We used the imputed annual PDL</w:t>
      </w:r>
      <w:r w:rsidR="00BB4923">
        <w:t>/non-PDL</w:t>
      </w:r>
      <w:r>
        <w:t xml:space="preserve"> status to identify situations in which an employer had fully replaced </w:t>
      </w:r>
      <w:r w:rsidR="00BB4923">
        <w:t xml:space="preserve">a full year of coverage in </w:t>
      </w:r>
      <w:r>
        <w:t xml:space="preserve">an HSA-HDHP plan without a PDL with </w:t>
      </w:r>
      <w:r w:rsidR="00BB4923">
        <w:t xml:space="preserve">a full year of coverage in an HSA-HDHP plan with </w:t>
      </w:r>
      <w:r>
        <w:t xml:space="preserve">expanded PDL coverage (i.e., exempting diabetes </w:t>
      </w:r>
      <w:r w:rsidR="00BB4923">
        <w:t>medication</w:t>
      </w:r>
      <w:r>
        <w:t xml:space="preserve"> from deductible</w:t>
      </w:r>
      <w:r w:rsidR="00BB4923">
        <w:t>s</w:t>
      </w:r>
      <w:r>
        <w:t>)</w:t>
      </w:r>
      <w:r w:rsidR="00BB4923">
        <w:t xml:space="preserve">; the </w:t>
      </w:r>
      <w:r w:rsidR="004337FD">
        <w:t xml:space="preserve">first day of the </w:t>
      </w:r>
      <w:r w:rsidR="00BB4923">
        <w:t xml:space="preserve">month of the </w:t>
      </w:r>
      <w:r w:rsidR="004337FD">
        <w:t xml:space="preserve">coverage </w:t>
      </w:r>
      <w:r w:rsidR="00BB4923">
        <w:t xml:space="preserve">switch was defined as the index </w:t>
      </w:r>
      <w:r w:rsidR="004337FD">
        <w:t>date</w:t>
      </w:r>
      <w:r>
        <w:t xml:space="preserve">.  Using a common industry definition, full replacement was defined as at least 85% of members in </w:t>
      </w:r>
      <w:r w:rsidR="00BB4923">
        <w:t xml:space="preserve">all </w:t>
      </w:r>
      <w:r>
        <w:t xml:space="preserve">contracts linked to </w:t>
      </w:r>
      <w:r w:rsidR="00BB4923">
        <w:t xml:space="preserve">an </w:t>
      </w:r>
      <w:r>
        <w:t xml:space="preserve">employer in the prior month being switched </w:t>
      </w:r>
      <w:r w:rsidR="00BB4923">
        <w:t xml:space="preserve">together </w:t>
      </w:r>
      <w:r>
        <w:t>to the new coverage. We also identified all situations in which employers had continued all employees in HSA-HDHP coverage without a PDL for a two-year period</w:t>
      </w:r>
      <w:r w:rsidR="00BB4923">
        <w:t xml:space="preserve">; if employers had more than one such two-year period, one was randomly selected to be included in the control pool, with the </w:t>
      </w:r>
      <w:r w:rsidR="004337FD">
        <w:t xml:space="preserve">first day of the </w:t>
      </w:r>
      <w:r w:rsidR="00BB4923">
        <w:t xml:space="preserve">second year of coverage defined as the index </w:t>
      </w:r>
      <w:r w:rsidR="004337FD">
        <w:t>date</w:t>
      </w:r>
      <w:r w:rsidR="00BB4923">
        <w:t>.</w:t>
      </w:r>
    </w:p>
    <w:p w14:paraId="25E89407" w14:textId="13520A8F" w:rsidR="005F3FE0" w:rsidRDefault="002C7AF9" w:rsidP="004337FD">
      <w:r>
        <w:t xml:space="preserve">We next identified all members with diabetes between ages 12 and 64 (see below for definition) insured </w:t>
      </w:r>
      <w:r w:rsidR="004337FD">
        <w:t xml:space="preserve">by the employers </w:t>
      </w:r>
      <w:r w:rsidR="002151C8">
        <w:t xml:space="preserve">included in the sample at </w:t>
      </w:r>
      <w:r w:rsidR="00BB4923">
        <w:t xml:space="preserve">the index </w:t>
      </w:r>
      <w:r w:rsidR="002151C8">
        <w:t xml:space="preserve">date who were </w:t>
      </w:r>
      <w:r w:rsidR="004337FD">
        <w:t>enrolled for 12 months before and after the index date</w:t>
      </w:r>
      <w:r w:rsidR="002151C8">
        <w:t>;</w:t>
      </w:r>
      <w:r w:rsidR="004337FD">
        <w:t xml:space="preserve"> we </w:t>
      </w:r>
      <w:r w:rsidR="008F0374">
        <w:t xml:space="preserve">linked the </w:t>
      </w:r>
      <w:r w:rsidR="00BB4923">
        <w:t xml:space="preserve">monthly </w:t>
      </w:r>
      <w:r w:rsidR="008F0374">
        <w:t xml:space="preserve">PDL status </w:t>
      </w:r>
      <w:r w:rsidR="00BB4923">
        <w:t>of their employer</w:t>
      </w:r>
      <w:r w:rsidR="004337FD">
        <w:t>s</w:t>
      </w:r>
      <w:r w:rsidR="00BB4923">
        <w:t xml:space="preserve"> in the 12</w:t>
      </w:r>
      <w:r w:rsidR="004337FD">
        <w:t xml:space="preserve"> </w:t>
      </w:r>
      <w:r w:rsidR="00BB4923">
        <w:t xml:space="preserve">baseline and 12 follow-up months.  Members </w:t>
      </w:r>
      <w:r w:rsidR="004337FD">
        <w:t xml:space="preserve">could </w:t>
      </w:r>
      <w:r w:rsidR="00BB4923">
        <w:t xml:space="preserve">switch </w:t>
      </w:r>
      <w:r w:rsidR="004337FD">
        <w:t>employers but</w:t>
      </w:r>
      <w:r w:rsidR="00BB4923">
        <w:t xml:space="preserve"> </w:t>
      </w:r>
      <w:r w:rsidR="004337FD">
        <w:t xml:space="preserve">had </w:t>
      </w:r>
      <w:r w:rsidR="00BB4923">
        <w:t>to remain in the correct type of HSA-HDHP-PDL coverage.</w:t>
      </w:r>
      <w:r w:rsidR="004337FD">
        <w:t xml:space="preserve">  </w:t>
      </w:r>
    </w:p>
    <w:p w14:paraId="66A391A1" w14:textId="188947E6" w:rsidR="0098410D" w:rsidRDefault="00C41753" w:rsidP="00C41753">
      <w:pPr>
        <w:pStyle w:val="Heading2"/>
        <w:rPr>
          <w:lang w:bidi="en-US"/>
        </w:rPr>
      </w:pPr>
      <w:r>
        <w:rPr>
          <w:lang w:bidi="en-US"/>
        </w:rPr>
        <w:t xml:space="preserve">SDC Section 3: </w:t>
      </w:r>
      <w:r w:rsidR="009D6C90">
        <w:rPr>
          <w:lang w:bidi="en-US"/>
        </w:rPr>
        <w:t>Identifying p</w:t>
      </w:r>
      <w:r w:rsidR="00977D23">
        <w:rPr>
          <w:lang w:bidi="en-US"/>
        </w:rPr>
        <w:t>atients with diabetes</w:t>
      </w:r>
    </w:p>
    <w:p w14:paraId="75E3CF58" w14:textId="06445688" w:rsidR="0024130D" w:rsidRPr="008054BE" w:rsidRDefault="00977D23" w:rsidP="0063243A">
      <w:pPr>
        <w:spacing w:before="100" w:beforeAutospacing="1" w:after="100" w:afterAutospacing="1"/>
        <w:rPr>
          <w:rFonts w:eastAsia="SimSun" w:cs="Arial"/>
        </w:rPr>
      </w:pPr>
      <w:r w:rsidRPr="004673C0">
        <w:rPr>
          <w:rFonts w:eastAsia="SimSun" w:cs="Arial"/>
        </w:rPr>
        <w:t xml:space="preserve">We identified </w:t>
      </w:r>
      <w:r w:rsidR="004337FD">
        <w:rPr>
          <w:rFonts w:eastAsia="SimSun" w:cs="Arial"/>
        </w:rPr>
        <w:t xml:space="preserve">all </w:t>
      </w:r>
      <w:r w:rsidRPr="004673C0">
        <w:rPr>
          <w:rFonts w:eastAsia="SimSun" w:cs="Arial"/>
        </w:rPr>
        <w:t>patients age 12 to 64</w:t>
      </w:r>
      <w:r w:rsidR="008054BE">
        <w:rPr>
          <w:rFonts w:eastAsia="SimSun" w:cs="Arial"/>
        </w:rPr>
        <w:t xml:space="preserve"> </w:t>
      </w:r>
      <w:r w:rsidR="004337FD">
        <w:rPr>
          <w:rFonts w:eastAsia="SimSun" w:cs="Arial"/>
        </w:rPr>
        <w:t xml:space="preserve">diagnosed with diabetes during </w:t>
      </w:r>
      <w:r w:rsidR="008054BE">
        <w:rPr>
          <w:rFonts w:eastAsia="SimSun" w:cs="Arial"/>
        </w:rPr>
        <w:t>the baseline period</w:t>
      </w:r>
      <w:r w:rsidR="004337FD">
        <w:rPr>
          <w:rFonts w:eastAsia="SimSun" w:cs="Arial"/>
        </w:rPr>
        <w:t xml:space="preserve">.  Patients with diabetes were those who had diagnosis codes indicating </w:t>
      </w:r>
      <w:r>
        <w:rPr>
          <w:rFonts w:eastAsia="SimSun" w:cs="Arial"/>
        </w:rPr>
        <w:t xml:space="preserve">diabetes </w:t>
      </w:r>
      <w:r w:rsidR="004337FD" w:rsidRPr="004673C0">
        <w:rPr>
          <w:rFonts w:eastAsia="SimSun" w:cs="Arial"/>
        </w:rPr>
        <w:t>(</w:t>
      </w:r>
      <w:r w:rsidR="007604B7">
        <w:rPr>
          <w:rFonts w:eastAsia="SimSun" w:cs="Arial"/>
        </w:rPr>
        <w:t>SDC</w:t>
      </w:r>
      <w:r w:rsidR="004337FD">
        <w:rPr>
          <w:rFonts w:eastAsia="SimSun" w:cs="Arial"/>
        </w:rPr>
        <w:t xml:space="preserve"> Table</w:t>
      </w:r>
      <w:r w:rsidR="004337FD" w:rsidRPr="004673C0">
        <w:rPr>
          <w:rFonts w:eastAsia="SimSun" w:cs="Arial"/>
        </w:rPr>
        <w:t xml:space="preserve"> </w:t>
      </w:r>
      <w:r w:rsidR="004337FD">
        <w:rPr>
          <w:rFonts w:eastAsia="SimSun" w:cs="Arial"/>
        </w:rPr>
        <w:t>3</w:t>
      </w:r>
      <w:r w:rsidR="004337FD" w:rsidRPr="004673C0">
        <w:rPr>
          <w:rFonts w:eastAsia="SimSun" w:cs="Arial"/>
        </w:rPr>
        <w:t>)</w:t>
      </w:r>
      <w:r w:rsidR="004337FD">
        <w:rPr>
          <w:rFonts w:eastAsia="SimSun" w:cs="Arial"/>
        </w:rPr>
        <w:t xml:space="preserve"> </w:t>
      </w:r>
      <w:r>
        <w:rPr>
          <w:rFonts w:eastAsia="SimSun" w:cs="Arial"/>
        </w:rPr>
        <w:lastRenderedPageBreak/>
        <w:t xml:space="preserve">in medical service </w:t>
      </w:r>
      <w:r w:rsidR="004337FD">
        <w:rPr>
          <w:rFonts w:eastAsia="SimSun" w:cs="Arial"/>
        </w:rPr>
        <w:t>claims (</w:t>
      </w:r>
      <w:r w:rsidRPr="004673C0">
        <w:rPr>
          <w:rFonts w:eastAsia="SimSun" w:cs="Arial"/>
        </w:rPr>
        <w:t xml:space="preserve">1 inpatient </w:t>
      </w:r>
      <w:r w:rsidR="004337FD">
        <w:rPr>
          <w:rFonts w:eastAsia="SimSun" w:cs="Arial"/>
        </w:rPr>
        <w:t xml:space="preserve">claim </w:t>
      </w:r>
      <w:r w:rsidRPr="004673C0">
        <w:rPr>
          <w:rFonts w:eastAsia="SimSun" w:cs="Arial"/>
        </w:rPr>
        <w:t xml:space="preserve">or 2 outpatient </w:t>
      </w:r>
      <w:r w:rsidR="004337FD">
        <w:rPr>
          <w:rFonts w:eastAsia="SimSun" w:cs="Arial"/>
          <w:iCs/>
        </w:rPr>
        <w:t xml:space="preserve">claims </w:t>
      </w:r>
      <w:r w:rsidR="002E056E">
        <w:rPr>
          <w:rFonts w:eastAsia="SimSun" w:cs="Arial"/>
        </w:rPr>
        <w:t>within one year</w:t>
      </w:r>
      <w:r w:rsidR="004337FD">
        <w:rPr>
          <w:rFonts w:eastAsia="SimSun" w:cs="Arial"/>
        </w:rPr>
        <w:t>)</w:t>
      </w:r>
      <w:r w:rsidRPr="004673C0">
        <w:rPr>
          <w:rFonts w:eastAsia="SimSun" w:cs="Arial"/>
        </w:rPr>
        <w:t xml:space="preserve">, or </w:t>
      </w:r>
      <w:r w:rsidR="004337FD">
        <w:rPr>
          <w:rFonts w:eastAsia="SimSun" w:cs="Arial"/>
        </w:rPr>
        <w:t xml:space="preserve">who had </w:t>
      </w:r>
      <w:r>
        <w:rPr>
          <w:rFonts w:eastAsia="SimSun" w:cs="Arial"/>
        </w:rPr>
        <w:t xml:space="preserve">pharmacy claims </w:t>
      </w:r>
      <w:r w:rsidR="004337FD">
        <w:rPr>
          <w:rFonts w:eastAsia="SimSun" w:cs="Arial"/>
        </w:rPr>
        <w:t xml:space="preserve">for </w:t>
      </w:r>
      <w:r w:rsidRPr="004673C0">
        <w:rPr>
          <w:rFonts w:eastAsia="SimSun" w:cs="Arial"/>
        </w:rPr>
        <w:t xml:space="preserve">insulin or </w:t>
      </w:r>
      <w:r w:rsidR="008054BE">
        <w:rPr>
          <w:rFonts w:eastAsia="SimSun" w:cs="Arial"/>
        </w:rPr>
        <w:t xml:space="preserve">an </w:t>
      </w:r>
      <w:r w:rsidRPr="004673C0">
        <w:rPr>
          <w:rFonts w:eastAsia="SimSun" w:cs="Arial"/>
        </w:rPr>
        <w:t>oral hypoglycemic medication other than metformin alone</w:t>
      </w:r>
      <w:r>
        <w:rPr>
          <w:rFonts w:eastAsia="SimSun" w:cs="Arial"/>
        </w:rPr>
        <w:t xml:space="preserve"> (excluded because it can also be used to treat prediabetes or </w:t>
      </w:r>
      <w:r>
        <w:rPr>
          <w:rFonts w:cs="Arial"/>
          <w:color w:val="222222"/>
          <w:shd w:val="clear" w:color="auto" w:fill="FFFFFF"/>
        </w:rPr>
        <w:t>polycystic ovary syndrome</w:t>
      </w:r>
      <w:r>
        <w:rPr>
          <w:rFonts w:eastAsia="SimSun" w:cs="Arial"/>
        </w:rPr>
        <w:t>).</w:t>
      </w:r>
      <w:r w:rsidRPr="004673C0">
        <w:rPr>
          <w:rFonts w:eastAsia="SimSun" w:cs="Arial"/>
        </w:rPr>
        <w:t xml:space="preserve"> </w:t>
      </w:r>
      <w:r w:rsidR="008054BE">
        <w:rPr>
          <w:rFonts w:eastAsia="SimSun" w:cs="Arial"/>
        </w:rPr>
        <w:t xml:space="preserve">The date of </w:t>
      </w:r>
      <w:r w:rsidR="00586F88">
        <w:rPr>
          <w:rFonts w:eastAsia="SimSun" w:cs="Arial"/>
        </w:rPr>
        <w:t xml:space="preserve">first </w:t>
      </w:r>
      <w:r w:rsidR="008054BE">
        <w:rPr>
          <w:rFonts w:eastAsia="SimSun" w:cs="Arial"/>
        </w:rPr>
        <w:t xml:space="preserve">diabetes </w:t>
      </w:r>
      <w:r w:rsidR="00586F88">
        <w:rPr>
          <w:rFonts w:eastAsia="SimSun" w:cs="Arial"/>
        </w:rPr>
        <w:t xml:space="preserve">diagnosis </w:t>
      </w:r>
      <w:r w:rsidR="004337FD">
        <w:rPr>
          <w:rFonts w:eastAsia="SimSun" w:cs="Arial"/>
        </w:rPr>
        <w:t xml:space="preserve">or diabetes medication dispensing </w:t>
      </w:r>
      <w:r w:rsidR="00586F88">
        <w:rPr>
          <w:rFonts w:eastAsia="SimSun" w:cs="Arial"/>
        </w:rPr>
        <w:t xml:space="preserve">was required to </w:t>
      </w:r>
      <w:r w:rsidR="008054BE">
        <w:rPr>
          <w:rFonts w:eastAsia="SimSun" w:cs="Arial"/>
        </w:rPr>
        <w:t>precede the index month.</w:t>
      </w:r>
    </w:p>
    <w:p w14:paraId="2712C95C" w14:textId="1939C974" w:rsidR="0084707F" w:rsidRPr="004673C0" w:rsidRDefault="00C41753" w:rsidP="00C41753">
      <w:pPr>
        <w:pStyle w:val="Heading2"/>
        <w:rPr>
          <w:lang w:bidi="en-US"/>
        </w:rPr>
      </w:pPr>
      <w:r>
        <w:t xml:space="preserve">SDC Section 4: </w:t>
      </w:r>
      <w:r w:rsidR="0084707F">
        <w:t xml:space="preserve">Propensity </w:t>
      </w:r>
      <w:r w:rsidR="00407511">
        <w:t>m</w:t>
      </w:r>
      <w:r w:rsidR="0084707F" w:rsidRPr="004673C0">
        <w:t xml:space="preserve">atching </w:t>
      </w:r>
    </w:p>
    <w:p w14:paraId="4EAA05D6" w14:textId="31E6E50E" w:rsidR="004A781C" w:rsidRDefault="00B27652" w:rsidP="007E6648">
      <w:r>
        <w:t>We used p</w:t>
      </w:r>
      <w:r w:rsidR="00B10CD1">
        <w:t xml:space="preserve">ropensity score matching </w:t>
      </w:r>
      <w:r w:rsidR="002662A4">
        <w:t xml:space="preserve">(PSM) </w:t>
      </w:r>
      <w:r>
        <w:t xml:space="preserve">to </w:t>
      </w:r>
      <w:r w:rsidR="00B10CD1">
        <w:t>generat</w:t>
      </w:r>
      <w:r>
        <w:t>e</w:t>
      </w:r>
      <w:r w:rsidR="00B10CD1">
        <w:t xml:space="preserve"> a control group </w:t>
      </w:r>
      <w:r w:rsidR="004A781C">
        <w:t xml:space="preserve">of diabetes patients </w:t>
      </w:r>
      <w:r w:rsidR="00B10CD1">
        <w:t xml:space="preserve">with a similar likelihood of being exposed to </w:t>
      </w:r>
      <w:r>
        <w:t xml:space="preserve">a PDL as </w:t>
      </w:r>
      <w:r w:rsidR="004A781C">
        <w:t xml:space="preserve">our </w:t>
      </w:r>
      <w:r w:rsidR="002662A4">
        <w:t xml:space="preserve">identified </w:t>
      </w:r>
      <w:r>
        <w:t xml:space="preserve">group of PDL switchers </w:t>
      </w:r>
      <w:r w:rsidR="00B10CD1">
        <w:t>based on measured characteristics</w:t>
      </w:r>
      <w:r w:rsidR="002662A4">
        <w:t>. PSM</w:t>
      </w:r>
      <w:r w:rsidR="003025EB">
        <w:t xml:space="preserve"> </w:t>
      </w:r>
      <w:r>
        <w:t xml:space="preserve">is a </w:t>
      </w:r>
      <w:r w:rsidR="003025EB">
        <w:t xml:space="preserve">commonly used </w:t>
      </w:r>
      <w:r>
        <w:t xml:space="preserve">approach to achieve </w:t>
      </w:r>
      <w:r w:rsidR="002662A4">
        <w:t xml:space="preserve">baseline </w:t>
      </w:r>
      <w:r>
        <w:t xml:space="preserve">sample balance </w:t>
      </w:r>
      <w:r w:rsidR="00B10CD1">
        <w:t xml:space="preserve">when individuals have not been randomly </w:t>
      </w:r>
      <w:r>
        <w:t xml:space="preserve">assigned to </w:t>
      </w:r>
      <w:r w:rsidR="00B10CD1">
        <w:t>study groups.</w:t>
      </w:r>
      <w:bookmarkStart w:id="2" w:name="_Hlk8646122"/>
      <w:r>
        <w:fldChar w:fldCharType="begin"/>
      </w:r>
      <w:r w:rsidR="007C6E15">
        <w:instrText xml:space="preserve"> ADDIN ZOTERO_ITEM CSL_CITATION {"citationID":"JsF2FPsV","properties":{"formattedCitation":"\\super 4,5\\nosupersub{}","plainCitation":"4,5","noteIndex":0},"citationItems":[{"id":12408,"uris":["http://zotero.org/users/22428/items/GEDMGLUT"],"uri":["http://zotero.org/users/22428/items/GEDMGLUT"],"itemData":{"id":12408,"type":"article-journal","title":"Propensity score methods for bias reduction in the comparison of a treatment to a non-randomized control group","container-title":"Statistics in Medicine","page":"2265-2281","volume":"17","issue":"19","source":"PubMed","abstract":"In observational studies, investigators have no control over the treatment assignment. The treated and non-treated (that is, control) groups may have large differences on their observed covariates, and these differences can lead to biased estimates of treatment effects. Even traditional covariance analysis adjustments may be inadequate to eliminate this bias. The propensity score, defined as the conditional probability of being treated given the covariates, can be used to balance the covariates in the two groups, and therefore reduce this bias. In order to estimate the propensity score, one must model the distribution of the treatment indicator variable given the observed covariates. Once estimated the propensity score can be used to reduce bias through matching, stratification (subclassification), regression adjustment, or some combination of all three. In this tutorial we discuss the uses of propensity score methods for bias reduction, give references to the literature and illustrate the uses through applied examples.","ISSN":"0277-6715","note":"PMID: 9802183","journalAbbreviation":"Stat Med","language":"eng","author":[{"family":"D'Agostino","given":"R. B."}],"issued":{"date-parts":[["1998",10,15]]}}},{"id":723,"uris":["http://zotero.org/users/22428/items/ZE7SZFAW"],"uri":["http://zotero.org/users/22428/items/ZE7SZFAW"],"itemData":{"id":723,"type":"article-journal","title":"An Introduction to Propensity Score Methods for Reducing the Effects of Confounding in Observational Studies","container-title":"Multivariate Behavioral Research","page":"399-424","volume":"46","issue":"3","source":"PubMed Central","abstract":"The propensity score is the probability of treatment assignment conditional on observed baseline characteristics. The propensity score allows one to design and analyze an observational (nonrandomized) study so that it mimics some of the particular characteristics of a randomized controlled trial. In particular, the propensity score is a balancing score: conditional on the propensity score, the distribution of observed baseline covariates will be similar between treated and untreated subjects. I describe 4 different propensity score methods: matching on the propensity score, stratification on the propensity score, inverse probability of treatment weighting using the propensity score, and covariate adjustment using the propensity score. I describe balance diagnostics for examining whether the propensity score model has been adequately specified. Furthermore, I discuss differences between regression-based methods and propensity score-based methods for the analysis of observational data. I describe different causal average treatment effects and their relationship with propensity score analyses.","DOI":"10.1080/00273171.2011.568786","ISSN":"0027-3171","note":"PMID: 21818162\nPMCID: PMC3144483","journalAbbreviation":"Multivariate Behav Res","author":[{"family":"Austin","given":"Peter C."}],"issued":{"date-parts":[["2011",5]]}}}],"schema":"https://github.com/citation-style-language/schema/raw/master/csl-citation.json"} </w:instrText>
      </w:r>
      <w:r>
        <w:fldChar w:fldCharType="separate"/>
      </w:r>
      <w:r w:rsidR="003025EB" w:rsidRPr="003025EB">
        <w:rPr>
          <w:rFonts w:cs="Arial"/>
          <w:szCs w:val="24"/>
          <w:vertAlign w:val="superscript"/>
        </w:rPr>
        <w:t>4,5</w:t>
      </w:r>
      <w:r>
        <w:fldChar w:fldCharType="end"/>
      </w:r>
      <w:bookmarkEnd w:id="2"/>
      <w:r w:rsidR="003025EB">
        <w:t xml:space="preserve"> </w:t>
      </w:r>
      <w:r w:rsidR="00B10CD1">
        <w:t xml:space="preserve"> </w:t>
      </w:r>
      <w:r w:rsidR="002662A4">
        <w:t xml:space="preserve">After identifying all periods in which employers remained in an HSA-HDHP for two consecutive </w:t>
      </w:r>
      <w:r w:rsidR="004A781C">
        <w:t xml:space="preserve">benefit </w:t>
      </w:r>
      <w:r w:rsidR="002662A4">
        <w:t>years</w:t>
      </w:r>
      <w:r w:rsidR="004A781C">
        <w:t xml:space="preserve"> (based on their contract anniversary date)</w:t>
      </w:r>
      <w:r w:rsidR="002662A4">
        <w:t xml:space="preserve">, we used our PDL imputation algorithm (above) to identify the </w:t>
      </w:r>
      <w:r w:rsidR="004A781C">
        <w:t xml:space="preserve">month (index month) of the </w:t>
      </w:r>
      <w:r w:rsidR="002662A4">
        <w:t xml:space="preserve">first </w:t>
      </w:r>
      <w:r w:rsidR="004A781C">
        <w:t xml:space="preserve">full replacement </w:t>
      </w:r>
      <w:r w:rsidR="002662A4">
        <w:t>switch from non-PDL to PDL status</w:t>
      </w:r>
      <w:r w:rsidR="004A781C">
        <w:t xml:space="preserve">.  We also identified </w:t>
      </w:r>
      <w:r w:rsidR="002662A4">
        <w:t xml:space="preserve">two-year periods in which </w:t>
      </w:r>
      <w:r w:rsidR="004A781C">
        <w:t xml:space="preserve">an </w:t>
      </w:r>
      <w:r w:rsidR="002662A4">
        <w:t>employer</w:t>
      </w:r>
      <w:r w:rsidR="004A781C">
        <w:t>’s workforce</w:t>
      </w:r>
      <w:r w:rsidR="002662A4">
        <w:t xml:space="preserve"> remained </w:t>
      </w:r>
      <w:r w:rsidR="004A781C">
        <w:t xml:space="preserve">entirely </w:t>
      </w:r>
      <w:r w:rsidR="002662A4">
        <w:t>in a non-PDL HS</w:t>
      </w:r>
      <w:r w:rsidR="003B602E">
        <w:t>A</w:t>
      </w:r>
      <w:r w:rsidR="002662A4">
        <w:t>-HDHP</w:t>
      </w:r>
      <w:r w:rsidR="00F806A9">
        <w:t xml:space="preserve"> and </w:t>
      </w:r>
      <w:r w:rsidR="004A781C">
        <w:t xml:space="preserve">randomly selected one to be included in the potential control pool, with the anniversary date of the second year defined as the index month.  We then identified all members </w:t>
      </w:r>
      <w:r w:rsidR="007E6648">
        <w:t xml:space="preserve">with diabetes between the ages of 13 and 65 insured by </w:t>
      </w:r>
      <w:r w:rsidR="004A781C">
        <w:t>these employers in the index month who were consistently in a non-PDL HSA-HDHP during the baseline year, and who remained in a PDL HSA-H</w:t>
      </w:r>
      <w:r w:rsidR="003B602E">
        <w:t>D</w:t>
      </w:r>
      <w:r w:rsidR="004A781C">
        <w:t>H</w:t>
      </w:r>
      <w:r w:rsidR="003B602E">
        <w:t>P</w:t>
      </w:r>
      <w:r w:rsidR="004A781C">
        <w:t xml:space="preserve"> for a full follow-up year.</w:t>
      </w:r>
    </w:p>
    <w:p w14:paraId="34456B85" w14:textId="02A55344" w:rsidR="003025EB" w:rsidRDefault="00A824C5" w:rsidP="007E6648">
      <w:r>
        <w:t>W</w:t>
      </w:r>
      <w:r w:rsidR="00B10CD1">
        <w:t xml:space="preserve">e included </w:t>
      </w:r>
      <w:r w:rsidR="003025EB">
        <w:t>both employer-level and member-level variables</w:t>
      </w:r>
      <w:r>
        <w:t xml:space="preserve"> in our PSM logistic model </w:t>
      </w:r>
      <w:r w:rsidR="00B10CD1">
        <w:t>predict</w:t>
      </w:r>
      <w:r>
        <w:t>ing</w:t>
      </w:r>
      <w:r w:rsidR="00B10CD1">
        <w:t xml:space="preserve"> the likelihood of </w:t>
      </w:r>
      <w:r w:rsidR="002662A4">
        <w:t xml:space="preserve">having PDL coverage added </w:t>
      </w:r>
      <w:r w:rsidR="002D58CC">
        <w:t xml:space="preserve">to </w:t>
      </w:r>
      <w:r w:rsidR="002662A4">
        <w:t xml:space="preserve">an HSA-HDHP </w:t>
      </w:r>
      <w:r w:rsidR="002D58CC">
        <w:t>by the employer</w:t>
      </w:r>
      <w:r>
        <w:t>.  Matching variables</w:t>
      </w:r>
      <w:r w:rsidR="002D58CC">
        <w:t xml:space="preserve"> </w:t>
      </w:r>
      <w:r w:rsidR="0052738D">
        <w:t xml:space="preserve">(defined in SDC-5) </w:t>
      </w:r>
      <w:r>
        <w:t>were</w:t>
      </w:r>
      <w:r w:rsidR="002662A4">
        <w:t>:</w:t>
      </w:r>
      <w:r>
        <w:t xml:space="preserve"> </w:t>
      </w:r>
      <w:bookmarkStart w:id="3" w:name="_Hlk8826271"/>
      <w:r w:rsidR="00EB3D16">
        <w:t xml:space="preserve">calendar month of </w:t>
      </w:r>
      <w:r w:rsidR="0052738D">
        <w:t xml:space="preserve">employer </w:t>
      </w:r>
      <w:r w:rsidR="00EB3D16">
        <w:t xml:space="preserve">index month; </w:t>
      </w:r>
      <w:r w:rsidR="007E6648">
        <w:t>employer size;</w:t>
      </w:r>
      <w:r>
        <w:t xml:space="preserve"> </w:t>
      </w:r>
      <w:r w:rsidR="00244009">
        <w:t xml:space="preserve">baseline employer high deductible category; </w:t>
      </w:r>
      <w:r>
        <w:t xml:space="preserve">member </w:t>
      </w:r>
      <w:r w:rsidR="00EB3D16">
        <w:t xml:space="preserve">baseline </w:t>
      </w:r>
      <w:r>
        <w:t>out-of-pocket pharmacy cost;</w:t>
      </w:r>
      <w:r w:rsidR="00EB3D16" w:rsidRPr="00EB3D16">
        <w:t xml:space="preserve"> </w:t>
      </w:r>
      <w:r w:rsidR="006C0BD4">
        <w:t>member gender</w:t>
      </w:r>
      <w:r w:rsidR="00EB3D16">
        <w:t xml:space="preserve">; </w:t>
      </w:r>
      <w:r w:rsidR="006C0BD4">
        <w:t xml:space="preserve">member </w:t>
      </w:r>
      <w:r w:rsidR="00EB3D16">
        <w:t xml:space="preserve">age stratum; </w:t>
      </w:r>
      <w:r w:rsidR="006C0BD4">
        <w:t xml:space="preserve">member </w:t>
      </w:r>
      <w:r w:rsidR="00EB3D16">
        <w:t xml:space="preserve">month of first diabetes diagnosis; </w:t>
      </w:r>
      <w:r w:rsidR="006C0BD4">
        <w:t xml:space="preserve">member </w:t>
      </w:r>
      <w:r w:rsidR="00EB3D16">
        <w:t xml:space="preserve">region </w:t>
      </w:r>
      <w:r w:rsidR="006C0BD4">
        <w:t>of residence</w:t>
      </w:r>
      <w:r w:rsidR="00EB3D16">
        <w:t>;</w:t>
      </w:r>
      <w:r w:rsidR="00EB3D16" w:rsidRPr="00EB3D16">
        <w:t xml:space="preserve"> </w:t>
      </w:r>
      <w:r w:rsidR="006C0BD4">
        <w:t>member b</w:t>
      </w:r>
      <w:r w:rsidR="00EB3D16">
        <w:t xml:space="preserve">aseline ACG score; </w:t>
      </w:r>
      <w:r w:rsidR="006C0BD4">
        <w:t xml:space="preserve">member </w:t>
      </w:r>
      <w:r w:rsidR="00EB3D16">
        <w:t xml:space="preserve">neighborhood </w:t>
      </w:r>
      <w:r w:rsidR="004E1623">
        <w:lastRenderedPageBreak/>
        <w:t xml:space="preserve">poverty </w:t>
      </w:r>
      <w:r w:rsidR="00EB3D16">
        <w:t>category; member race/eth</w:t>
      </w:r>
      <w:r w:rsidR="004E1623">
        <w:t>n</w:t>
      </w:r>
      <w:r w:rsidR="00EB3D16">
        <w:t>ic group</w:t>
      </w:r>
      <w:r w:rsidR="004E1623">
        <w:t>; and number of baseline 30-day dispensings in four key diabetes-related therapeutic categories (oral antidiabetics, insulin, lipid-powering medications, antihypertensives).</w:t>
      </w:r>
      <w:r w:rsidR="007E6648">
        <w:t xml:space="preserve"> We employed </w:t>
      </w:r>
      <w:r w:rsidR="00B10CD1">
        <w:t>1:</w:t>
      </w:r>
      <w:r w:rsidR="00F90D48">
        <w:t>2</w:t>
      </w:r>
      <w:r w:rsidR="00B10CD1">
        <w:t xml:space="preserve"> caliper</w:t>
      </w:r>
      <w:r w:rsidR="003025EB">
        <w:t xml:space="preserve"> </w:t>
      </w:r>
      <w:r w:rsidR="00B10CD1">
        <w:t>matching without replacement</w:t>
      </w:r>
      <w:r w:rsidR="007E6648">
        <w:t xml:space="preserve">, using </w:t>
      </w:r>
      <w:r w:rsidR="00B10CD1">
        <w:t>a caliper width equal to 0.2 of the logit of the pooled standard</w:t>
      </w:r>
      <w:r w:rsidR="003025EB">
        <w:t xml:space="preserve"> </w:t>
      </w:r>
      <w:r w:rsidR="00B10CD1">
        <w:t>deviation of the propensity score, which has been found to eliminate the majority of bias due to measured</w:t>
      </w:r>
      <w:r w:rsidR="003025EB">
        <w:t xml:space="preserve"> </w:t>
      </w:r>
      <w:r w:rsidR="00B10CD1">
        <w:t>confounding variables.</w:t>
      </w:r>
      <w:r w:rsidR="00F90D48">
        <w:fldChar w:fldCharType="begin"/>
      </w:r>
      <w:r w:rsidR="007C6E15">
        <w:instrText xml:space="preserve"> ADDIN ZOTERO_ITEM CSL_CITATION {"citationID":"QRpZ2Lpb","properties":{"formattedCitation":"\\super 6,7\\nosupersub{}","plainCitation":"6,7","noteIndex":0},"citationItems":[{"id":12410,"uris":["http://zotero.org/users/22428/items/LRB7KR6T"],"uri":["http://zotero.org/users/22428/items/LRB7KR6T"],"itemData":{"id":12410,"type":"article-journal","title":"Optimal caliper widths for propensity-score matching when estimating differences in means and differences in proportions in observational studies","container-title":"Pharmaceutical Statistics","page":"150-161","volume":"10","issue":"2","source":"PubMed","abstract":"In a study comparing the effects of two treatments, the propensity score is the probability of assignment to one treatment conditional on a subject's measured baseline covariates. Propensity-score matching is increasingly being used to estimate the effects of exposures using observational data. In the most common implementation of propensity-score matching, pairs of treated and untreated subjects are formed whose propensity scores differ by at most a pre-specified amount (the caliper width). There has been a little research into the optimal caliper width. We conducted an extensive series of Monte Carlo simulations to determine the optimal caliper width for estimating differences in means (for continuous outcomes) and risk differences (for binary outcomes). When estimating differences in means or risk differences, we recommend that researchers match on the logit of the propensity score using calipers of width equal to 0.2 of the standard deviation of the logit of the propensity score. When at least some of the covariates were continuous, then either this value, or one close to it, minimized the mean square error of the resultant estimated treatment effect. It also eliminated at least 98% of the bias in the crude estimator, and it resulted in confidence intervals with approximately the correct coverage rates. Furthermore, the empirical type I error rate was approximately correct. When all of the covariates were binary, then the choice of caliper width had a much smaller impact on the performance of estimation of risk differences and differences in means.","DOI":"10.1002/pst.433","ISSN":"1539-1612","note":"PMID: 20925139\nPMCID: PMC3120982","journalAbbreviation":"Pharm Stat","language":"eng","author":[{"family":"Austin","given":"Peter C."}],"issued":{"date-parts":[["2011",4]]}}},{"id":11207,"uris":["http://zotero.org/users/22428/items/BKAFUVV4"],"uri":["http://zotero.org/users/22428/items/BKAFUVV4"],"itemData":{"id":11207,"type":"article-journal","title":"A comparison of 12 algorithms for matching on the propensity score","container-title":"Statistics in Medicine","page":"1057-1069","volume":"33","issue":"6","source":"PubMed Central","abstract":"Propensity-score matching is increasingly being used to reduce the confounding that can occur in observational studies examining the effects of treatments or interventions on outcomes. We used Monte Carlo simulations to examine the following algorithms for forming matched pairs of treated and untreated subjects: optimal matching, greedy nearest neighbor matching without replacement, and greedy nearest neighbor matching without replacement within specified caliper widths. For each of the latter two algorithms, we examined four different sub-algorithms defined by the order in which treated subjects were selected for matching to an untreated subject: lowest to highest propensity score, highest to lowest propensity score, best match first, and random order. We also examined matching with replacement. We found that (i) nearest neighbor matching induced the same balance in baseline covariates as did optimal matching; (ii) when at least some of the covariates were continuous, caliper matching tended to induce balance on baseline covariates that was at least as good as the other algorithms; (iii) caliper matching tended to result in estimates of treatment effect with less bias compared with optimal and nearest neighbor matching; (iv) optimal and nearest neighbor matching resulted in estimates of treatment effect with negligibly less variability than did caliper matching; (v) caliper matching had amongst the best performance when assessed using mean squared error; (vi) the order in which treated subjects were selected for matching had at most a modest effect on estimation; and (vii) matching with replacement did not have superior performance compared with caliper matching without replacement. © 2013 The Authors. Statistics in Medicine published by John Wiley &amp; Sons, Ltd.","DOI":"10.1002/sim.6004","ISSN":"0277-6715","note":"PMID: 24123228\nPMCID: PMC4285163","journalAbbreviation":"Stat Med","author":[{"family":"Austin","given":"Peter C"}],"issued":{"date-parts":[["2014",3,15]]}}}],"schema":"https://github.com/citation-style-language/schema/raw/master/csl-citation.json"} </w:instrText>
      </w:r>
      <w:r w:rsidR="00F90D48">
        <w:fldChar w:fldCharType="separate"/>
      </w:r>
      <w:r w:rsidR="00F90D48" w:rsidRPr="00F90D48">
        <w:rPr>
          <w:rFonts w:cs="Arial"/>
          <w:szCs w:val="24"/>
          <w:vertAlign w:val="superscript"/>
        </w:rPr>
        <w:t>6,7</w:t>
      </w:r>
      <w:r w:rsidR="00F90D48">
        <w:fldChar w:fldCharType="end"/>
      </w:r>
    </w:p>
    <w:p w14:paraId="3C16F146" w14:textId="71CE8D7E" w:rsidR="0052738D" w:rsidRDefault="0052738D" w:rsidP="007E6648">
      <w:r>
        <w:t xml:space="preserve">We conducted the matching separately in the overall sample and </w:t>
      </w:r>
      <w:r w:rsidR="00BE4789">
        <w:t xml:space="preserve">among patients </w:t>
      </w:r>
      <w:r>
        <w:t xml:space="preserve">in our </w:t>
      </w:r>
      <w:r w:rsidR="00BE4789">
        <w:t xml:space="preserve">eight </w:t>
      </w:r>
      <w:r>
        <w:t xml:space="preserve">analytic subgroups: higher income, lower income, ACG&lt;3, ACG≥3, non-severe diabetes, severe diabetes, </w:t>
      </w:r>
      <w:r w:rsidR="00BE4789">
        <w:t xml:space="preserve">living in </w:t>
      </w:r>
      <w:r>
        <w:t>predomina</w:t>
      </w:r>
      <w:r w:rsidR="00BE4789">
        <w:t>n</w:t>
      </w:r>
      <w:r>
        <w:t xml:space="preserve">tly white neighborhoods, </w:t>
      </w:r>
      <w:r w:rsidR="00BE4789">
        <w:t>and not living in predominantly white neighborhoods.</w:t>
      </w:r>
    </w:p>
    <w:bookmarkEnd w:id="3"/>
    <w:p w14:paraId="36B22FB7" w14:textId="3931DD1F" w:rsidR="002D58CC" w:rsidRDefault="00C41753" w:rsidP="00C41753">
      <w:pPr>
        <w:pStyle w:val="Heading2"/>
      </w:pPr>
      <w:r>
        <w:t xml:space="preserve">SDC Section 5: </w:t>
      </w:r>
      <w:r w:rsidR="009D6C90">
        <w:t>Definitions of c</w:t>
      </w:r>
      <w:r w:rsidR="00374B39">
        <w:t>ovariates</w:t>
      </w:r>
    </w:p>
    <w:p w14:paraId="712F0FDB" w14:textId="460B13E0" w:rsidR="00374B39" w:rsidRDefault="00374B39" w:rsidP="00482196">
      <w:pPr>
        <w:spacing w:before="100" w:beforeAutospacing="1" w:after="100" w:afterAutospacing="1"/>
        <w:rPr>
          <w:rFonts w:cs="Arial"/>
          <w:bCs/>
          <w:lang w:bidi="en-US"/>
        </w:rPr>
      </w:pPr>
      <w:bookmarkStart w:id="4" w:name="_Hlk519055106"/>
      <w:bookmarkStart w:id="5" w:name="_Hlk519054877"/>
      <w:r>
        <w:rPr>
          <w:rFonts w:cs="Arial"/>
          <w:bCs/>
          <w:lang w:bidi="en-US"/>
        </w:rPr>
        <w:t xml:space="preserve">We identified key demographic and clinical covariates that we used for propensity matching, </w:t>
      </w:r>
      <w:r w:rsidR="0052738D">
        <w:rPr>
          <w:rFonts w:cs="Arial"/>
          <w:bCs/>
          <w:lang w:bidi="en-US"/>
        </w:rPr>
        <w:t xml:space="preserve">for </w:t>
      </w:r>
      <w:r>
        <w:rPr>
          <w:rFonts w:cs="Arial"/>
          <w:bCs/>
          <w:lang w:bidi="en-US"/>
        </w:rPr>
        <w:t>stratif</w:t>
      </w:r>
      <w:r w:rsidR="0052738D">
        <w:rPr>
          <w:rFonts w:cs="Arial"/>
          <w:bCs/>
          <w:lang w:bidi="en-US"/>
        </w:rPr>
        <w:t>ying</w:t>
      </w:r>
      <w:r>
        <w:rPr>
          <w:rFonts w:cs="Arial"/>
          <w:bCs/>
          <w:lang w:bidi="en-US"/>
        </w:rPr>
        <w:t xml:space="preserve"> analyses, and </w:t>
      </w:r>
      <w:r w:rsidR="005F3FE0">
        <w:rPr>
          <w:rFonts w:cs="Arial"/>
          <w:bCs/>
          <w:lang w:bidi="en-US"/>
        </w:rPr>
        <w:t xml:space="preserve">as variables to </w:t>
      </w:r>
      <w:r>
        <w:rPr>
          <w:rFonts w:cs="Arial"/>
          <w:bCs/>
          <w:lang w:bidi="en-US"/>
        </w:rPr>
        <w:t xml:space="preserve">adjust difference-in-difference </w:t>
      </w:r>
      <w:r w:rsidR="0052738D">
        <w:rPr>
          <w:rFonts w:cs="Arial"/>
          <w:bCs/>
          <w:lang w:bidi="en-US"/>
        </w:rPr>
        <w:t xml:space="preserve">and survival </w:t>
      </w:r>
      <w:r>
        <w:rPr>
          <w:rFonts w:cs="Arial"/>
          <w:bCs/>
          <w:lang w:bidi="en-US"/>
        </w:rPr>
        <w:t>models.</w:t>
      </w:r>
    </w:p>
    <w:bookmarkEnd w:id="4"/>
    <w:bookmarkEnd w:id="5"/>
    <w:p w14:paraId="5E0412EA" w14:textId="3C8D8BFA" w:rsidR="002D19FD" w:rsidRDefault="002D19FD" w:rsidP="0063243A">
      <w:pPr>
        <w:spacing w:before="100" w:beforeAutospacing="1" w:after="100" w:afterAutospacing="1"/>
        <w:rPr>
          <w:rFonts w:cs="Arial"/>
          <w:bCs/>
          <w:lang w:bidi="en-US"/>
        </w:rPr>
      </w:pPr>
      <w:r>
        <w:rPr>
          <w:rFonts w:cs="Arial"/>
          <w:bCs/>
          <w:lang w:bidi="en-US"/>
        </w:rPr>
        <w:t xml:space="preserve">Individual demographic </w:t>
      </w:r>
      <w:r w:rsidRPr="00271AA3">
        <w:rPr>
          <w:rFonts w:cs="Arial"/>
          <w:bCs/>
          <w:lang w:bidi="en-US"/>
        </w:rPr>
        <w:t xml:space="preserve">covariates included </w:t>
      </w:r>
      <w:r>
        <w:rPr>
          <w:rFonts w:cs="Arial"/>
          <w:bCs/>
          <w:lang w:bidi="en-US"/>
        </w:rPr>
        <w:t xml:space="preserve">gender, </w:t>
      </w:r>
      <w:r w:rsidRPr="00271AA3">
        <w:rPr>
          <w:rFonts w:cs="Arial"/>
          <w:bCs/>
          <w:lang w:bidi="en-US"/>
        </w:rPr>
        <w:t>age category (</w:t>
      </w:r>
      <w:r>
        <w:rPr>
          <w:rFonts w:cs="Arial"/>
          <w:bCs/>
          <w:lang w:bidi="en-US"/>
        </w:rPr>
        <w:t>12</w:t>
      </w:r>
      <w:r w:rsidRPr="00271AA3">
        <w:rPr>
          <w:rFonts w:cs="Arial"/>
          <w:bCs/>
          <w:lang w:bidi="en-US"/>
        </w:rPr>
        <w:t>-</w:t>
      </w:r>
      <w:r>
        <w:rPr>
          <w:rFonts w:cs="Arial"/>
          <w:bCs/>
          <w:lang w:bidi="en-US"/>
        </w:rPr>
        <w:t>44,</w:t>
      </w:r>
      <w:r w:rsidRPr="00271AA3">
        <w:rPr>
          <w:rFonts w:cs="Arial"/>
          <w:bCs/>
          <w:lang w:bidi="en-US"/>
        </w:rPr>
        <w:t xml:space="preserve"> 4</w:t>
      </w:r>
      <w:r>
        <w:rPr>
          <w:rFonts w:cs="Arial"/>
          <w:bCs/>
          <w:lang w:bidi="en-US"/>
        </w:rPr>
        <w:t>5</w:t>
      </w:r>
      <w:r w:rsidRPr="00271AA3">
        <w:rPr>
          <w:rFonts w:cs="Arial"/>
          <w:bCs/>
          <w:lang w:bidi="en-US"/>
        </w:rPr>
        <w:t>-64 years)</w:t>
      </w:r>
      <w:r>
        <w:rPr>
          <w:rFonts w:cs="Arial"/>
          <w:bCs/>
          <w:lang w:bidi="en-US"/>
        </w:rPr>
        <w:t xml:space="preserve">, and </w:t>
      </w:r>
      <w:r w:rsidRPr="00271AA3">
        <w:rPr>
          <w:rFonts w:cs="Arial"/>
          <w:bCs/>
          <w:lang w:bidi="en-US"/>
        </w:rPr>
        <w:t>US region (</w:t>
      </w:r>
      <w:r w:rsidR="00FA2D89" w:rsidRPr="00271AA3">
        <w:rPr>
          <w:rFonts w:cs="Arial"/>
          <w:bCs/>
          <w:lang w:bidi="en-US"/>
        </w:rPr>
        <w:t>Northeast</w:t>
      </w:r>
      <w:r w:rsidR="00FA2D89">
        <w:rPr>
          <w:rFonts w:cs="Arial"/>
          <w:bCs/>
          <w:lang w:bidi="en-US"/>
        </w:rPr>
        <w:t xml:space="preserve">, </w:t>
      </w:r>
      <w:r w:rsidRPr="00271AA3">
        <w:rPr>
          <w:rFonts w:cs="Arial"/>
          <w:bCs/>
          <w:lang w:bidi="en-US"/>
        </w:rPr>
        <w:t>South</w:t>
      </w:r>
      <w:r w:rsidR="00FA2D89">
        <w:rPr>
          <w:rFonts w:cs="Arial"/>
          <w:bCs/>
          <w:lang w:bidi="en-US"/>
        </w:rPr>
        <w:t xml:space="preserve">, </w:t>
      </w:r>
      <w:r w:rsidR="00FA2D89" w:rsidRPr="00271AA3">
        <w:rPr>
          <w:rFonts w:cs="Arial"/>
          <w:bCs/>
          <w:lang w:bidi="en-US"/>
        </w:rPr>
        <w:t xml:space="preserve">Midwest, </w:t>
      </w:r>
      <w:r w:rsidR="00FA2D89">
        <w:rPr>
          <w:rFonts w:cs="Arial"/>
          <w:bCs/>
          <w:lang w:bidi="en-US"/>
        </w:rPr>
        <w:t>West)</w:t>
      </w:r>
      <w:r w:rsidRPr="00271AA3">
        <w:rPr>
          <w:rFonts w:cs="Arial"/>
          <w:bCs/>
          <w:lang w:bidi="en-US"/>
        </w:rPr>
        <w:t>.</w:t>
      </w:r>
      <w:r w:rsidRPr="00271AA3">
        <w:rPr>
          <w:rFonts w:cs="Arial"/>
          <w:b/>
          <w:bCs/>
          <w:lang w:bidi="en-US"/>
        </w:rPr>
        <w:t xml:space="preserve"> </w:t>
      </w:r>
      <w:r w:rsidR="008527EA">
        <w:rPr>
          <w:rFonts w:cs="Arial"/>
          <w:bCs/>
          <w:lang w:bidi="en-US"/>
        </w:rPr>
        <w:t>Our data</w:t>
      </w:r>
      <w:r w:rsidR="00FA2D89">
        <w:rPr>
          <w:rFonts w:cs="Arial"/>
          <w:bCs/>
          <w:lang w:bidi="en-US"/>
        </w:rPr>
        <w:t>set</w:t>
      </w:r>
      <w:r w:rsidR="008527EA">
        <w:rPr>
          <w:rFonts w:cs="Arial"/>
          <w:bCs/>
          <w:lang w:bidi="en-US"/>
        </w:rPr>
        <w:t xml:space="preserve"> contain</w:t>
      </w:r>
      <w:r w:rsidR="00FA2D89">
        <w:rPr>
          <w:rFonts w:cs="Arial"/>
          <w:bCs/>
          <w:lang w:bidi="en-US"/>
        </w:rPr>
        <w:t>s</w:t>
      </w:r>
      <w:r w:rsidR="008527EA">
        <w:rPr>
          <w:rFonts w:cs="Arial"/>
          <w:bCs/>
          <w:lang w:bidi="en-US"/>
        </w:rPr>
        <w:t xml:space="preserve"> limited </w:t>
      </w:r>
      <w:r w:rsidR="005114AA">
        <w:rPr>
          <w:rFonts w:cs="Arial"/>
          <w:bCs/>
          <w:lang w:bidi="en-US"/>
        </w:rPr>
        <w:t xml:space="preserve">and incomplete </w:t>
      </w:r>
      <w:r w:rsidR="008527EA">
        <w:rPr>
          <w:rFonts w:cs="Arial"/>
          <w:bCs/>
          <w:lang w:bidi="en-US"/>
        </w:rPr>
        <w:t>individual-level socio</w:t>
      </w:r>
      <w:r w:rsidR="007804B3">
        <w:rPr>
          <w:rFonts w:cs="Arial"/>
          <w:bCs/>
          <w:lang w:bidi="en-US"/>
        </w:rPr>
        <w:t xml:space="preserve">economic </w:t>
      </w:r>
      <w:r w:rsidR="00FA2D89">
        <w:rPr>
          <w:rFonts w:cs="Arial"/>
          <w:bCs/>
          <w:lang w:bidi="en-US"/>
        </w:rPr>
        <w:t>variables</w:t>
      </w:r>
      <w:r w:rsidR="00F85D8B">
        <w:rPr>
          <w:rFonts w:cs="Arial"/>
          <w:bCs/>
          <w:lang w:bidi="en-US"/>
        </w:rPr>
        <w:t>;</w:t>
      </w:r>
      <w:r w:rsidR="008527EA">
        <w:rPr>
          <w:rFonts w:cs="Arial"/>
          <w:bCs/>
          <w:lang w:bidi="en-US"/>
        </w:rPr>
        <w:t xml:space="preserve"> </w:t>
      </w:r>
      <w:r w:rsidR="00F85D8B">
        <w:rPr>
          <w:rFonts w:cs="Arial"/>
          <w:bCs/>
          <w:lang w:bidi="en-US"/>
        </w:rPr>
        <w:t>t</w:t>
      </w:r>
      <w:r w:rsidR="00374B39" w:rsidRPr="00271AA3">
        <w:rPr>
          <w:rFonts w:cs="Arial"/>
          <w:bCs/>
          <w:lang w:bidi="en-US"/>
        </w:rPr>
        <w:t>o derive proxy measures,</w:t>
      </w:r>
      <w:r w:rsidR="008527EA">
        <w:rPr>
          <w:rFonts w:cs="Arial"/>
          <w:bCs/>
          <w:lang w:bidi="en-US"/>
        </w:rPr>
        <w:fldChar w:fldCharType="begin"/>
      </w:r>
      <w:r w:rsidR="007C6E15">
        <w:rPr>
          <w:rFonts w:cs="Arial"/>
          <w:bCs/>
          <w:lang w:bidi="en-US"/>
        </w:rPr>
        <w:instrText xml:space="preserve"> ADDIN ZOTERO_ITEM CSL_CITATION {"citationID":"4O5FsdY3","properties":{"formattedCitation":"\\super 8\\nosupersub{}","plainCitation":"8","noteIndex":0},"citationItems":[{"id":12416,"uris":["http://zotero.org/users/22428/items/33INPYWU"],"uri":["http://zotero.org/users/22428/items/33INPYWU"],"itemData":{"id":12416,"type":"report","title":"On the Validity of Using Census Geocode Characteristics to Proxy Individual Socioeconomic Characteristics","publisher":"National Bureau of Economic Research","genre":"Working Paper","source":"National Bureau of Economic Research","abstract":"Investigators of social differentials in health outcomes commonly augment incomplete micro data by appending socioeconomic characteristics of residential areas (such as median income in a zip code) to proxy for individual characteristics. However, little empirical attention has been paid to how well this aggregate information serves as a proxy for the individual characteristics of interest. We build on recent work addressing the biases inherent in proxies and consider two health-related examples within a statistical framework that illuminate the nature and sources of biases. Data from the Panel Study of Income Dynamics and the National Maternal and Infant Health Survey are linked to census data. We assess the validity of using the aggregate census information as a proxy for individual information when estimating main effects, and when controlling for potential confounding between socioeconomic and sociodemographic factors in measures of general health status and infant mortality. We find a general, but not universal, tendency for aggregate proxies to exaggerate the effects of micro-level variables and to do more poorly than micro-level variables at controlling for confounding. The magnitude and direction of these biases, however, vary across samples. Our statistical framework and empirical findings suggest the difficulties in and limits to interpreting proxies derived from aggregate census data as if they were micro-level variables. The statistical framework we outline for our study of health outcomes should be generally applicable to other situations where researchers have merged aggregate data with micro data samples.","URL":"http://www.nber.org/papers/t0189","note":"DOI: 10.3386/t0189","number":"189","author":[{"family":"Geronimus","given":"Arline T"},{"family":"Bound","given":"John"},{"family":"Neidert","given":"Lisa J"}],"issued":{"date-parts":[["1995",12]]},"accessed":{"date-parts":[["2019",5,12]]}}}],"schema":"https://github.com/citation-style-language/schema/raw/master/csl-citation.json"} </w:instrText>
      </w:r>
      <w:r w:rsidR="008527EA">
        <w:rPr>
          <w:rFonts w:cs="Arial"/>
          <w:bCs/>
          <w:lang w:bidi="en-US"/>
        </w:rPr>
        <w:fldChar w:fldCharType="separate"/>
      </w:r>
      <w:r w:rsidR="008527EA" w:rsidRPr="008527EA">
        <w:rPr>
          <w:rFonts w:cs="Arial"/>
          <w:szCs w:val="24"/>
          <w:vertAlign w:val="superscript"/>
        </w:rPr>
        <w:t>8</w:t>
      </w:r>
      <w:r w:rsidR="008527EA">
        <w:rPr>
          <w:rFonts w:cs="Arial"/>
          <w:bCs/>
          <w:lang w:bidi="en-US"/>
        </w:rPr>
        <w:fldChar w:fldCharType="end"/>
      </w:r>
      <w:r w:rsidR="00374B39" w:rsidRPr="00271AA3">
        <w:rPr>
          <w:rFonts w:cs="Arial"/>
          <w:bCs/>
          <w:lang w:bidi="en-US"/>
        </w:rPr>
        <w:t xml:space="preserve"> </w:t>
      </w:r>
      <w:r w:rsidR="00374B39">
        <w:rPr>
          <w:rFonts w:cs="Arial"/>
          <w:bCs/>
          <w:lang w:bidi="en-US"/>
        </w:rPr>
        <w:t xml:space="preserve">our </w:t>
      </w:r>
      <w:r w:rsidR="00374B39" w:rsidRPr="00271AA3">
        <w:rPr>
          <w:rFonts w:cs="Arial"/>
          <w:bCs/>
          <w:lang w:bidi="en-US"/>
        </w:rPr>
        <w:t xml:space="preserve">data vendor </w:t>
      </w:r>
      <w:r w:rsidR="005114AA">
        <w:rPr>
          <w:rFonts w:cs="Arial"/>
          <w:bCs/>
          <w:lang w:bidi="en-US"/>
        </w:rPr>
        <w:t xml:space="preserve">converted </w:t>
      </w:r>
      <w:r w:rsidR="00374B39" w:rsidRPr="00271AA3">
        <w:rPr>
          <w:rFonts w:cs="Arial"/>
          <w:bCs/>
          <w:lang w:bidi="en-US"/>
        </w:rPr>
        <w:t xml:space="preserve">members’ most recent residential street addresses </w:t>
      </w:r>
      <w:r w:rsidR="00374B39">
        <w:rPr>
          <w:rFonts w:cs="Arial"/>
          <w:bCs/>
          <w:lang w:bidi="en-US"/>
        </w:rPr>
        <w:t xml:space="preserve">to geocodes </w:t>
      </w:r>
      <w:r w:rsidR="008527EA">
        <w:rPr>
          <w:rFonts w:cs="Arial"/>
          <w:bCs/>
          <w:lang w:bidi="en-US"/>
        </w:rPr>
        <w:t>which can be link</w:t>
      </w:r>
      <w:r w:rsidR="007804B3">
        <w:rPr>
          <w:rFonts w:cs="Arial"/>
          <w:bCs/>
          <w:lang w:bidi="en-US"/>
        </w:rPr>
        <w:t>ed</w:t>
      </w:r>
      <w:r w:rsidR="008527EA">
        <w:rPr>
          <w:rFonts w:cs="Arial"/>
          <w:bCs/>
          <w:lang w:bidi="en-US"/>
        </w:rPr>
        <w:t xml:space="preserve"> to publicly available </w:t>
      </w:r>
      <w:r w:rsidR="00813CF4">
        <w:rPr>
          <w:rFonts w:cs="Arial"/>
          <w:bCs/>
          <w:lang w:bidi="en-US"/>
        </w:rPr>
        <w:t>geographically</w:t>
      </w:r>
      <w:r w:rsidR="008527EA">
        <w:rPr>
          <w:rFonts w:cs="Arial"/>
          <w:bCs/>
          <w:lang w:bidi="en-US"/>
        </w:rPr>
        <w:t>-derived socio</w:t>
      </w:r>
      <w:r w:rsidR="007804B3">
        <w:rPr>
          <w:rFonts w:cs="Arial"/>
          <w:bCs/>
          <w:lang w:bidi="en-US"/>
        </w:rPr>
        <w:t xml:space="preserve">economic </w:t>
      </w:r>
      <w:r w:rsidR="00F85D8B">
        <w:rPr>
          <w:rFonts w:cs="Arial"/>
          <w:bCs/>
          <w:lang w:bidi="en-US"/>
        </w:rPr>
        <w:t>measures</w:t>
      </w:r>
      <w:r w:rsidR="008527EA">
        <w:rPr>
          <w:rFonts w:cs="Arial"/>
          <w:bCs/>
          <w:lang w:bidi="en-US"/>
        </w:rPr>
        <w:t>.</w:t>
      </w:r>
      <w:r w:rsidR="00374B39" w:rsidRPr="00271AA3">
        <w:rPr>
          <w:rFonts w:cs="Arial"/>
          <w:bCs/>
          <w:lang w:bidi="en-US"/>
        </w:rPr>
        <w:t xml:space="preserve">  </w:t>
      </w:r>
      <w:r w:rsidR="008527EA">
        <w:rPr>
          <w:rFonts w:cs="Arial"/>
          <w:bCs/>
          <w:lang w:bidi="en-US"/>
        </w:rPr>
        <w:t xml:space="preserve">Geographic </w:t>
      </w:r>
      <w:r w:rsidR="00374B39" w:rsidRPr="00271AA3">
        <w:rPr>
          <w:rFonts w:cs="Arial"/>
          <w:bCs/>
          <w:lang w:bidi="en-US"/>
        </w:rPr>
        <w:t>measures of socioeconomic status have been validated</w:t>
      </w:r>
      <w:r w:rsidR="008527EA">
        <w:rPr>
          <w:rFonts w:cs="Arial"/>
          <w:bCs/>
          <w:lang w:bidi="en-US"/>
        </w:rPr>
        <w:fldChar w:fldCharType="begin"/>
      </w:r>
      <w:r w:rsidR="007C6E15">
        <w:rPr>
          <w:rFonts w:cs="Arial"/>
          <w:bCs/>
          <w:lang w:bidi="en-US"/>
        </w:rPr>
        <w:instrText xml:space="preserve"> ADDIN ZOTERO_ITEM CSL_CITATION {"citationID":"dh11naiR","properties":{"formattedCitation":"\\super 9\\uc0\\u8211{}11\\nosupersub{}","plainCitation":"9–11","noteIndex":0},"citationItems":[{"id":12420,"uris":["http://zotero.org/users/22428/items/MYSWKUDB"],"uri":["http://zotero.org/users/22428/items/MYSWKUDB"],"itemData":{"id":12420,"type":"article-journal","title":"Overcoming the absence of socioeconomic data in medical records: validation and application of a census-based methodology","container-title":"American Journal of Public Health","page":"703-710","volume":"82","issue":"5","source":"PubMed","abstract":"BACKGROUND: Most US medical records lack socioeconomic data, hindering studies of social gradients in health and ascertainment of whether study samples are representative of the general population. This study assessed the validity of a census-based approach in addressing these problems.\nMETHODS: Socioeconomic data from 1980 census tracts and block groups were matched to the 1985 membership records of a large prepaid health plan (n = 1.9 million), with the link provided by each individual's residential address. Among a subset of 14,420 Black and White members, comparisons were made of the association of individual, census tract, and census block-group socioeconomic measures with hypertension, height, smoking, and reproductive history.\nRESULTS: Census-level and individual-level socioeconomic measures were similarly associated with the selected health outcomes. Census data permitted assessing response bias due to missing individual-level socioeconomic data and also contextual effects involving the interaction of individual- and neighborhood-level socioeconomic traits. On the basis of block-group characteristics, health plan members generally were representative of the total population; persons in impoverished neighborhoods, however, were underrepresented.\nCONCLUSIONS: This census-based methodology offers a valid and useful approach to overcoming the absence of socioeconomic data in most US medical records.","ISSN":"0090-0036","note":"PMID: 1566949\nPMCID: PMC1694121","title-short":"Overcoming the absence of socioeconomic data in medical records","journalAbbreviation":"Am J Public Health","language":"eng","author":[{"family":"Krieger","given":"N."}],"issued":{"date-parts":[["1992",5]]}}},{"id":12418,"uris":["http://zotero.org/users/22428/items/FG6V8SHI"],"uri":["http://zotero.org/users/22428/items/FG6V8SHI"],"itemData":{"id":12418,"type":"article-journal","title":"Geocoding and monitoring of US socioeconomic inequalities in mortality and cancer incidence: does the choice of area-based measure and geographic level matter?: the Public Health Disparities Geocoding Project","container-title":"American Journal of Epidemiology","page":"471-482","volume":"156","issue":"5","source":"PubMed","abstract":"Despite the promise of geocoding and use of area-based socioeconomic measures to overcome the paucity of socioeconomic data in US public health surveillance systems, no consensus exists as to which measures should be used or at which level of geography. The authors generated diverse single-variable and composite area-based socioeconomic measures at the census tract, block group, and zip code level for Massachusetts (1990 population: 6,016,425) and Rhode Island (1990 population: 1,003,464) to investigate their associations with mortality rates (1989-1991: 156,366 resident deaths in Massachusetts and 27,291 in Rhode Island) and incidence of primary invasive cancer (1988-1992: 140,610 resident cases in Massachusetts; 1989-1992: 19,808 resident cases in Rhode Island). Analyses of all-cause and cause-specific mortality rates and all-cause and site-specific cancer incidence rates indicated that: 1) block group and tract socioeconomic measures performed comparably within and across both states, but zip code measures for several outcomes detected no gradients or gradients contrary to those observed with tract and block group measures; 2) similar gradients were detected with categories generated by quintiles and by a priori categorical cutpoints; and 3) measures including data on economic poverty were most robust and detected gradients that were unobserved using measures of only education and wealth.","ISSN":"0002-9262","note":"PMID: 12196317","title-short":"Geocoding and monitoring of US socioeconomic inequalities in mortality and cancer incidence","journalAbbreviation":"Am. J. Epidemiol.","language":"eng","author":[{"family":"Krieger","given":"Nancy"},{"family":"Chen","given":"Jarvis T."},{"family":"Waterman","given":"Pamela D."},{"family":"Soobader","given":"Mah-Jabeen"},{"family":"Subramanian","given":"S. V."},{"family":"Carson","given":"Rosa"}],"issued":{"date-parts":[["2002",9,1]]}}},{"id":12422,"uris":["http://zotero.org/users/22428/items/Q7L7RV94"],"uri":["http://zotero.org/users/22428/items/Q7L7RV94"],"itemData":{"id":12422,"type":"article-journal","title":"The use of census data for determining race and education as SES indicators: a validation study","container-title":"Annals of Epidemiology","page":"171-177","volume":"11","issue":"3","source":"PubMed","abstract":"PURPOSE: Little research has examined the validity of using census data to determine an individual's socio-economic status (SES), as measured by race and educational level. This study assessed the accuracy of using aggregate level data from United States Census Block Groups in determining race and education SES indicators in a cohort of women from North Carolina.\nMETHODS: The study analyzed patient data from the Carolina Mammography Registry and 1990 United States Census in 21 North Carolina counties. Women (n = 39,546) were geocoded to their census block group and their block group characteristics (surrogate measures) were validated with their self-reported values on race and education. An analysis was performed to explore whether using these surrogate measures would affect measured associations with the self-reported values.\nRESULTS: Whites were accurately identified (84.8%) more consistently than Blacks (14.1%) regardless of their urban/rural status. Women without a high school diploma or equivalent were accurately identified (56.2%) more often than those with higher education levels (45.9%). Analyses using the surrogate measures were significantly different than the true values according to chi-square statistics.\nCONCLUSIONS: Use of census data to derive SES indicators tends to be more accurate for the majority than the minority population. Researchers must be sensitive to the ecologic fallacy when using aggregate level data such as the census to determine individual level characteristics.","ISSN":"1047-2797","note":"PMID: 11293403","title-short":"The use of census data for determining race and education as SES indicators","journalAbbreviation":"Ann Epidemiol","language":"eng","author":[{"family":"Kwok","given":"R. K."},{"family":"Yankaskas","given":"B. C."}],"issued":{"date-parts":[["2001",4]]}}}],"schema":"https://github.com/citation-style-language/schema/raw/master/csl-citation.json"} </w:instrText>
      </w:r>
      <w:r w:rsidR="008527EA">
        <w:rPr>
          <w:rFonts w:cs="Arial"/>
          <w:bCs/>
          <w:lang w:bidi="en-US"/>
        </w:rPr>
        <w:fldChar w:fldCharType="separate"/>
      </w:r>
      <w:r w:rsidR="00F85D8B" w:rsidRPr="00F85D8B">
        <w:rPr>
          <w:rFonts w:cs="Arial"/>
          <w:szCs w:val="24"/>
          <w:vertAlign w:val="superscript"/>
        </w:rPr>
        <w:t>9–11</w:t>
      </w:r>
      <w:r w:rsidR="008527EA">
        <w:rPr>
          <w:rFonts w:cs="Arial"/>
          <w:bCs/>
          <w:lang w:bidi="en-US"/>
        </w:rPr>
        <w:fldChar w:fldCharType="end"/>
      </w:r>
      <w:r w:rsidR="00374B39" w:rsidRPr="00271AA3">
        <w:rPr>
          <w:rFonts w:cs="Arial"/>
          <w:bCs/>
          <w:lang w:bidi="en-US"/>
        </w:rPr>
        <w:t xml:space="preserve"> and used in multiple studies </w:t>
      </w:r>
      <w:r w:rsidR="00F85D8B">
        <w:rPr>
          <w:rFonts w:cs="Arial"/>
          <w:bCs/>
          <w:lang w:bidi="en-US"/>
        </w:rPr>
        <w:t>by ourselves</w:t>
      </w:r>
      <w:r w:rsidR="00F85D8B">
        <w:rPr>
          <w:rFonts w:cs="Arial"/>
          <w:bCs/>
          <w:lang w:bidi="en-US"/>
        </w:rPr>
        <w:fldChar w:fldCharType="begin"/>
      </w:r>
      <w:r w:rsidR="007C6E15">
        <w:rPr>
          <w:rFonts w:cs="Arial"/>
          <w:bCs/>
          <w:lang w:bidi="en-US"/>
        </w:rPr>
        <w:instrText xml:space="preserve"> ADDIN ZOTERO_ITEM CSL_CITATION {"citationID":"R9dfMJv3","properties":{"formattedCitation":"\\super 3,12,13\\nosupersub{}","plainCitation":"3,12,13","noteIndex":0},"citationItems":[{"id":11594,"uris":["http://zotero.org/users/22428/items/8XXNMV5U"],"uri":["http://zotero.org/users/22428/items/8XXNMV5U"],"itemData":{"id":11594,"type":"article-journal","title":"High-Deductible Insurance and Delay in Care for the Macrovascular Complications of Diabetes","container-title":"Annals of Internal Medicine","page":"845","volume":"169","issue":"12","source":"Crossref","DOI":"10.7326/M17-3365","ISSN":"0003-4819","language":"en","author":[{"family":"Wharam","given":"J. Frank"},{"family":"Lu","given":"Christine Y."},{"family":"Zhang","given":"Fang"},{"family":"Callahan","given":"Matthew"},{"family":"Xu","given":"Xin"},{"family":"Wallace","given":"Jamie"},{"family":"Soumerai","given":"Stephen"},{"family":"Ross-Degnan","given":"Dennis"},{"family":"Newhouse","given":"Joseph P."}],"issued":{"date-parts":[["2018",12,18]]}}},{"id":325,"uris":["http://zotero.org/users/22428/items/C3IV23V4"],"uri":["http://zotero.org/users/22428/items/C3IV23V4"],"itemData":{"id":325,"type":"article-journal","title":"Two-year trends in cancer screening among low socioeconomic status women in an HMO-based high-deductible health plan","container-title":"Journal of General Internal Medicine","page":"1112-1119","volume":"27","issue":"9","source":"PubMed","abstract":"BACKGROUND: Cancer screening is often fully covered under high-deductible health plans (HDHP), but low socioeconomic status (SES) women still might forego testing.\nOBJECTIVE: To determine the impact of switching to a HDHP on breast and cervical cancer screening among women of low SES.\nDESIGN: Pre-post with comparison group.\nPARTICIPANTS: Four thousand one hundred and eighty-eight health plan members enrolled for one year before and up to two years after an employer-mandated switch from a traditional HMO to an HMO-based HDHP, compared with 9418 propensity score matched controls who remained in HMOs by employer choice. Both groups had low outpatient copayments. High-deductible members had full coverage of mammography and Pap smears, but $500 to $2000 individual deductibles for most other services. HMO members had full coverage of cancer screening and low copayments for other services without any deductible. We stratified analyses by SES.\nINTERVENTION: Transition to a HDHP.\nMAIN MEASURES: Annual breast and cervical cancer screening rates; rates of annual preventive outpatient visits.\nKEY RESULTS: In follow-up years 1 and 2, low SES HDHP members experienced no statistically detectable changes in rates of breast cancer screening (ratio of change, 1.14, 95 % CI, [0.93,1.40] and 1.05, [0.80,1.37], respectively) or preventive visits (difference-in-differences, +1.9 %, [-11.9 %,+17.7 %] and +10.1 %, [-9.4 %,+33.7 %], respectively) relative to HMO counterparts. Similarly, among low SES HDHP members eligible for cervical cancer screening, no significant changes occurred in either screening rates (1.01, [0.86,1.20] and 1.08, [0.86,1.35]) or preventive visits (+0.2 %, [-11.4 %,+13.3 %] and -1.4 %, [-18.1,+18.6]). Patterns were statistically similar for high SES members.\nCONCLUSION: During two follow-up years, transition to an HMO-based HDHP with coverage of primary care visits and cancer screening did not lead to differentially lower rates of breast and cervical cancer screening or preventive visits for low SES women. Generalizability is limited to commercially insured women transitioning to HDHPs with low cost-sharing for cancer screening and primary care visits, a common design.","DOI":"10.1007/s11606-012-2057-x","ISSN":"1525-1497","note":"PMID: 22544705\nPMCID: PMC3515008","journalAbbreviation":"J Gen Intern Med","language":"eng","author":[{"family":"Wharam","given":"J. Frank"},{"family":"Graves","given":"Amy Johnson"},{"family":"Zhang","given":"Fang"},{"family":"Soumerai","given":"Stephen B."},{"family":"Ross-Degnan","given":"Dennis"},{"family":"Landon","given":"Bruce E."}],"issued":{"date-parts":[["2012",9]]}}},{"id":361,"uris":["http://zotero.org/users/22428/items/UE8RN736"],"uri":["http://zotero.org/users/22428/items/UE8RN736"],"itemData":{"id":361,"type":"article-journal","title":"Low-socioeconomic-status enrollees in high-deductible plans reduced high-severity emergency care","container-title":"Health Affairs (Project Hope)","page":"1398-1406","volume":"32","issue":"8","source":"PubMed","abstract":"One-third of US workers now have high-deductible health plans, and those numbers are expected to grow in 2014 as implementation of the Affordable Care Act continues. There is concern that high-deductible health plans might cause enrollees of low socioeconomic status to forgo emergency care as a result of burdensome out-of-pocket costs. We analyzed emergency department (ED) visits and hospitalizations over two years among enrollees insured in high-deductible plans through small employers in Massachusetts. We found that plan members of low socioeconomic status experienced 25-30 percent reductions in high-severity ED visits over both years, while hospitalizations declined by 23 percent in year 1 but rose again in year 2. Similar trends were not found among high-deductible plan members of high socioeconomic status. Our findings suggest that plan members of low socioeconomic status at small firms responded inappropriately to high-deductible plans and that initial reductions in high-severity ED visits might have increased the need for subsequent hospitalizations. Policy makers and employers should consider proactive strategies to educate high-deductible plan members about their benefit structures or identify members at higher risk of avoiding needed care. They should also consider implementing means-based deductibles.","DOI":"10.1377/hlthaff.2012.1426","ISSN":"1544-5208","note":"PMID: 23918484","journalAbbreviation":"Health Aff (Millwood)","language":"eng","author":[{"family":"Wharam","given":"J. Frank"},{"family":"Zhang","given":"Fang"},{"family":"Landon","given":"Bruce E."},{"family":"Soumerai","given":"Stephen B."},{"family":"Ross-Degnan","given":"Dennis"}],"issued":{"date-parts":[["2013",8]]}}}],"schema":"https://github.com/citation-style-language/schema/raw/master/csl-citation.json"} </w:instrText>
      </w:r>
      <w:r w:rsidR="00F85D8B">
        <w:rPr>
          <w:rFonts w:cs="Arial"/>
          <w:bCs/>
          <w:lang w:bidi="en-US"/>
        </w:rPr>
        <w:fldChar w:fldCharType="separate"/>
      </w:r>
      <w:r w:rsidR="00F85D8B" w:rsidRPr="00F85D8B">
        <w:rPr>
          <w:rFonts w:cs="Arial"/>
          <w:szCs w:val="24"/>
          <w:vertAlign w:val="superscript"/>
        </w:rPr>
        <w:t>3,12,13</w:t>
      </w:r>
      <w:r w:rsidR="00F85D8B">
        <w:rPr>
          <w:rFonts w:cs="Arial"/>
          <w:bCs/>
          <w:lang w:bidi="en-US"/>
        </w:rPr>
        <w:fldChar w:fldCharType="end"/>
      </w:r>
      <w:r w:rsidR="00F85D8B">
        <w:rPr>
          <w:rFonts w:cs="Arial"/>
          <w:bCs/>
          <w:lang w:bidi="en-US"/>
        </w:rPr>
        <w:t xml:space="preserve"> and others</w:t>
      </w:r>
      <w:r w:rsidR="00F85D8B">
        <w:rPr>
          <w:rFonts w:cs="Arial"/>
          <w:bCs/>
          <w:lang w:bidi="en-US"/>
        </w:rPr>
        <w:fldChar w:fldCharType="begin"/>
      </w:r>
      <w:r w:rsidR="007C6E15">
        <w:rPr>
          <w:rFonts w:cs="Arial"/>
          <w:bCs/>
          <w:lang w:bidi="en-US"/>
        </w:rPr>
        <w:instrText xml:space="preserve"> ADDIN ZOTERO_ITEM CSL_CITATION {"citationID":"MAS3q7h6","properties":{"formattedCitation":"\\super 14,15\\nosupersub{}","plainCitation":"14,15","noteIndex":0},"citationItems":[{"id":12424,"uris":["http://zotero.org/users/22428/items/AVVPCYW9"],"uri":["http://zotero.org/users/22428/items/AVVPCYW9"],"itemData":{"id":12424,"type":"article-journal","title":"Elimination of Cost Sharing for Screening Mammography in Medicare Advantage Plans","container-title":"The New England journal of medicine","page":"262-269","volume":"378","issue":"3","source":"PubMed Central","abstract":"BACKGROUND\nThe Affordable Care Act (ACA) required most insurers and the Medicare program to eliminate cost sharing for screening mammography.\n\nMETHODS\nWe conducted a difference-in-differences study of biennial screening mammography among 15,085 women 65 to 74 years of age in 24 Medicare Advantage plans that eliminated cost sharing to provide full coverage for screening mammography, as compared with 52,035 women in 48 matched control plans that had and maintained full coverage.\n\nRESULTS\nIn plans that eliminated cost sharing, adjusted rates of biennial screening mammography increased from 59.9% (95% confidence interval [CI], 54.9 to 65.0) in the 2-year period before cost-sharing elimination to 65.4% (95% CI, 61.8 to 69.0) in the 2-year period thereafter. In control plans, the rates of biennial mammography were 73.1% (95% CI, 69.2 to 77.0) and 72.8% (95% CI, 69.7 to 76.0) during the same periods, yielding a difference in differences of 5.7 percentage points (95% CI, 3.0 to 8.4). The difference in differences was 9.8 percentage points (95% CI, 4.5 to 15.2) among women living in the areas with the highest quartile of educational attainment versus 4.3 percentage points (95% CI, 0.2 to 8.4) among women in the lowest quartile. As indicated by the difference-in-differences estimates, after the elimination of cost sharing, the rate of biennial mammography increased by 6.5 percentage points (95% CI, 3.7 to 9.4) for white women and 8.4 percentage points (95% CI, 2.5 to 14.4) for black women but was almost unchanged for Hispanic women (0.4 percentage points; 95% CI, −7.3 to 8.1).\n\nCONCLUSIONS\nThe elimination of cost sharing for screening mammography under the ACA was associated with an increase in rates of use of this service among older women for whom screening is recommended. The effect was attenuated among women living in areas with lower educational attainment and was negligible among Hispanic women. (Funded by the National Institute on Aging.)","DOI":"10.1056/NEJMsa1706808","ISSN":"0028-4793","note":"PMID: 29342379\nPMCID: PMC5842919","journalAbbreviation":"N Engl J Med","author":[{"family":"Trivedi","given":"Amal N."},{"family":"Leyva","given":"Bryan"},{"family":"Lee","given":"Yoojin"},{"family":"Panagiotou","given":"Orestis A."},{"family":"Dahabreh","given":"Issa J."}],"issued":{"date-parts":[["2018",1,18]]}}},{"id":3253,"uris":["http://zotero.org/groups/327042/items/BBTEE3TI"],"uri":["http://zotero.org/groups/327042/items/BBTEE3TI"],"itemData":{"id":3253,"type":"article-journal","title":"Effect of a copayment on use of the emergency department in a health maintenance organization","container-title":"The New England Journal of Medicine","page":"635-641","volume":"334","issue":"10","source":"PubMed","abstract":"BACKGROUND: Use of the emergency department for nonemergency care is frequent and costly. We studied the effect of a copayment on emergency department use in a group-model health maintenance organization (HMO).\nMETHODS: We examined the use of the emergency department in 1992 and 1993 by 30,276 subjects who ranged in age from 1 to 63 years at the start of the study and belonged to the Kaiser Permanente HMO in northern California. We assessed their use of various HMO services and their clinical outcomes before and after the introduction of a copayment of $25 to $35 for using the emergency department. This copayment group was compared with two randomly selected control groups not affected by the copayment. One control group, with 60,408 members, was matched for age, sex, and area of residence to the copayment group. The second, with 37,539 members, was matched for these factors and also for the type of employer.\nRESULTS: After adjustment for age, sex, socioeconomic status, and use of the emergency department in 1992, the decline in the number of visits in 1993 was 14.6 percentage points greater in the copayment group than in either control group (P&lt;0.001 for each comparison). Visits for urgent care did not increase among subjects in any stratum defined by age and sex, and neither did the number of outpatient visits by adults and children. The decline in emergency visits for presenting conditions classified as \"always an emergency\" was small and not significant. For conditions classified as \"often an emergency\". \"sometimes not an emergency\", or \"often not an emergency\", the declines in the use of the emergency department were larger and statistically significant, and they increased with decreasing severity of the presenting condition. Although our ability to detect any adverse effects of the copayment was limited, there was no suggestion of excess adverse events in the copayment group, such as increases in mortality or in the number of potentially avoidable hospitalizations.\nCONCLUSIONS: Among members of an HMO, the introduction of a small copayment for the use of the emergency department was associated with a decline of about 15 percent in the use of that department, mostly among patients with conditions considered likely not to present an emergency.","DOI":"10.1056/NEJM199603073341006","ISSN":"0028-4793","note":"PMID: 8592528","journalAbbreviation":"N. Engl. J. Med.","language":"eng","author":[{"family":"Selby","given":"J. V."},{"family":"Fireman","given":"B. H."},{"family":"Swain","given":"B. E."}],"issued":{"date-parts":[["1996",3,7]]}}}],"schema":"https://github.com/citation-style-language/schema/raw/master/csl-citation.json"} </w:instrText>
      </w:r>
      <w:r w:rsidR="00F85D8B">
        <w:rPr>
          <w:rFonts w:cs="Arial"/>
          <w:bCs/>
          <w:lang w:bidi="en-US"/>
        </w:rPr>
        <w:fldChar w:fldCharType="separate"/>
      </w:r>
      <w:r w:rsidR="002A4495" w:rsidRPr="002A4495">
        <w:rPr>
          <w:rFonts w:cs="Arial"/>
          <w:szCs w:val="24"/>
          <w:vertAlign w:val="superscript"/>
        </w:rPr>
        <w:t>14,15</w:t>
      </w:r>
      <w:r w:rsidR="00F85D8B">
        <w:rPr>
          <w:rFonts w:cs="Arial"/>
          <w:bCs/>
          <w:lang w:bidi="en-US"/>
        </w:rPr>
        <w:fldChar w:fldCharType="end"/>
      </w:r>
      <w:r w:rsidR="00F85D8B">
        <w:rPr>
          <w:rFonts w:cs="Arial"/>
          <w:bCs/>
          <w:lang w:bidi="en-US"/>
        </w:rPr>
        <w:t xml:space="preserve"> </w:t>
      </w:r>
      <w:r w:rsidR="00374B39" w:rsidRPr="00271AA3">
        <w:rPr>
          <w:rFonts w:cs="Arial"/>
          <w:bCs/>
          <w:lang w:bidi="en-US"/>
        </w:rPr>
        <w:t xml:space="preserve">to examine the </w:t>
      </w:r>
      <w:r w:rsidR="002A4495">
        <w:rPr>
          <w:rFonts w:cs="Arial"/>
          <w:bCs/>
          <w:lang w:bidi="en-US"/>
        </w:rPr>
        <w:t xml:space="preserve">differential </w:t>
      </w:r>
      <w:r w:rsidR="00374B39" w:rsidRPr="00271AA3">
        <w:rPr>
          <w:rFonts w:cs="Arial"/>
          <w:bCs/>
          <w:lang w:bidi="en-US"/>
        </w:rPr>
        <w:t xml:space="preserve">impact of </w:t>
      </w:r>
      <w:r w:rsidR="002A4495">
        <w:rPr>
          <w:rFonts w:cs="Arial"/>
          <w:bCs/>
          <w:lang w:bidi="en-US"/>
        </w:rPr>
        <w:t xml:space="preserve">changes in cost-sharing within </w:t>
      </w:r>
      <w:r w:rsidR="00374B39" w:rsidRPr="00271AA3">
        <w:rPr>
          <w:rFonts w:cs="Arial"/>
          <w:bCs/>
          <w:lang w:bidi="en-US"/>
        </w:rPr>
        <w:t>population</w:t>
      </w:r>
      <w:r w:rsidR="00F85D8B">
        <w:rPr>
          <w:rFonts w:cs="Arial"/>
          <w:bCs/>
          <w:lang w:bidi="en-US"/>
        </w:rPr>
        <w:t xml:space="preserve"> subgroups</w:t>
      </w:r>
      <w:r w:rsidR="002A4495">
        <w:rPr>
          <w:rFonts w:cs="Arial"/>
          <w:bCs/>
          <w:lang w:bidi="en-US"/>
        </w:rPr>
        <w:t>.</w:t>
      </w:r>
      <w:r w:rsidR="00374B39" w:rsidRPr="00271AA3">
        <w:rPr>
          <w:rFonts w:cs="Arial"/>
          <w:bCs/>
          <w:lang w:bidi="en-US"/>
        </w:rPr>
        <w:t xml:space="preserve"> </w:t>
      </w:r>
      <w:r w:rsidR="002A4495">
        <w:rPr>
          <w:rFonts w:cs="Arial"/>
          <w:bCs/>
          <w:lang w:bidi="en-US"/>
        </w:rPr>
        <w:t>We linked to census tract-level data from the 2008-2012 American Community Survey</w:t>
      </w:r>
      <w:r w:rsidR="00813CF4">
        <w:rPr>
          <w:rFonts w:cs="Arial"/>
          <w:bCs/>
          <w:lang w:bidi="en-US"/>
        </w:rPr>
        <w:t xml:space="preserve"> (ACS)</w:t>
      </w:r>
      <w:bookmarkStart w:id="6" w:name="_Hlk9143546"/>
      <w:r w:rsidR="002A4495">
        <w:rPr>
          <w:rFonts w:cs="Arial"/>
          <w:bCs/>
          <w:lang w:bidi="en-US"/>
        </w:rPr>
        <w:fldChar w:fldCharType="begin"/>
      </w:r>
      <w:r w:rsidR="007C6E15">
        <w:rPr>
          <w:rFonts w:cs="Arial"/>
          <w:bCs/>
          <w:lang w:bidi="en-US"/>
        </w:rPr>
        <w:instrText xml:space="preserve"> ADDIN ZOTERO_ITEM CSL_CITATION {"citationID":"szKBwSOS","properties":{"formattedCitation":"\\super 16,17\\nosupersub{}","plainCitation":"16,17","dontUpdate":true,"noteIndex":0},"citationItems":[{"id":12432,"uris":["http://zotero.org/groups/327042/items/K2CKEWFF"],"uri":["http://zotero.org/groups/327042/items/K2CKEWFF"],"itemData":{"id":12432,"type":"webpage","title":"American Community Survey (ACS)","abstract":"The American Community Survey is the premier source for information about America's changing population, housing and workforce.","URL":"https://www.census.gov/programs-surveys/acs","language":"EN-US","author":[{"family":"US Census Bureau","given":""}],"accessed":{"date-parts":[["2019",5,12]]}}},{"id":10564,"uris":["http://zotero.org/groups/444755/items/3EAPZUGK"],"uri":["http://zotero.org/groups/444755/items/3EAPZUGK"],"itemData":{"id":10564,"type":"article-journal","title":"Race/ethnicity, gender, and monitoring socioeconomic gradients in health: a comparison of area-based socioeconomic measures—the public health disparities geocoding project","container-title":"American journal of public health","page":"1655–1671","volume":"93","issue":"10","source":"Google Scholar","title-short":"Race/ethnicity, gender, and monitoring socioeconomic gradients in health","author":[{"family":"Krieger","given":"Nancy"},{"family":"Chen","given":"Jarvis T."},{"family":"Waterman","given":"Pamela D."},{"family":"Rehkopf","given":"David H."},{"family":"Subramanian","given":"S. V."}],"issued":{"date-parts":[["2003"]]}}}],"schema":"https://github.com/citation-style-language/schema/raw/master/csl-citation.json"} </w:instrText>
      </w:r>
      <w:r w:rsidR="002A4495">
        <w:rPr>
          <w:rFonts w:cs="Arial"/>
          <w:bCs/>
          <w:lang w:bidi="en-US"/>
        </w:rPr>
        <w:fldChar w:fldCharType="separate"/>
      </w:r>
      <w:r w:rsidR="002A4495" w:rsidRPr="002A4495">
        <w:rPr>
          <w:rFonts w:cs="Arial"/>
          <w:szCs w:val="24"/>
          <w:vertAlign w:val="superscript"/>
        </w:rPr>
        <w:t>16</w:t>
      </w:r>
      <w:r w:rsidR="00813CF4">
        <w:rPr>
          <w:rFonts w:cs="Arial"/>
          <w:szCs w:val="24"/>
          <w:vertAlign w:val="superscript"/>
        </w:rPr>
        <w:t xml:space="preserve"> </w:t>
      </w:r>
      <w:r w:rsidR="002A4495" w:rsidRPr="002A4495">
        <w:rPr>
          <w:rFonts w:cs="Arial"/>
          <w:szCs w:val="24"/>
          <w:vertAlign w:val="superscript"/>
        </w:rPr>
        <w:t>,17</w:t>
      </w:r>
      <w:r w:rsidR="002A4495">
        <w:rPr>
          <w:rFonts w:cs="Arial"/>
          <w:bCs/>
          <w:lang w:bidi="en-US"/>
        </w:rPr>
        <w:fldChar w:fldCharType="end"/>
      </w:r>
      <w:bookmarkEnd w:id="6"/>
      <w:r w:rsidR="002A4495">
        <w:rPr>
          <w:rFonts w:cs="Arial"/>
          <w:bCs/>
          <w:lang w:bidi="en-US"/>
        </w:rPr>
        <w:t xml:space="preserve"> to create measures of neighborhood </w:t>
      </w:r>
      <w:r w:rsidR="00CF121F">
        <w:rPr>
          <w:rFonts w:cs="Arial"/>
          <w:bCs/>
          <w:lang w:bidi="en-US"/>
        </w:rPr>
        <w:t>poverty</w:t>
      </w:r>
      <w:r w:rsidR="005114AA">
        <w:rPr>
          <w:rFonts w:cs="Arial"/>
          <w:bCs/>
          <w:lang w:bidi="en-US"/>
        </w:rPr>
        <w:t xml:space="preserve">, defined as </w:t>
      </w:r>
      <w:r w:rsidR="005114AA">
        <w:rPr>
          <w:rFonts w:cs="Arial"/>
        </w:rPr>
        <w:t>&lt;5%, 5.0-9.9%, 10.0-24.9%, ≥25.0%</w:t>
      </w:r>
      <w:r w:rsidR="005114AA">
        <w:rPr>
          <w:rFonts w:cs="Arial"/>
          <w:bCs/>
          <w:lang w:bidi="en-US"/>
        </w:rPr>
        <w:t xml:space="preserve"> </w:t>
      </w:r>
      <w:r w:rsidR="002A4495">
        <w:rPr>
          <w:rFonts w:cs="Arial"/>
          <w:bCs/>
          <w:lang w:bidi="en-US"/>
        </w:rPr>
        <w:t xml:space="preserve">of households </w:t>
      </w:r>
      <w:r w:rsidR="00FA2D89">
        <w:rPr>
          <w:rFonts w:cs="Arial"/>
          <w:bCs/>
          <w:lang w:bidi="en-US"/>
        </w:rPr>
        <w:t xml:space="preserve">living </w:t>
      </w:r>
      <w:r w:rsidR="002A4495">
        <w:rPr>
          <w:rFonts w:cs="Arial"/>
          <w:bCs/>
          <w:lang w:bidi="en-US"/>
        </w:rPr>
        <w:t>below the US Department of Health and Human Services federal poverty threshold</w:t>
      </w:r>
      <w:r w:rsidR="005114AA">
        <w:rPr>
          <w:rFonts w:cs="Arial"/>
          <w:bCs/>
          <w:lang w:bidi="en-US"/>
        </w:rPr>
        <w:t>,</w:t>
      </w:r>
      <w:r w:rsidR="00FA2D89">
        <w:rPr>
          <w:rFonts w:cs="Arial"/>
          <w:bCs/>
          <w:lang w:bidi="en-US"/>
        </w:rPr>
        <w:fldChar w:fldCharType="begin"/>
      </w:r>
      <w:r w:rsidR="007C6E15">
        <w:rPr>
          <w:rFonts w:cs="Arial"/>
          <w:bCs/>
          <w:lang w:bidi="en-US"/>
        </w:rPr>
        <w:instrText xml:space="preserve"> ADDIN ZOTERO_ITEM CSL_CITATION {"citationID":"UL8d41wb","properties":{"formattedCitation":"\\super 18\\nosupersub{}","plainCitation":"18","noteIndex":0},"citationItems":[{"id":12434,"uris":["http://zotero.org/groups/327042/items/JHT6RUEQ"],"uri":["http://zotero.org/groups/327042/items/JHT6RUEQ"],"itemData":{"id":12434,"type":"webpage","title":"Poverty Guidelines","container-title":"ASPE","abstract":"U.S. Federal Poverty Guidelines Used to Determine Financial Eligibility for Certain Federal Programs  HHS Poverty Guidelines for 2019 The 2019 poverty guidelines are in effect as of January 11, 2019. The Federal Register notice for the 2019 Poverty Guidelines was published February 1, 2019.","URL":"https://aspe.hhs.gov/poverty-guidelines","language":"en","author":[{"family":"U.S. Department of Health &amp; Human Services","given":""}],"issued":{"date-parts":[["2015",11,23]]},"accessed":{"date-parts":[["2019",5,12]]}}}],"schema":"https://github.com/citation-style-language/schema/raw/master/csl-citation.json"} </w:instrText>
      </w:r>
      <w:r w:rsidR="00FA2D89">
        <w:rPr>
          <w:rFonts w:cs="Arial"/>
          <w:bCs/>
          <w:lang w:bidi="en-US"/>
        </w:rPr>
        <w:fldChar w:fldCharType="separate"/>
      </w:r>
      <w:r w:rsidR="00FA2D89" w:rsidRPr="00FA2D89">
        <w:rPr>
          <w:rFonts w:cs="Arial"/>
          <w:szCs w:val="24"/>
          <w:vertAlign w:val="superscript"/>
        </w:rPr>
        <w:t>18</w:t>
      </w:r>
      <w:r w:rsidR="00FA2D89">
        <w:rPr>
          <w:rFonts w:cs="Arial"/>
          <w:bCs/>
          <w:lang w:bidi="en-US"/>
        </w:rPr>
        <w:fldChar w:fldCharType="end"/>
      </w:r>
      <w:r w:rsidR="005114AA">
        <w:rPr>
          <w:rFonts w:cs="Arial"/>
          <w:bCs/>
          <w:lang w:bidi="en-US"/>
        </w:rPr>
        <w:t xml:space="preserve"> which we stratified for subgroup analysis as </w:t>
      </w:r>
      <w:r w:rsidR="00DC5F95">
        <w:rPr>
          <w:rFonts w:cs="Arial"/>
          <w:bCs/>
          <w:lang w:bidi="en-US"/>
        </w:rPr>
        <w:t xml:space="preserve">lower income </w:t>
      </w:r>
      <w:r w:rsidR="005114AA">
        <w:rPr>
          <w:rFonts w:cs="Arial"/>
          <w:bCs/>
          <w:lang w:bidi="en-US"/>
        </w:rPr>
        <w:lastRenderedPageBreak/>
        <w:t xml:space="preserve">(&lt;10.0%) vs. </w:t>
      </w:r>
      <w:r w:rsidR="00DC5F95">
        <w:rPr>
          <w:rFonts w:cs="Arial"/>
          <w:bCs/>
          <w:lang w:bidi="en-US"/>
        </w:rPr>
        <w:t xml:space="preserve">higher income </w:t>
      </w:r>
      <w:r w:rsidR="005114AA">
        <w:rPr>
          <w:rFonts w:cs="Arial"/>
          <w:bCs/>
          <w:lang w:bidi="en-US"/>
        </w:rPr>
        <w:t>(≥10.0%).</w:t>
      </w:r>
      <w:r w:rsidR="00374B39" w:rsidRPr="00271AA3">
        <w:rPr>
          <w:rFonts w:cs="Arial"/>
          <w:bCs/>
          <w:lang w:bidi="en-US"/>
        </w:rPr>
        <w:t xml:space="preserve">  We also used </w:t>
      </w:r>
      <w:r w:rsidR="00813CF4">
        <w:rPr>
          <w:rFonts w:cs="Arial"/>
          <w:bCs/>
          <w:lang w:bidi="en-US"/>
        </w:rPr>
        <w:t xml:space="preserve">ACS data </w:t>
      </w:r>
      <w:r w:rsidR="00374B39" w:rsidRPr="00271AA3">
        <w:rPr>
          <w:rFonts w:cs="Arial"/>
          <w:bCs/>
          <w:lang w:bidi="en-US"/>
        </w:rPr>
        <w:t xml:space="preserve">to classify members as </w:t>
      </w:r>
      <w:r w:rsidR="00813CF4">
        <w:rPr>
          <w:rFonts w:cs="Arial"/>
          <w:bCs/>
          <w:lang w:bidi="en-US"/>
        </w:rPr>
        <w:t xml:space="preserve">living in predominantly (≥75% of residents) </w:t>
      </w:r>
      <w:r w:rsidR="00374B39" w:rsidRPr="00271AA3">
        <w:rPr>
          <w:rFonts w:cs="Arial"/>
          <w:bCs/>
          <w:lang w:bidi="en-US"/>
        </w:rPr>
        <w:t xml:space="preserve">white, black, </w:t>
      </w:r>
      <w:r w:rsidR="00813CF4">
        <w:rPr>
          <w:rFonts w:cs="Arial"/>
          <w:bCs/>
          <w:lang w:bidi="en-US"/>
        </w:rPr>
        <w:t xml:space="preserve">or </w:t>
      </w:r>
      <w:r w:rsidR="00374B39" w:rsidRPr="00271AA3">
        <w:rPr>
          <w:rFonts w:cs="Arial"/>
          <w:bCs/>
          <w:lang w:bidi="en-US"/>
        </w:rPr>
        <w:t>Hispanic</w:t>
      </w:r>
      <w:r w:rsidR="00813CF4">
        <w:rPr>
          <w:rFonts w:cs="Arial"/>
          <w:bCs/>
          <w:lang w:bidi="en-US"/>
        </w:rPr>
        <w:t xml:space="preserve"> neighborhoods</w:t>
      </w:r>
      <w:r>
        <w:rPr>
          <w:rFonts w:cs="Arial"/>
          <w:bCs/>
          <w:lang w:bidi="en-US"/>
        </w:rPr>
        <w:t>;</w:t>
      </w:r>
      <w:r w:rsidR="00813CF4">
        <w:rPr>
          <w:rFonts w:cs="Arial"/>
          <w:bCs/>
          <w:lang w:bidi="en-US"/>
        </w:rPr>
        <w:t xml:space="preserve"> </w:t>
      </w:r>
      <w:r>
        <w:rPr>
          <w:rFonts w:cs="Arial"/>
          <w:bCs/>
          <w:lang w:bidi="en-US"/>
        </w:rPr>
        <w:t>u</w:t>
      </w:r>
      <w:r w:rsidR="00813CF4">
        <w:rPr>
          <w:rFonts w:cs="Arial"/>
          <w:bCs/>
          <w:lang w:bidi="en-US"/>
        </w:rPr>
        <w:t>sing</w:t>
      </w:r>
      <w:r>
        <w:rPr>
          <w:rFonts w:cs="Arial"/>
          <w:bCs/>
          <w:lang w:bidi="en-US"/>
        </w:rPr>
        <w:t xml:space="preserve"> </w:t>
      </w:r>
      <w:r w:rsidR="005114AA">
        <w:rPr>
          <w:rFonts w:cs="Arial"/>
          <w:bCs/>
          <w:lang w:bidi="en-US"/>
        </w:rPr>
        <w:t xml:space="preserve">data </w:t>
      </w:r>
      <w:r>
        <w:rPr>
          <w:rFonts w:cs="Arial"/>
          <w:bCs/>
          <w:lang w:bidi="en-US"/>
        </w:rPr>
        <w:t>provided by our vendor</w:t>
      </w:r>
      <w:r w:rsidR="001D116C">
        <w:rPr>
          <w:rFonts w:cs="Arial"/>
          <w:bCs/>
          <w:lang w:bidi="en-US"/>
        </w:rPr>
        <w:t xml:space="preserve"> </w:t>
      </w:r>
      <w:r w:rsidR="001D116C" w:rsidRPr="000B014C">
        <w:rPr>
          <w:rFonts w:cs="Arial"/>
        </w:rPr>
        <w:t xml:space="preserve">from the </w:t>
      </w:r>
      <w:r w:rsidR="007C6E15">
        <w:rPr>
          <w:rFonts w:cs="Arial"/>
        </w:rPr>
        <w:t xml:space="preserve">Ethnic Technologies </w:t>
      </w:r>
      <w:r w:rsidR="001D116C" w:rsidRPr="000B014C">
        <w:rPr>
          <w:rFonts w:cs="Arial"/>
        </w:rPr>
        <w:t>E-Tech system</w:t>
      </w:r>
      <w:r>
        <w:rPr>
          <w:rFonts w:cs="Arial"/>
          <w:bCs/>
          <w:lang w:bidi="en-US"/>
        </w:rPr>
        <w:t>,</w:t>
      </w:r>
      <w:r w:rsidR="007C6E15">
        <w:rPr>
          <w:rFonts w:cs="Arial"/>
          <w:bCs/>
          <w:lang w:bidi="en-US"/>
        </w:rPr>
        <w:fldChar w:fldCharType="begin"/>
      </w:r>
      <w:r w:rsidR="007C6E15">
        <w:rPr>
          <w:rFonts w:cs="Arial"/>
          <w:bCs/>
          <w:lang w:bidi="en-US"/>
        </w:rPr>
        <w:instrText xml:space="preserve"> ADDIN ZOTERO_ITEM CSL_CITATION {"citationID":"4X3xVcg6","properties":{"formattedCitation":"\\super 19\\nosupersub{}","plainCitation":"19","noteIndex":0},"citationItems":[{"id":12744,"uris":["http://zotero.org/groups/327042/items/6VXQZU4W"],"uri":["http://zotero.org/groups/327042/items/6VXQZU4W"],"itemData":{"id":12744,"type":"webpage","title":"Ethnic Technologies Frequently Asked Questions","container-title":"Ethnic Technologies","URL":"https://www.ethnictechnologies.com/faq","language":"en-US","accessed":{"date-parts":[["2019",8,4]]}}}],"schema":"https://github.com/citation-style-language/schema/raw/master/csl-citation.json"} </w:instrText>
      </w:r>
      <w:r w:rsidR="007C6E15">
        <w:rPr>
          <w:rFonts w:cs="Arial"/>
          <w:bCs/>
          <w:lang w:bidi="en-US"/>
        </w:rPr>
        <w:fldChar w:fldCharType="separate"/>
      </w:r>
      <w:r w:rsidR="007C6E15" w:rsidRPr="00547EE3">
        <w:rPr>
          <w:rFonts w:cs="Arial"/>
          <w:szCs w:val="24"/>
          <w:vertAlign w:val="superscript"/>
        </w:rPr>
        <w:t>19</w:t>
      </w:r>
      <w:r w:rsidR="007C6E15">
        <w:rPr>
          <w:rFonts w:cs="Arial"/>
          <w:bCs/>
          <w:lang w:bidi="en-US"/>
        </w:rPr>
        <w:fldChar w:fldCharType="end"/>
      </w:r>
      <w:r>
        <w:rPr>
          <w:rFonts w:cs="Arial"/>
          <w:bCs/>
          <w:lang w:bidi="en-US"/>
        </w:rPr>
        <w:t xml:space="preserve"> we </w:t>
      </w:r>
      <w:r w:rsidR="00374B39" w:rsidRPr="00271AA3">
        <w:rPr>
          <w:rFonts w:cs="Arial"/>
          <w:bCs/>
          <w:lang w:bidi="en-US"/>
        </w:rPr>
        <w:t>supersed</w:t>
      </w:r>
      <w:r>
        <w:rPr>
          <w:rFonts w:cs="Arial"/>
          <w:bCs/>
          <w:lang w:bidi="en-US"/>
        </w:rPr>
        <w:t>ed</w:t>
      </w:r>
      <w:r w:rsidR="00374B39" w:rsidRPr="00271AA3">
        <w:rPr>
          <w:rFonts w:cs="Arial"/>
          <w:bCs/>
          <w:lang w:bidi="en-US"/>
        </w:rPr>
        <w:t xml:space="preserve"> </w:t>
      </w:r>
      <w:r>
        <w:rPr>
          <w:rFonts w:cs="Arial"/>
          <w:bCs/>
          <w:lang w:bidi="en-US"/>
        </w:rPr>
        <w:t>the neighborhood classification if a member’s surname was identifiable as</w:t>
      </w:r>
      <w:r w:rsidR="00374B39" w:rsidRPr="00271AA3">
        <w:rPr>
          <w:rFonts w:cs="Arial"/>
          <w:bCs/>
          <w:lang w:bidi="en-US"/>
        </w:rPr>
        <w:t xml:space="preserve"> Hispanic or Asian.</w:t>
      </w:r>
      <w:r>
        <w:rPr>
          <w:rFonts w:cs="Arial"/>
          <w:bCs/>
          <w:lang w:bidi="en-US"/>
        </w:rPr>
        <w:t xml:space="preserve"> </w:t>
      </w:r>
      <w:r w:rsidR="007804B3">
        <w:rPr>
          <w:rFonts w:cs="Arial"/>
          <w:bCs/>
          <w:lang w:bidi="en-US"/>
        </w:rPr>
        <w:t xml:space="preserve">A member not </w:t>
      </w:r>
      <w:r w:rsidR="001D116C">
        <w:rPr>
          <w:rFonts w:cs="Arial"/>
          <w:bCs/>
          <w:lang w:bidi="en-US"/>
        </w:rPr>
        <w:t>meeting criteria for</w:t>
      </w:r>
      <w:r w:rsidR="007804B3">
        <w:rPr>
          <w:rFonts w:cs="Arial"/>
          <w:bCs/>
          <w:lang w:bidi="en-US"/>
        </w:rPr>
        <w:t xml:space="preserve"> either approach was classified as living in a mixed neighborhood.  </w:t>
      </w:r>
      <w:r w:rsidR="00374B39" w:rsidRPr="00271AA3">
        <w:rPr>
          <w:rFonts w:cs="Arial"/>
          <w:bCs/>
          <w:lang w:bidi="en-US"/>
        </w:rPr>
        <w:t xml:space="preserve">This validated approach of combining census data </w:t>
      </w:r>
      <w:r>
        <w:rPr>
          <w:rFonts w:cs="Arial"/>
          <w:bCs/>
          <w:lang w:bidi="en-US"/>
        </w:rPr>
        <w:t xml:space="preserve">and surname </w:t>
      </w:r>
      <w:r w:rsidR="005F3FE0">
        <w:rPr>
          <w:rFonts w:cs="Arial"/>
          <w:bCs/>
          <w:lang w:bidi="en-US"/>
        </w:rPr>
        <w:t xml:space="preserve">attribution </w:t>
      </w:r>
      <w:r w:rsidR="00374B39" w:rsidRPr="00271AA3">
        <w:rPr>
          <w:rFonts w:cs="Arial"/>
          <w:bCs/>
          <w:lang w:bidi="en-US"/>
        </w:rPr>
        <w:t xml:space="preserve">has positive and negative predictive values of </w:t>
      </w:r>
      <w:r>
        <w:rPr>
          <w:rFonts w:cs="Arial"/>
          <w:bCs/>
          <w:lang w:bidi="en-US"/>
        </w:rPr>
        <w:t xml:space="preserve"> approximately </w:t>
      </w:r>
      <w:r w:rsidR="00374B39" w:rsidRPr="00271AA3">
        <w:rPr>
          <w:rFonts w:cs="Arial"/>
          <w:bCs/>
          <w:lang w:bidi="en-US"/>
        </w:rPr>
        <w:t>80 and 90 percent, respectively.</w:t>
      </w:r>
      <w:bookmarkStart w:id="7" w:name="_Hlk9143749"/>
      <w:r>
        <w:rPr>
          <w:rFonts w:cs="Arial"/>
          <w:bCs/>
          <w:lang w:bidi="en-US"/>
        </w:rPr>
        <w:fldChar w:fldCharType="begin"/>
      </w:r>
      <w:r w:rsidR="007C6E15">
        <w:rPr>
          <w:rFonts w:cs="Arial"/>
          <w:bCs/>
          <w:lang w:bidi="en-US"/>
        </w:rPr>
        <w:instrText xml:space="preserve"> ADDIN ZOTERO_ITEM CSL_CITATION {"citationID":"e7WByS5C","properties":{"unsorted":true,"formattedCitation":"\\super 20,21\\nosupersub{}","plainCitation":"20,21","noteIndex":0},"citationItems":[{"id":3203,"uris":["http://zotero.org/groups/327042/items/FJHF4X8Q"],"uri":["http://zotero.org/groups/327042/items/FJHF4X8Q"],"itemData":{"id":3203,"type":"article-journal","title":"Use of geocoding and surname analysis to estimate race and ethnicity","container-title":"Health Services Research","page":"1482-1500","volume":"41","issue":"4 Pt 1","source":"PubMed","abstract":"OBJECTIVE: To review two indirect methods, geocoding and surname analysis, for estimating race/ethnicity as a means for health plans to assess disparities in care.\nSTUDY DESIGN: Review of published articles and unpublished data on the use of geocoding and surname analyses.\nPRINCIPAL FINDINGS: Few published studies have evaluated use of geocoding to estimate racial and ethnic characteristics of a patient population or to assess disparities in health care. Three of four studies showed similar estimates of the proportion of blacks and one showed nearly identical estimates of racial disparities, regardless of whether indirect or more direct measures (e.g., death certificate or CMS data) were used. However, accuracy depended on racial segregation levels in the population and region assessed and geocoding was unreliable for identifying Hispanics and Asians/Pacific Islanders. Similarly, several studies suggest surname analyses produces reasonable estimates of whether an enrollee is Hispanic or Asian/Pacific Islander and can identify disparities in care. However, accuracy depends on the concentrations of Asians or Hispanics in areas assessed. It is less accurate for women and more acculturated and higher SES persons due intermarriage, name changes, and adoption. Surname analysis is not accurate for identifying African Americans. Recent unpublished analyses suggest plans can successfully use a combined geocoding/surname analyses approach to identify disparities in care in most regions. Refinements based on Bayesian methods may make geocoding/surname analyses appropriate for use in areas where the accuracy is currently poor, but validation of these preliminary results is needed.\nCONCLUSIONS: Geocoding and surname analysis show promise for estimating racial/ethnic health plan composition of enrollees when direct data on major racial and ethnic groups are lacking. These data can be used to assess disparities in care, pending availability of self-reported race/ethnicity data.","DOI":"10.1111/j.1475-6773.2006.00551.x","ISSN":"0017-9124","note":"PMID: 16899020\nPMCID: PMC1797082","journalAbbreviation":"Health Serv Res","language":"eng","author":[{"family":"Fiscella","given":"Kevin"},{"family":"Fremont","given":"Allen M."}],"issued":{"date-parts":[["2006",8]]}}},{"id":12439,"uris":["http://zotero.org/groups/327042/items/KSHSDCD3"],"uri":["http://zotero.org/groups/327042/items/KSHSDCD3"],"itemData":{"id":12439,"type":"article-journal","title":"A new method for estimating race/ethnicity and associated disparities where administrative records lack self-reported race/ethnicity","container-title":"Health Services Research","page":"1722-1736","volume":"43","issue":"5 Pt 1","source":"PubMed","abstract":"OBJECTIVE: To efficiently estimate race/ethnicity using administrative records to facilitate health care organizations' efforts to address disparities when self-reported race/ethnicity data are unavailable.\nDATA SOURCE: Surname, geocoded residential address, and self-reported race/ethnicity from 1,973,362 enrollees of a national health plan.\nSTUDY DESIGN: We compare the accuracy of a Bayesian approach to combining surname and geocoded information to estimate race/ethnicity to two other indirect methods: a non-Bayesian method that combines surname and geocoded information and geocoded information alone. We assess accuracy with respect to estimating (1) individual race/ethnicity and (2) overall racial/ethnic prevalence in a population.\nPRINCIPAL FINDINGS: The Bayesian approach was 74 percent more efficient than geocoding alone in estimating individual race/ethnicity and 56 percent more efficient in estimating the prevalence of racial/ethnic groups, outperforming the non-Bayesian hybrid on both measures. The non-Bayesian hybrid was more efficient than geocoding alone in estimating individual race/ethnicity but less efficient with respect to prevalence (p&lt;.05 for all differences).\nCONCLUSIONS: The Bayesian Surname and Geocoding (BSG) method presented here efficiently integrates administrative data, substantially improving upon what is possible with a single source or from other hybrid methods; it offers a powerful tool that can help health care organizations address disparities until self-reported race/ethnicity data are available.","DOI":"10.1111/j.1475-6773.2008.00854.x","ISSN":"1475-6773","note":"PMID: 18479410\nPMCID: PMC2653886","journalAbbreviation":"Health Serv Res","language":"eng","author":[{"family":"Elliott","given":"Marc N."},{"family":"Fremont","given":"Allen"},{"family":"Morrison","given":"Peter A."},{"family":"Pantoja","given":"Philip"},{"family":"Lurie","given":"Nicole"}],"issued":{"date-parts":[["2008",10]]}}}],"schema":"https://github.com/citation-style-language/schema/raw/master/csl-citation.json"} </w:instrText>
      </w:r>
      <w:r>
        <w:rPr>
          <w:rFonts w:cs="Arial"/>
          <w:bCs/>
          <w:lang w:bidi="en-US"/>
        </w:rPr>
        <w:fldChar w:fldCharType="separate"/>
      </w:r>
      <w:r w:rsidR="007C6E15" w:rsidRPr="00547EE3">
        <w:rPr>
          <w:rFonts w:cs="Arial"/>
          <w:szCs w:val="24"/>
          <w:vertAlign w:val="superscript"/>
        </w:rPr>
        <w:t>20,21</w:t>
      </w:r>
      <w:r>
        <w:rPr>
          <w:rFonts w:cs="Arial"/>
          <w:bCs/>
          <w:lang w:bidi="en-US"/>
        </w:rPr>
        <w:fldChar w:fldCharType="end"/>
      </w:r>
      <w:r>
        <w:rPr>
          <w:rFonts w:cs="Arial"/>
          <w:bCs/>
          <w:lang w:bidi="en-US"/>
        </w:rPr>
        <w:t xml:space="preserve"> </w:t>
      </w:r>
      <w:bookmarkEnd w:id="7"/>
      <w:r w:rsidR="00CF121F">
        <w:rPr>
          <w:rFonts w:cs="Arial"/>
          <w:bCs/>
          <w:lang w:bidi="en-US"/>
        </w:rPr>
        <w:t xml:space="preserve">We grouped patients classified as living in predominantly white neighborhoods vs. all others </w:t>
      </w:r>
      <w:r w:rsidR="005114AA">
        <w:rPr>
          <w:rFonts w:cs="Arial"/>
          <w:bCs/>
          <w:lang w:bidi="en-US"/>
        </w:rPr>
        <w:t xml:space="preserve">(nonwhite) </w:t>
      </w:r>
      <w:r w:rsidR="00CF121F">
        <w:rPr>
          <w:rFonts w:cs="Arial"/>
          <w:bCs/>
          <w:lang w:bidi="en-US"/>
        </w:rPr>
        <w:t>for subgroup analyses.</w:t>
      </w:r>
    </w:p>
    <w:p w14:paraId="75267983" w14:textId="64C02DBF" w:rsidR="00374B39" w:rsidRDefault="00374B39" w:rsidP="00374B39">
      <w:pPr>
        <w:spacing w:before="100" w:beforeAutospacing="1" w:after="100" w:afterAutospacing="1"/>
        <w:rPr>
          <w:rFonts w:cs="Arial"/>
          <w:bCs/>
          <w:lang w:bidi="en-US"/>
        </w:rPr>
      </w:pPr>
      <w:r w:rsidRPr="00271AA3">
        <w:rPr>
          <w:rFonts w:cs="Arial"/>
          <w:bCs/>
          <w:lang w:bidi="en-US"/>
        </w:rPr>
        <w:t xml:space="preserve">We used version 10 of the Johns Hopkins </w:t>
      </w:r>
      <w:r w:rsidR="0078298E" w:rsidRPr="0078298E">
        <w:rPr>
          <w:rFonts w:cs="Arial"/>
          <w:bCs/>
          <w:lang w:bidi="en-US"/>
        </w:rPr>
        <w:t xml:space="preserve">Adjusted Clinical Group® (ACG®) </w:t>
      </w:r>
      <w:r w:rsidRPr="00271AA3">
        <w:rPr>
          <w:rFonts w:cs="Arial"/>
          <w:bCs/>
          <w:lang w:bidi="en-US"/>
        </w:rPr>
        <w:t>System</w:t>
      </w:r>
      <w:bookmarkStart w:id="8" w:name="_Hlk9143840"/>
      <w:r w:rsidR="007804B3">
        <w:rPr>
          <w:rFonts w:cs="Arial"/>
          <w:bCs/>
          <w:lang w:bidi="en-US"/>
        </w:rPr>
        <w:fldChar w:fldCharType="begin"/>
      </w:r>
      <w:r w:rsidR="007C6E15">
        <w:rPr>
          <w:rFonts w:cs="Arial"/>
          <w:bCs/>
          <w:lang w:bidi="en-US"/>
        </w:rPr>
        <w:instrText xml:space="preserve"> ADDIN ZOTERO_ITEM CSL_CITATION {"citationID":"Fh1toC8w","properties":{"formattedCitation":"\\super 22\\uc0\\u8211{}24\\nosupersub{}","plainCitation":"22–24","noteIndex":0},"citationItems":[{"id":12442,"uris":["http://zotero.org/groups/327042/items/MYAPQJ37"],"uri":["http://zotero.org/groups/327042/items/MYAPQJ37"],"itemData":{"id":12442,"type":"webpage","title":"Johns Hopkins ACG® System","URL":"https://www.hopkinsacg.org/","accessed":{"date-parts":[["2019",5,12]]}}},{"id":3093,"uris":["http://zotero.org/groups/327042/items/HQI7RGAC"],"uri":["http://zotero.org/groups/327042/items/HQI7RGAC"],"itemData":{"id":3093,"type":"article-journal","title":"Johns Hopkins Ambulatory Care Groups (ACGs). A case-mix system for UR, QA and capitation adjustment","container-title":"HMO practice / HMO Group","page":"13-19","volume":"6","issue":"1","source":"NCBI PubMed","abstract":"This paper describes a new ambulatory case-mix system developed at The Johns Hopkins University and known as Ambulatory Care Groups (ACGs). ACGs categorize a person into one of 51 categories based on the diseases and conditions for which they received treatment over a period of time, such as a year. ACGs can be used to describe the \"illness-burden\" of a population and are up to ten times more predictive of ambulatory care resource use than age and sex alone. ACGs can be determined using a computerized \"grouper\" software package based on ICD-9-CM diagnosis codes and demographic information presently found in virtually all claims or encounter data systems. They were developed and tested at four HMOs and a state's Medicaid program. This paper discusses the potential application of ACGs to analysis, financing, and management of ambulatory care, specifically as it relates to utilization review (UR), quality assurance (QA) and the adjustment of capitation payment within managed care settings.","ISSN":"0891-6624","note":"PMID: 10119658","journalAbbreviation":"HMO Pract","language":"eng","author":[{"family":"Weiner","given":"J. P."},{"family":"Starfield","given":"B. H."},{"family":"Lieberman","given":"R. N."}],"issued":{"date-parts":[["1992",3]]}}},{"id":3216,"uris":["http://zotero.org/groups/327042/items/C5635TD6"],"uri":["http://zotero.org/groups/327042/items/C5635TD6"],"itemData":{"id":3216,"type":"article-journal","title":"Assessing population health care need using a claims-based ACG morbidity measure: a validation analysis in the Province of Manitoba","container-title":"Health Services Research","page":"1345-1364","volume":"37","issue":"5","source":"PubMed","abstract":"OBJECTIVES: To assess the ability of an Adjusted Clinical Group (ACG)-based morbidity measure to assess the overall health service needs of populations. Data Sources/Study Setting. Three population-based secondary data sources: registration and health service utilization data from fiscal year 1995-1996; mortality data from vital statistics reports from 1996-1999; and Canadian census data. The study included all continuously enrolled residents in the universal health care plan in Manitoba.\nSTUDY DESIGN: Using 60 small geographic areas as the units of analysis, we compared a population-based \"ACG morbidity index,\" derived from individual ACG assignments in fiscal year 1995-1996, with the standardized mortality ratio (ages &lt; 75 years) for 1996-1999. Key variables included a population-based socioeconomic status measure and age- and sex-standardized physician utilization ratios.\nDATA EXTRACTION METHODS: The ACGs were assigned based on the complement of diagnoses assigned to persons on physician claims and hospital separation abstracts. The ACG index was created by weighting the ACGs using average health care expenditures.\nPRINCIPAL FINDINGS: The ACG morbidity index had a strong positive linear relationship with the subsequent rate of premature death in the small areas of Manitoba. The ACG index was able to explain the majority of the relationships between mortality and both socioeconomic status and physician utilization.\nCONCLUSIONS: In Manitoba, ACGs are closely related to premature mortality, commonly accepted as the best single indicator for health service need in populations. Issues in applying ACGs in settings where needs adjustment is a primary objective are discussed.","ISSN":"0017-9124","note":"PMID: 12479500\nPMCID: PMC1464032","title-short":"Assessing population health care need using a claims-based ACG morbidity measure","journalAbbreviation":"Health Serv Res","language":"eng","author":[{"family":"Reid","given":"Robert J."},{"family":"Roos","given":"Noralou P."},{"family":"MacWilliam","given":"Leonard"},{"family":"Frohlich","given":"Norman"},{"family":"Black","given":"Charlyn"}],"issued":{"date-parts":[["2002",10]]}}}],"schema":"https://github.com/citation-style-language/schema/raw/master/csl-citation.json"} </w:instrText>
      </w:r>
      <w:r w:rsidR="007804B3">
        <w:rPr>
          <w:rFonts w:cs="Arial"/>
          <w:bCs/>
          <w:lang w:bidi="en-US"/>
        </w:rPr>
        <w:fldChar w:fldCharType="separate"/>
      </w:r>
      <w:r w:rsidR="007C6E15" w:rsidRPr="00547EE3">
        <w:rPr>
          <w:rFonts w:cs="Arial"/>
          <w:szCs w:val="24"/>
          <w:vertAlign w:val="superscript"/>
        </w:rPr>
        <w:t>22–24</w:t>
      </w:r>
      <w:r w:rsidR="007804B3">
        <w:rPr>
          <w:rFonts w:cs="Arial"/>
          <w:bCs/>
          <w:lang w:bidi="en-US"/>
        </w:rPr>
        <w:fldChar w:fldCharType="end"/>
      </w:r>
      <w:bookmarkEnd w:id="8"/>
      <w:r w:rsidR="007804B3">
        <w:rPr>
          <w:rFonts w:cs="Arial"/>
          <w:bCs/>
          <w:lang w:bidi="en-US"/>
        </w:rPr>
        <w:t xml:space="preserve"> and baseline claims data </w:t>
      </w:r>
      <w:r w:rsidRPr="00271AA3">
        <w:rPr>
          <w:rFonts w:cs="Arial"/>
          <w:bCs/>
          <w:lang w:bidi="en-US"/>
        </w:rPr>
        <w:t xml:space="preserve">to calculate members’ morbidity score.  The </w:t>
      </w:r>
      <w:r w:rsidR="00CF3944">
        <w:rPr>
          <w:rFonts w:cs="Arial"/>
          <w:bCs/>
          <w:lang w:bidi="en-US"/>
        </w:rPr>
        <w:t>extensively validated</w:t>
      </w:r>
      <w:r w:rsidR="00CF3944">
        <w:rPr>
          <w:rFonts w:cs="Arial"/>
          <w:bCs/>
          <w:lang w:bidi="en-US"/>
        </w:rPr>
        <w:fldChar w:fldCharType="begin"/>
      </w:r>
      <w:r w:rsidR="007C6E15">
        <w:rPr>
          <w:rFonts w:cs="Arial"/>
          <w:bCs/>
          <w:lang w:bidi="en-US"/>
        </w:rPr>
        <w:instrText xml:space="preserve"> ADDIN ZOTERO_ITEM CSL_CITATION {"citationID":"f61xpGRa","properties":{"unsorted":true,"formattedCitation":"\\super 25\\uc0\\u8211{}27,24\\nosupersub{}","plainCitation":"25–27,24","noteIndex":0},"citationItems":[{"id":3092,"uris":["http://zotero.org/groups/327042/items/GQNIU6QE"],"uri":["http://zotero.org/groups/327042/items/GQNIU6QE"],"itemData":{"id":3092,"type":"article-journal","title":"Development and application of a population-oriented measure of ambulatory care case-mix","container-title":"Medical Care","page":"452-472","volume":"29","issue":"5","source":"NCBI PubMed","abstract":"This article describes a new case-mix methodology applicable primarily to the ambulatory care sector. The Ambulatory Care Group (ACG) system provides a conceptually simple, statistically valid, and clinically relevant measure useful in predicting the utilization of ambulatory health services within a particular population group. ACGs are based on a person's demographic characteristics and their pattern of disease over an extended period of time, such as a year. Specifically, the ACG system is driven by a person's age, sex, and ICD-9-CM diagnoses assigned during patient-provider encounters; it does not require any special data beyond those collected routinely by insurance claims systems or encounter forms. The categorization scheme does not depend on the presence of specific diagnoses that may change over time; rather it is based on broad clusters of diagnoses and conditions. The presence or absence of each disease cluster, along with age and sex, are used to classify a person into one of 51 ACG categories. The ACG system has been developed and tested using computerized encounter and claims data from more than 160,000 continuous enrollees at four large HMOs and a state's Medicaid program. The ACG system can explain more than 50% of the variance in ambulatory resource use if used retrospectively and more than 20% if applied prospectively. This compares with 6% when age and sex alone are used. In addition to describing ACG development and validation, this article also explores some potential applications of the system for provider payment, quality assurance, utilization review, and health services research, particularly as it relates to capitated settings.","ISSN":"0025-7079","note":"PMID: 1902278","journalAbbreviation":"Med Care","language":"eng","author":[{"family":"Weiner","given":"J. P."},{"family":"Starfield","given":"B. H."},{"family":"Steinwachs","given":"D. M."},{"family":"Mumford","given":"L. M."}],"issued":{"date-parts":[["1991",5]]}}},{"id":12448,"uris":["http://zotero.org/groups/327042/items/GK4KQLU9"],"uri":["http://zotero.org/groups/327042/items/GK4KQLU9"],"itemData":{"id":12448,"type":"article-journal","title":"Application of the ambulatory care groups in the primary care of a European national health care system: does it work?","container-title":"Medical Care","page":"238-248","volume":"37","issue":"3","source":"PubMed","abstract":"BACKGROUND: Ambulatory Care Groups (ACGs), a US case-mix system that uses the patient as the unit of analysis, is particularly appropriate for health care systems in which physicians serve a defined list of patients.\nOBJECTIVE: To determine the extent to which the categorization of patients according to ACGs would account for the utilization of primary care services in a national health care system within the European Union.\nMETHODS: Of all subjects continuously assigned to 9 physicians from public primary health care centers in Bizkaia, Basque Country (Spain) over a 12-month period, those visited at least once (n = 9,093) were included. According to the subject's age, sex, and ICD-9-CM diagnoses assigned during a year of patient-provider encounters, patients were classified by means of the ACGs system.\nRESULTS: Multiple linear regression analyses indicated that age and sex did not explain more than 7.1% of the variance in annual visits made by adults and 25.7% by children to primary care physicians. However, the r2 adjusted to the ACGs model was 50% and 48%, respectively, and even higher, that is 58% and 64% for another component of the system, the Ambulatory Diagnostic Groups (ADGs).\nCONCLUSIONS: Those results support the inadequacy of using the patient's age and sex alone to estimate physicians' workload in the primary health setting and the need to consider morbidity categories. The ACGs case-mix system is a useful tool for incorporating patients' morbidity in the explanation of the use of primary health care services in a European national health system.","ISSN":"0025-7079","note":"PMID: 10098568","title-short":"Application of the ambulatory care groups in the primary care of a European national health care system","journalAbbreviation":"Med Care","language":"eng","author":[{"family":"Orueta","given":"J. F."},{"family":"Lopez-De-Munain","given":"J."},{"family":"Báez","given":"K."},{"family":"Aiarzaguena","given":"J. M."},{"family":"Aranguren","given":"J. I."},{"family":"Pedrero","given":"E."}],"issued":{"date-parts":[["1999",3]]}}},{"id":12444,"uris":["http://zotero.org/groups/327042/items/M62H39BG"],"uri":["http://zotero.org/groups/327042/items/M62H39BG"],"itemData":{"id":12444,"type":"article-journal","title":"Performance of the ACG Case-Mix System in Two Canadian Provinces","container-title":"Medical Care","page":"86-99","volume":"39","issue":"1","source":"insights-ovid-com.ezp-prod1.hul.harvard.edu","abstract":"Background.While the adjusted clinical group (ACG) system has been extensively validated in the United States, its use in other developed nations has been limited. This article examines the performance of the system in 2 Canadian provinces and assesses the extent to which ACGs can account for same-y","ISSN":"0025-7079","note":"PMID: 11176546","language":"ENGLISH","author":[{"family":"Reid","given":"Robert"},{"family":"MacWilliam","given":"Leonard"},{"family":"Verhulst","given":"Lorne"},{"family":"Roos","given":"Noralou"},{"family":"Atkinson","given":"Michael"}],"issued":{"date-parts":[["2001",1,1]]}}},{"id":3216,"uris":["http://zotero.org/groups/327042/items/C5635TD6"],"uri":["http://zotero.org/groups/327042/items/C5635TD6"],"itemData":{"id":3216,"type":"article-journal","title":"Assessing population health care need using a claims-based ACG morbidity measure: a validation analysis in the Province of Manitoba","container-title":"Health Services Research","page":"1345-1364","volume":"37","issue":"5","source":"PubMed","abstract":"OBJECTIVES: To assess the ability of an Adjusted Clinical Group (ACG)-based morbidity measure to assess the overall health service needs of populations. Data Sources/Study Setting. Three population-based secondary data sources: registration and health service utilization data from fiscal year 1995-1996; mortality data from vital statistics reports from 1996-1999; and Canadian census data. The study included all continuously enrolled residents in the universal health care plan in Manitoba.\nSTUDY DESIGN: Using 60 small geographic areas as the units of analysis, we compared a population-based \"ACG morbidity index,\" derived from individual ACG assignments in fiscal year 1995-1996, with the standardized mortality ratio (ages &lt; 75 years) for 1996-1999. Key variables included a population-based socioeconomic status measure and age- and sex-standardized physician utilization ratios.\nDATA EXTRACTION METHODS: The ACGs were assigned based on the complement of diagnoses assigned to persons on physician claims and hospital separation abstracts. The ACG index was created by weighting the ACGs using average health care expenditures.\nPRINCIPAL FINDINGS: The ACG morbidity index had a strong positive linear relationship with the subsequent rate of premature death in the small areas of Manitoba. The ACG index was able to explain the majority of the relationships between mortality and both socioeconomic status and physician utilization.\nCONCLUSIONS: In Manitoba, ACGs are closely related to premature mortality, commonly accepted as the best single indicator for health service need in populations. Issues in applying ACGs in settings where needs adjustment is a primary objective are discussed.","ISSN":"0017-9124","note":"PMID: 12479500\nPMCID: PMC1464032","title-short":"Assessing population health care need using a claims-based ACG morbidity measure","journalAbbreviation":"Health Serv Res","language":"eng","author":[{"family":"Reid","given":"Robert J."},{"family":"Roos","given":"Noralou P."},{"family":"MacWilliam","given":"Leonard"},{"family":"Frohlich","given":"Norman"},{"family":"Black","given":"Charlyn"}],"issued":{"date-parts":[["2002",10]]}}}],"schema":"https://github.com/citation-style-language/schema/raw/master/csl-citation.json"} </w:instrText>
      </w:r>
      <w:r w:rsidR="00CF3944">
        <w:rPr>
          <w:rFonts w:cs="Arial"/>
          <w:bCs/>
          <w:lang w:bidi="en-US"/>
        </w:rPr>
        <w:fldChar w:fldCharType="separate"/>
      </w:r>
      <w:r w:rsidR="007C6E15" w:rsidRPr="00547EE3">
        <w:rPr>
          <w:rFonts w:cs="Arial"/>
          <w:szCs w:val="24"/>
          <w:vertAlign w:val="superscript"/>
        </w:rPr>
        <w:t>25–27,24</w:t>
      </w:r>
      <w:r w:rsidR="00CF3944">
        <w:rPr>
          <w:rFonts w:cs="Arial"/>
          <w:bCs/>
          <w:lang w:bidi="en-US"/>
        </w:rPr>
        <w:fldChar w:fldCharType="end"/>
      </w:r>
      <w:r w:rsidR="00CF3944">
        <w:rPr>
          <w:rFonts w:cs="Arial"/>
          <w:bCs/>
          <w:lang w:bidi="en-US"/>
        </w:rPr>
        <w:t xml:space="preserve"> ACG </w:t>
      </w:r>
      <w:r w:rsidRPr="00271AA3">
        <w:rPr>
          <w:rFonts w:cs="Arial"/>
          <w:bCs/>
          <w:lang w:bidi="en-US"/>
        </w:rPr>
        <w:t>algorithm uses age, gender, and International Classification of Diseases, 9</w:t>
      </w:r>
      <w:r w:rsidRPr="00271AA3">
        <w:rPr>
          <w:rFonts w:cs="Arial"/>
          <w:bCs/>
          <w:vertAlign w:val="superscript"/>
          <w:lang w:bidi="en-US"/>
        </w:rPr>
        <w:t>th</w:t>
      </w:r>
      <w:r w:rsidRPr="00271AA3">
        <w:rPr>
          <w:rFonts w:cs="Arial"/>
          <w:bCs/>
          <w:lang w:bidi="en-US"/>
        </w:rPr>
        <w:t xml:space="preserve"> Revision, Clinical Modification (ICD-9-CM) codes to calculate a morbidity score</w:t>
      </w:r>
      <w:r w:rsidR="00CF3944">
        <w:rPr>
          <w:rFonts w:cs="Arial"/>
          <w:bCs/>
          <w:lang w:bidi="en-US"/>
        </w:rPr>
        <w:t>; we grouped our population as having ACG scores &lt;3.0 or ≥3.0</w:t>
      </w:r>
      <w:r w:rsidR="0052738D">
        <w:rPr>
          <w:rFonts w:cs="Arial"/>
          <w:bCs/>
          <w:lang w:bidi="en-US"/>
        </w:rPr>
        <w:t xml:space="preserve"> for matching and subgroup analysis</w:t>
      </w:r>
      <w:r w:rsidR="00CF3944">
        <w:rPr>
          <w:rFonts w:cs="Arial"/>
          <w:bCs/>
          <w:lang w:bidi="en-US"/>
        </w:rPr>
        <w:t>.</w:t>
      </w:r>
    </w:p>
    <w:p w14:paraId="7BAE5063" w14:textId="1ACA4A6D" w:rsidR="00BE4789" w:rsidRDefault="00BE4789" w:rsidP="00374B39">
      <w:pPr>
        <w:spacing w:before="100" w:beforeAutospacing="1" w:after="100" w:afterAutospacing="1"/>
        <w:rPr>
          <w:rFonts w:cs="Arial"/>
          <w:bCs/>
          <w:lang w:bidi="en-US"/>
        </w:rPr>
      </w:pPr>
      <w:r w:rsidRPr="00BE4789">
        <w:rPr>
          <w:rFonts w:cs="Arial"/>
          <w:bCs/>
          <w:lang w:bidi="en-US"/>
        </w:rPr>
        <w:t xml:space="preserve">We </w:t>
      </w:r>
      <w:r>
        <w:rPr>
          <w:rFonts w:cs="Arial"/>
          <w:bCs/>
          <w:lang w:bidi="en-US"/>
        </w:rPr>
        <w:t>defined patients with severe diabetes as those who had any insulin dispensing and/or who used 3 or more separate classes of antidiabetic medications during the baseline year.</w:t>
      </w:r>
    </w:p>
    <w:p w14:paraId="5D95EB26" w14:textId="4A5FB66B" w:rsidR="00C52877" w:rsidRPr="00BE4789" w:rsidRDefault="00C52877" w:rsidP="00374B39">
      <w:pPr>
        <w:spacing w:before="100" w:beforeAutospacing="1" w:after="100" w:afterAutospacing="1"/>
        <w:rPr>
          <w:rFonts w:cs="Arial"/>
          <w:bCs/>
          <w:lang w:bidi="en-US"/>
        </w:rPr>
      </w:pPr>
      <w:r>
        <w:rPr>
          <w:rFonts w:cs="Arial"/>
          <w:bCs/>
          <w:lang w:bidi="en-US"/>
        </w:rPr>
        <w:t xml:space="preserve">All study group members were covered by HSA-HDHPs at baseline and follow-up, but deductible categories (i.e., </w:t>
      </w:r>
      <w:r>
        <w:rPr>
          <w:rFonts w:cs="Arial"/>
        </w:rPr>
        <w:t xml:space="preserve">$1000-$2499, </w:t>
      </w:r>
      <w:r>
        <w:rPr>
          <w:rFonts w:cs="Arial"/>
          <w:bCs/>
          <w:lang w:bidi="en-US"/>
        </w:rPr>
        <w:t>≥</w:t>
      </w:r>
      <w:r>
        <w:rPr>
          <w:rFonts w:cs="Arial"/>
        </w:rPr>
        <w:t xml:space="preserve">$2500, or </w:t>
      </w:r>
      <w:r>
        <w:rPr>
          <w:rFonts w:cs="Arial"/>
          <w:bCs/>
          <w:lang w:bidi="en-US"/>
        </w:rPr>
        <w:t>≥</w:t>
      </w:r>
      <w:r>
        <w:rPr>
          <w:rFonts w:cs="Arial"/>
        </w:rPr>
        <w:t>$1000 level undetermined)</w:t>
      </w:r>
      <w:r>
        <w:rPr>
          <w:rFonts w:cs="Arial"/>
          <w:bCs/>
          <w:lang w:bidi="en-US"/>
        </w:rPr>
        <w:t xml:space="preserve"> may have changed.  We thus adjusted all statistical analyses by </w:t>
      </w:r>
      <w:r w:rsidR="00456920">
        <w:rPr>
          <w:rFonts w:cs="Arial"/>
          <w:bCs/>
          <w:lang w:bidi="en-US"/>
        </w:rPr>
        <w:t xml:space="preserve">variables </w:t>
      </w:r>
      <w:r>
        <w:rPr>
          <w:rFonts w:cs="Arial"/>
          <w:bCs/>
          <w:lang w:bidi="en-US"/>
        </w:rPr>
        <w:t>indicat</w:t>
      </w:r>
      <w:r w:rsidR="00456920">
        <w:rPr>
          <w:rFonts w:cs="Arial"/>
          <w:bCs/>
          <w:lang w:bidi="en-US"/>
        </w:rPr>
        <w:t>ing</w:t>
      </w:r>
      <w:r>
        <w:rPr>
          <w:rFonts w:cs="Arial"/>
          <w:bCs/>
          <w:lang w:bidi="en-US"/>
        </w:rPr>
        <w:t xml:space="preserve"> the type of change experienced (e.g., </w:t>
      </w:r>
      <w:r w:rsidR="00456920">
        <w:rPr>
          <w:rFonts w:cs="Arial"/>
        </w:rPr>
        <w:t xml:space="preserve">$1000-$2499 to $1000-$2499 or </w:t>
      </w:r>
      <w:r>
        <w:rPr>
          <w:rFonts w:cs="Arial"/>
        </w:rPr>
        <w:t xml:space="preserve">$1000-$2499 to </w:t>
      </w:r>
      <w:r>
        <w:rPr>
          <w:rFonts w:cs="Arial"/>
          <w:bCs/>
          <w:lang w:bidi="en-US"/>
        </w:rPr>
        <w:t>≥</w:t>
      </w:r>
      <w:r>
        <w:rPr>
          <w:rFonts w:cs="Arial"/>
        </w:rPr>
        <w:t>$2500</w:t>
      </w:r>
      <w:r w:rsidR="00456920">
        <w:rPr>
          <w:rFonts w:cs="Arial"/>
        </w:rPr>
        <w:t>, etc.).</w:t>
      </w:r>
    </w:p>
    <w:p w14:paraId="6A4E534A" w14:textId="77777777" w:rsidR="00434583" w:rsidRDefault="00434583">
      <w:pPr>
        <w:spacing w:after="160" w:line="259" w:lineRule="auto"/>
      </w:pPr>
      <w:r>
        <w:br w:type="page"/>
      </w:r>
    </w:p>
    <w:p w14:paraId="3EEE44F9" w14:textId="030097D4" w:rsidR="000C06BD" w:rsidRDefault="00753C13" w:rsidP="000C06BD">
      <w:pPr>
        <w:spacing w:after="0" w:line="240" w:lineRule="auto"/>
        <w:rPr>
          <w:rFonts w:cs="Arial"/>
          <w:b/>
          <w:color w:val="000000"/>
          <w:lang w:eastAsia="zh-CN"/>
        </w:rPr>
      </w:pPr>
      <w:r>
        <w:rPr>
          <w:rFonts w:cs="Arial"/>
          <w:b/>
          <w:bCs/>
          <w:color w:val="000000"/>
          <w:lang w:eastAsia="zh-CN"/>
        </w:rPr>
        <w:lastRenderedPageBreak/>
        <w:t xml:space="preserve">SDC </w:t>
      </w:r>
      <w:r w:rsidR="000C06BD" w:rsidRPr="00434583">
        <w:rPr>
          <w:rFonts w:cs="Arial"/>
          <w:b/>
          <w:bCs/>
          <w:color w:val="000000"/>
          <w:lang w:eastAsia="zh-CN"/>
        </w:rPr>
        <w:t>Table 1</w:t>
      </w:r>
      <w:r w:rsidR="00095A9D">
        <w:rPr>
          <w:rFonts w:cs="Arial"/>
          <w:b/>
          <w:bCs/>
          <w:color w:val="000000"/>
          <w:lang w:eastAsia="zh-CN"/>
        </w:rPr>
        <w:t>.</w:t>
      </w:r>
      <w:r w:rsidR="000C06BD" w:rsidRPr="00434583">
        <w:rPr>
          <w:rFonts w:cs="Arial"/>
          <w:color w:val="000000"/>
          <w:lang w:eastAsia="zh-CN"/>
        </w:rPr>
        <w:t xml:space="preserve"> </w:t>
      </w:r>
      <w:r w:rsidR="000C06BD" w:rsidRPr="00434583">
        <w:rPr>
          <w:rFonts w:cs="Arial"/>
          <w:b/>
          <w:color w:val="000000"/>
          <w:lang w:eastAsia="zh-CN"/>
        </w:rPr>
        <w:t xml:space="preserve">Number of </w:t>
      </w:r>
      <w:r w:rsidR="000C06BD">
        <w:rPr>
          <w:rFonts w:cs="Arial"/>
          <w:b/>
          <w:color w:val="000000"/>
          <w:lang w:eastAsia="zh-CN"/>
        </w:rPr>
        <w:t xml:space="preserve">medications listed </w:t>
      </w:r>
      <w:r w:rsidR="000C06BD" w:rsidRPr="00434583">
        <w:rPr>
          <w:rFonts w:cs="Arial"/>
          <w:b/>
          <w:color w:val="000000"/>
          <w:lang w:eastAsia="zh-CN"/>
        </w:rPr>
        <w:t xml:space="preserve">on </w:t>
      </w:r>
      <w:r w:rsidR="000C06BD">
        <w:rPr>
          <w:rFonts w:cs="Arial"/>
          <w:b/>
          <w:color w:val="000000"/>
          <w:lang w:eastAsia="zh-CN"/>
        </w:rPr>
        <w:t>the 2014 C</w:t>
      </w:r>
      <w:r w:rsidR="000C06BD" w:rsidRPr="00434583">
        <w:rPr>
          <w:rFonts w:cs="Arial"/>
          <w:b/>
          <w:color w:val="000000"/>
          <w:lang w:eastAsia="zh-CN"/>
        </w:rPr>
        <w:t xml:space="preserve">ore </w:t>
      </w:r>
      <w:r w:rsidR="000C06BD">
        <w:rPr>
          <w:rFonts w:cs="Arial"/>
          <w:b/>
          <w:color w:val="000000"/>
          <w:lang w:eastAsia="zh-CN"/>
        </w:rPr>
        <w:t xml:space="preserve">PDL </w:t>
      </w:r>
      <w:r w:rsidR="000C06BD" w:rsidRPr="00434583">
        <w:rPr>
          <w:rFonts w:cs="Arial"/>
          <w:b/>
          <w:color w:val="000000"/>
          <w:lang w:eastAsia="zh-CN"/>
        </w:rPr>
        <w:t xml:space="preserve">and </w:t>
      </w:r>
      <w:r w:rsidR="000C06BD">
        <w:rPr>
          <w:rFonts w:cs="Arial"/>
          <w:b/>
          <w:color w:val="000000"/>
          <w:lang w:eastAsia="zh-CN"/>
        </w:rPr>
        <w:t>E</w:t>
      </w:r>
      <w:r w:rsidR="000C06BD" w:rsidRPr="00434583">
        <w:rPr>
          <w:rFonts w:cs="Arial"/>
          <w:b/>
          <w:color w:val="000000"/>
          <w:lang w:eastAsia="zh-CN"/>
        </w:rPr>
        <w:t xml:space="preserve">xpanded </w:t>
      </w:r>
      <w:r w:rsidR="000C06BD">
        <w:rPr>
          <w:rFonts w:cs="Arial"/>
          <w:b/>
          <w:color w:val="000000"/>
          <w:lang w:eastAsia="zh-CN"/>
        </w:rPr>
        <w:t xml:space="preserve">PDL </w:t>
      </w:r>
      <w:r w:rsidR="000C06BD" w:rsidRPr="00434583">
        <w:rPr>
          <w:rFonts w:cs="Arial"/>
          <w:b/>
          <w:color w:val="000000"/>
          <w:lang w:eastAsia="zh-CN"/>
        </w:rPr>
        <w:t>by therapeutic category</w:t>
      </w:r>
    </w:p>
    <w:tbl>
      <w:tblPr>
        <w:tblpPr w:leftFromText="180" w:rightFromText="180" w:vertAnchor="text" w:tblpY="298"/>
        <w:tblW w:w="8674" w:type="dxa"/>
        <w:tblLook w:val="04A0" w:firstRow="1" w:lastRow="0" w:firstColumn="1" w:lastColumn="0" w:noHBand="0" w:noVBand="1"/>
      </w:tblPr>
      <w:tblGrid>
        <w:gridCol w:w="3780"/>
        <w:gridCol w:w="1458"/>
        <w:gridCol w:w="1199"/>
        <w:gridCol w:w="1036"/>
        <w:gridCol w:w="1201"/>
      </w:tblGrid>
      <w:tr w:rsidR="000C06BD" w:rsidRPr="000C06BD" w14:paraId="44E2DE68" w14:textId="77777777" w:rsidTr="000C06BD">
        <w:trPr>
          <w:trHeight w:val="192"/>
        </w:trPr>
        <w:tc>
          <w:tcPr>
            <w:tcW w:w="3780" w:type="dxa"/>
            <w:tcBorders>
              <w:left w:val="nil"/>
              <w:right w:val="nil"/>
            </w:tcBorders>
            <w:shd w:val="clear" w:color="auto" w:fill="auto"/>
            <w:noWrap/>
            <w:vAlign w:val="bottom"/>
            <w:hideMark/>
          </w:tcPr>
          <w:p w14:paraId="1FAE0B61" w14:textId="77777777" w:rsidR="000C06BD" w:rsidRPr="000C06BD" w:rsidRDefault="000C06BD" w:rsidP="000C06BD">
            <w:pPr>
              <w:spacing w:after="0" w:line="240" w:lineRule="auto"/>
              <w:rPr>
                <w:rFonts w:asciiTheme="minorHAnsi" w:hAnsiTheme="minorHAnsi" w:cstheme="minorHAnsi"/>
                <w:b/>
                <w:bCs/>
                <w:color w:val="000000"/>
                <w:lang w:eastAsia="zh-CN"/>
              </w:rPr>
            </w:pPr>
          </w:p>
        </w:tc>
        <w:tc>
          <w:tcPr>
            <w:tcW w:w="2657" w:type="dxa"/>
            <w:gridSpan w:val="2"/>
            <w:tcBorders>
              <w:left w:val="nil"/>
              <w:right w:val="nil"/>
            </w:tcBorders>
            <w:shd w:val="clear" w:color="auto" w:fill="auto"/>
            <w:noWrap/>
            <w:vAlign w:val="bottom"/>
            <w:hideMark/>
          </w:tcPr>
          <w:p w14:paraId="72F75496"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Core List</w:t>
            </w:r>
          </w:p>
        </w:tc>
        <w:tc>
          <w:tcPr>
            <w:tcW w:w="2237" w:type="dxa"/>
            <w:gridSpan w:val="2"/>
            <w:tcBorders>
              <w:left w:val="nil"/>
              <w:right w:val="nil"/>
            </w:tcBorders>
            <w:shd w:val="clear" w:color="auto" w:fill="auto"/>
            <w:noWrap/>
            <w:vAlign w:val="bottom"/>
            <w:hideMark/>
          </w:tcPr>
          <w:p w14:paraId="15750238"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Expanded List</w:t>
            </w:r>
          </w:p>
        </w:tc>
      </w:tr>
      <w:tr w:rsidR="000C06BD" w:rsidRPr="000C06BD" w14:paraId="502C3FB4" w14:textId="77777777" w:rsidTr="000C06BD">
        <w:trPr>
          <w:trHeight w:val="192"/>
        </w:trPr>
        <w:tc>
          <w:tcPr>
            <w:tcW w:w="3780" w:type="dxa"/>
            <w:tcBorders>
              <w:top w:val="nil"/>
              <w:left w:val="nil"/>
              <w:bottom w:val="single" w:sz="8" w:space="0" w:color="auto"/>
              <w:right w:val="nil"/>
            </w:tcBorders>
            <w:shd w:val="clear" w:color="auto" w:fill="auto"/>
            <w:noWrap/>
            <w:vAlign w:val="bottom"/>
            <w:hideMark/>
          </w:tcPr>
          <w:p w14:paraId="4E7B213C" w14:textId="77777777" w:rsidR="000C06BD" w:rsidRPr="000C06BD" w:rsidRDefault="000C06BD" w:rsidP="000C06BD">
            <w:pPr>
              <w:spacing w:after="0" w:line="240" w:lineRule="auto"/>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Therapeutic Category</w:t>
            </w:r>
          </w:p>
        </w:tc>
        <w:tc>
          <w:tcPr>
            <w:tcW w:w="1458" w:type="dxa"/>
            <w:tcBorders>
              <w:top w:val="nil"/>
              <w:left w:val="nil"/>
              <w:bottom w:val="single" w:sz="8" w:space="0" w:color="auto"/>
              <w:right w:val="nil"/>
            </w:tcBorders>
            <w:shd w:val="clear" w:color="auto" w:fill="auto"/>
            <w:noWrap/>
            <w:vAlign w:val="bottom"/>
            <w:hideMark/>
          </w:tcPr>
          <w:p w14:paraId="64B6D263"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Generic</w:t>
            </w:r>
          </w:p>
        </w:tc>
        <w:tc>
          <w:tcPr>
            <w:tcW w:w="1199" w:type="dxa"/>
            <w:tcBorders>
              <w:top w:val="nil"/>
              <w:left w:val="nil"/>
              <w:bottom w:val="single" w:sz="8" w:space="0" w:color="auto"/>
              <w:right w:val="nil"/>
            </w:tcBorders>
            <w:shd w:val="clear" w:color="auto" w:fill="auto"/>
            <w:noWrap/>
            <w:vAlign w:val="bottom"/>
            <w:hideMark/>
          </w:tcPr>
          <w:p w14:paraId="54B206C4"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Brand</w:t>
            </w:r>
          </w:p>
        </w:tc>
        <w:tc>
          <w:tcPr>
            <w:tcW w:w="1036" w:type="dxa"/>
            <w:tcBorders>
              <w:top w:val="nil"/>
              <w:left w:val="nil"/>
              <w:bottom w:val="single" w:sz="8" w:space="0" w:color="auto"/>
              <w:right w:val="nil"/>
            </w:tcBorders>
            <w:shd w:val="clear" w:color="auto" w:fill="auto"/>
            <w:noWrap/>
            <w:vAlign w:val="bottom"/>
            <w:hideMark/>
          </w:tcPr>
          <w:p w14:paraId="4CBA6F22"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Generic</w:t>
            </w:r>
          </w:p>
        </w:tc>
        <w:tc>
          <w:tcPr>
            <w:tcW w:w="1201" w:type="dxa"/>
            <w:tcBorders>
              <w:top w:val="nil"/>
              <w:left w:val="nil"/>
              <w:bottom w:val="single" w:sz="8" w:space="0" w:color="auto"/>
              <w:right w:val="nil"/>
            </w:tcBorders>
            <w:shd w:val="clear" w:color="auto" w:fill="auto"/>
            <w:noWrap/>
            <w:vAlign w:val="bottom"/>
            <w:hideMark/>
          </w:tcPr>
          <w:p w14:paraId="274654B4" w14:textId="77777777" w:rsidR="000C06BD" w:rsidRPr="000C06BD" w:rsidRDefault="000C06BD" w:rsidP="000C06BD">
            <w:pPr>
              <w:spacing w:after="0" w:line="240" w:lineRule="auto"/>
              <w:jc w:val="center"/>
              <w:rPr>
                <w:rFonts w:asciiTheme="minorHAnsi" w:hAnsiTheme="minorHAnsi" w:cstheme="minorHAnsi"/>
                <w:b/>
                <w:bCs/>
                <w:color w:val="000000"/>
                <w:lang w:eastAsia="zh-CN"/>
              </w:rPr>
            </w:pPr>
            <w:r w:rsidRPr="000C06BD">
              <w:rPr>
                <w:rFonts w:asciiTheme="minorHAnsi" w:hAnsiTheme="minorHAnsi" w:cstheme="minorHAnsi"/>
                <w:b/>
                <w:bCs/>
                <w:color w:val="000000"/>
                <w:lang w:eastAsia="zh-CN"/>
              </w:rPr>
              <w:t>Brand</w:t>
            </w:r>
          </w:p>
        </w:tc>
      </w:tr>
      <w:tr w:rsidR="000C06BD" w:rsidRPr="000C06BD" w14:paraId="41C7A04A" w14:textId="77777777" w:rsidTr="000C06BD">
        <w:trPr>
          <w:trHeight w:val="192"/>
        </w:trPr>
        <w:tc>
          <w:tcPr>
            <w:tcW w:w="3780" w:type="dxa"/>
            <w:tcBorders>
              <w:top w:val="single" w:sz="8" w:space="0" w:color="auto"/>
              <w:left w:val="nil"/>
              <w:bottom w:val="nil"/>
              <w:right w:val="nil"/>
            </w:tcBorders>
            <w:shd w:val="clear" w:color="auto" w:fill="auto"/>
            <w:noWrap/>
            <w:vAlign w:val="bottom"/>
            <w:hideMark/>
          </w:tcPr>
          <w:p w14:paraId="4C94ACB7"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Anti-infectives – HIV/AIDS</w:t>
            </w:r>
          </w:p>
        </w:tc>
        <w:tc>
          <w:tcPr>
            <w:tcW w:w="1458" w:type="dxa"/>
            <w:tcBorders>
              <w:top w:val="single" w:sz="8" w:space="0" w:color="auto"/>
              <w:left w:val="nil"/>
              <w:bottom w:val="nil"/>
              <w:right w:val="nil"/>
            </w:tcBorders>
            <w:shd w:val="clear" w:color="auto" w:fill="auto"/>
            <w:noWrap/>
            <w:vAlign w:val="bottom"/>
            <w:hideMark/>
          </w:tcPr>
          <w:p w14:paraId="7EB2B787"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single" w:sz="8" w:space="0" w:color="auto"/>
              <w:left w:val="nil"/>
              <w:bottom w:val="nil"/>
              <w:right w:val="nil"/>
            </w:tcBorders>
            <w:shd w:val="clear" w:color="auto" w:fill="auto"/>
            <w:noWrap/>
            <w:vAlign w:val="bottom"/>
            <w:hideMark/>
          </w:tcPr>
          <w:p w14:paraId="2937A81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single" w:sz="8" w:space="0" w:color="auto"/>
              <w:left w:val="nil"/>
              <w:bottom w:val="nil"/>
              <w:right w:val="nil"/>
            </w:tcBorders>
            <w:shd w:val="clear" w:color="auto" w:fill="auto"/>
            <w:noWrap/>
            <w:vAlign w:val="bottom"/>
            <w:hideMark/>
          </w:tcPr>
          <w:p w14:paraId="5738192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8</w:t>
            </w:r>
          </w:p>
        </w:tc>
        <w:tc>
          <w:tcPr>
            <w:tcW w:w="1201" w:type="dxa"/>
            <w:tcBorders>
              <w:top w:val="single" w:sz="8" w:space="0" w:color="auto"/>
              <w:left w:val="nil"/>
              <w:bottom w:val="nil"/>
              <w:right w:val="nil"/>
            </w:tcBorders>
            <w:shd w:val="clear" w:color="auto" w:fill="auto"/>
            <w:noWrap/>
            <w:vAlign w:val="bottom"/>
            <w:hideMark/>
          </w:tcPr>
          <w:p w14:paraId="1E29B9B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34</w:t>
            </w:r>
          </w:p>
        </w:tc>
      </w:tr>
      <w:tr w:rsidR="000C06BD" w:rsidRPr="000C06BD" w14:paraId="24F08F2F" w14:textId="77777777" w:rsidTr="000C06BD">
        <w:trPr>
          <w:trHeight w:val="192"/>
        </w:trPr>
        <w:tc>
          <w:tcPr>
            <w:tcW w:w="3780" w:type="dxa"/>
            <w:tcBorders>
              <w:top w:val="nil"/>
              <w:left w:val="nil"/>
              <w:bottom w:val="nil"/>
              <w:right w:val="nil"/>
            </w:tcBorders>
            <w:shd w:val="clear" w:color="auto" w:fill="auto"/>
            <w:noWrap/>
            <w:vAlign w:val="bottom"/>
            <w:hideMark/>
          </w:tcPr>
          <w:p w14:paraId="225D10CD"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 xml:space="preserve">Breast cancer prevention </w:t>
            </w:r>
          </w:p>
        </w:tc>
        <w:tc>
          <w:tcPr>
            <w:tcW w:w="1458" w:type="dxa"/>
            <w:tcBorders>
              <w:top w:val="nil"/>
              <w:left w:val="nil"/>
              <w:bottom w:val="nil"/>
              <w:right w:val="nil"/>
            </w:tcBorders>
            <w:shd w:val="clear" w:color="auto" w:fill="auto"/>
            <w:noWrap/>
            <w:vAlign w:val="bottom"/>
            <w:hideMark/>
          </w:tcPr>
          <w:p w14:paraId="675A3AB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w:t>
            </w:r>
          </w:p>
        </w:tc>
        <w:tc>
          <w:tcPr>
            <w:tcW w:w="1199" w:type="dxa"/>
            <w:tcBorders>
              <w:top w:val="nil"/>
              <w:left w:val="nil"/>
              <w:bottom w:val="nil"/>
              <w:right w:val="nil"/>
            </w:tcBorders>
            <w:shd w:val="clear" w:color="auto" w:fill="auto"/>
            <w:noWrap/>
            <w:vAlign w:val="bottom"/>
            <w:hideMark/>
          </w:tcPr>
          <w:p w14:paraId="0B8CAD0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5</w:t>
            </w:r>
          </w:p>
        </w:tc>
        <w:tc>
          <w:tcPr>
            <w:tcW w:w="1036" w:type="dxa"/>
            <w:tcBorders>
              <w:top w:val="nil"/>
              <w:left w:val="nil"/>
              <w:bottom w:val="nil"/>
              <w:right w:val="nil"/>
            </w:tcBorders>
            <w:shd w:val="clear" w:color="auto" w:fill="auto"/>
            <w:noWrap/>
            <w:vAlign w:val="bottom"/>
            <w:hideMark/>
          </w:tcPr>
          <w:p w14:paraId="2ED6676B"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w:t>
            </w:r>
          </w:p>
        </w:tc>
        <w:tc>
          <w:tcPr>
            <w:tcW w:w="1201" w:type="dxa"/>
            <w:tcBorders>
              <w:top w:val="nil"/>
              <w:left w:val="nil"/>
              <w:bottom w:val="nil"/>
              <w:right w:val="nil"/>
            </w:tcBorders>
            <w:shd w:val="clear" w:color="auto" w:fill="auto"/>
            <w:noWrap/>
            <w:vAlign w:val="bottom"/>
            <w:hideMark/>
          </w:tcPr>
          <w:p w14:paraId="724A3C19"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5</w:t>
            </w:r>
          </w:p>
        </w:tc>
      </w:tr>
      <w:tr w:rsidR="000C06BD" w:rsidRPr="000C06BD" w14:paraId="0A063D51" w14:textId="77777777" w:rsidTr="000C06BD">
        <w:trPr>
          <w:trHeight w:val="192"/>
        </w:trPr>
        <w:tc>
          <w:tcPr>
            <w:tcW w:w="3780" w:type="dxa"/>
            <w:tcBorders>
              <w:top w:val="nil"/>
              <w:left w:val="nil"/>
              <w:bottom w:val="nil"/>
              <w:right w:val="nil"/>
            </w:tcBorders>
            <w:shd w:val="clear" w:color="auto" w:fill="auto"/>
            <w:noWrap/>
            <w:vAlign w:val="bottom"/>
            <w:hideMark/>
          </w:tcPr>
          <w:p w14:paraId="3BB1BA8B"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CVD – Blood clot, platelet</w:t>
            </w:r>
          </w:p>
        </w:tc>
        <w:tc>
          <w:tcPr>
            <w:tcW w:w="1458" w:type="dxa"/>
            <w:tcBorders>
              <w:top w:val="nil"/>
              <w:left w:val="nil"/>
              <w:bottom w:val="nil"/>
              <w:right w:val="nil"/>
            </w:tcBorders>
            <w:shd w:val="clear" w:color="auto" w:fill="auto"/>
            <w:noWrap/>
            <w:vAlign w:val="bottom"/>
            <w:hideMark/>
          </w:tcPr>
          <w:p w14:paraId="2C4E3060"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9</w:t>
            </w:r>
          </w:p>
        </w:tc>
        <w:tc>
          <w:tcPr>
            <w:tcW w:w="1199" w:type="dxa"/>
            <w:tcBorders>
              <w:top w:val="nil"/>
              <w:left w:val="nil"/>
              <w:bottom w:val="nil"/>
              <w:right w:val="nil"/>
            </w:tcBorders>
            <w:shd w:val="clear" w:color="auto" w:fill="auto"/>
            <w:noWrap/>
            <w:vAlign w:val="bottom"/>
            <w:hideMark/>
          </w:tcPr>
          <w:p w14:paraId="4EA2B07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13</w:t>
            </w:r>
          </w:p>
        </w:tc>
        <w:tc>
          <w:tcPr>
            <w:tcW w:w="1036" w:type="dxa"/>
            <w:tcBorders>
              <w:top w:val="nil"/>
              <w:left w:val="nil"/>
              <w:bottom w:val="nil"/>
              <w:right w:val="nil"/>
            </w:tcBorders>
            <w:shd w:val="clear" w:color="auto" w:fill="auto"/>
            <w:noWrap/>
            <w:vAlign w:val="bottom"/>
            <w:hideMark/>
          </w:tcPr>
          <w:p w14:paraId="525873A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9</w:t>
            </w:r>
          </w:p>
        </w:tc>
        <w:tc>
          <w:tcPr>
            <w:tcW w:w="1201" w:type="dxa"/>
            <w:tcBorders>
              <w:top w:val="nil"/>
              <w:left w:val="nil"/>
              <w:bottom w:val="nil"/>
              <w:right w:val="nil"/>
            </w:tcBorders>
            <w:shd w:val="clear" w:color="auto" w:fill="auto"/>
            <w:noWrap/>
            <w:vAlign w:val="bottom"/>
            <w:hideMark/>
          </w:tcPr>
          <w:p w14:paraId="265AF218"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13</w:t>
            </w:r>
          </w:p>
        </w:tc>
      </w:tr>
      <w:tr w:rsidR="000C06BD" w:rsidRPr="000C06BD" w14:paraId="5F2441CD" w14:textId="77777777" w:rsidTr="000C06BD">
        <w:trPr>
          <w:trHeight w:val="192"/>
        </w:trPr>
        <w:tc>
          <w:tcPr>
            <w:tcW w:w="3780" w:type="dxa"/>
            <w:tcBorders>
              <w:top w:val="nil"/>
              <w:left w:val="nil"/>
              <w:bottom w:val="nil"/>
              <w:right w:val="nil"/>
            </w:tcBorders>
            <w:shd w:val="clear" w:color="auto" w:fill="auto"/>
            <w:noWrap/>
            <w:vAlign w:val="bottom"/>
            <w:hideMark/>
          </w:tcPr>
          <w:p w14:paraId="2C6B018D"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 xml:space="preserve">CVD – Blood pressure </w:t>
            </w:r>
          </w:p>
        </w:tc>
        <w:tc>
          <w:tcPr>
            <w:tcW w:w="1458" w:type="dxa"/>
            <w:tcBorders>
              <w:top w:val="nil"/>
              <w:left w:val="nil"/>
              <w:bottom w:val="nil"/>
              <w:right w:val="nil"/>
            </w:tcBorders>
            <w:shd w:val="clear" w:color="auto" w:fill="auto"/>
            <w:noWrap/>
            <w:vAlign w:val="bottom"/>
            <w:hideMark/>
          </w:tcPr>
          <w:p w14:paraId="20274FB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92</w:t>
            </w:r>
          </w:p>
        </w:tc>
        <w:tc>
          <w:tcPr>
            <w:tcW w:w="1199" w:type="dxa"/>
            <w:tcBorders>
              <w:top w:val="nil"/>
              <w:left w:val="nil"/>
              <w:bottom w:val="nil"/>
              <w:right w:val="nil"/>
            </w:tcBorders>
            <w:shd w:val="clear" w:color="auto" w:fill="auto"/>
            <w:noWrap/>
            <w:vAlign w:val="bottom"/>
            <w:hideMark/>
          </w:tcPr>
          <w:p w14:paraId="1F2B1DD8"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102</w:t>
            </w:r>
          </w:p>
        </w:tc>
        <w:tc>
          <w:tcPr>
            <w:tcW w:w="1036" w:type="dxa"/>
            <w:tcBorders>
              <w:top w:val="nil"/>
              <w:left w:val="nil"/>
              <w:bottom w:val="nil"/>
              <w:right w:val="nil"/>
            </w:tcBorders>
            <w:shd w:val="clear" w:color="auto" w:fill="auto"/>
            <w:noWrap/>
            <w:vAlign w:val="bottom"/>
            <w:hideMark/>
          </w:tcPr>
          <w:p w14:paraId="54249792"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92</w:t>
            </w:r>
          </w:p>
        </w:tc>
        <w:tc>
          <w:tcPr>
            <w:tcW w:w="1201" w:type="dxa"/>
            <w:tcBorders>
              <w:top w:val="nil"/>
              <w:left w:val="nil"/>
              <w:bottom w:val="nil"/>
              <w:right w:val="nil"/>
            </w:tcBorders>
            <w:shd w:val="clear" w:color="auto" w:fill="auto"/>
            <w:noWrap/>
            <w:vAlign w:val="bottom"/>
            <w:hideMark/>
          </w:tcPr>
          <w:p w14:paraId="1AD7AD68"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102</w:t>
            </w:r>
          </w:p>
        </w:tc>
      </w:tr>
      <w:tr w:rsidR="000C06BD" w:rsidRPr="000C06BD" w14:paraId="1F9A01B8" w14:textId="77777777" w:rsidTr="000C06BD">
        <w:trPr>
          <w:trHeight w:val="192"/>
        </w:trPr>
        <w:tc>
          <w:tcPr>
            <w:tcW w:w="3780" w:type="dxa"/>
            <w:tcBorders>
              <w:top w:val="nil"/>
              <w:left w:val="nil"/>
              <w:bottom w:val="nil"/>
              <w:right w:val="nil"/>
            </w:tcBorders>
            <w:shd w:val="clear" w:color="auto" w:fill="auto"/>
            <w:noWrap/>
            <w:vAlign w:val="bottom"/>
            <w:hideMark/>
          </w:tcPr>
          <w:p w14:paraId="0CFD3935"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CVD – Cholesterol</w:t>
            </w:r>
          </w:p>
        </w:tc>
        <w:tc>
          <w:tcPr>
            <w:tcW w:w="1458" w:type="dxa"/>
            <w:tcBorders>
              <w:top w:val="nil"/>
              <w:left w:val="nil"/>
              <w:bottom w:val="nil"/>
              <w:right w:val="nil"/>
            </w:tcBorders>
            <w:shd w:val="clear" w:color="auto" w:fill="auto"/>
            <w:noWrap/>
            <w:vAlign w:val="bottom"/>
            <w:hideMark/>
          </w:tcPr>
          <w:p w14:paraId="698850A9"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16</w:t>
            </w:r>
          </w:p>
        </w:tc>
        <w:tc>
          <w:tcPr>
            <w:tcW w:w="1199" w:type="dxa"/>
            <w:tcBorders>
              <w:top w:val="nil"/>
              <w:left w:val="nil"/>
              <w:bottom w:val="nil"/>
              <w:right w:val="nil"/>
            </w:tcBorders>
            <w:shd w:val="clear" w:color="auto" w:fill="auto"/>
            <w:noWrap/>
            <w:vAlign w:val="bottom"/>
            <w:hideMark/>
          </w:tcPr>
          <w:p w14:paraId="2D8B5C41"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31</w:t>
            </w:r>
          </w:p>
        </w:tc>
        <w:tc>
          <w:tcPr>
            <w:tcW w:w="1036" w:type="dxa"/>
            <w:tcBorders>
              <w:top w:val="nil"/>
              <w:left w:val="nil"/>
              <w:bottom w:val="nil"/>
              <w:right w:val="nil"/>
            </w:tcBorders>
            <w:shd w:val="clear" w:color="auto" w:fill="auto"/>
            <w:noWrap/>
            <w:vAlign w:val="bottom"/>
            <w:hideMark/>
          </w:tcPr>
          <w:p w14:paraId="565F02E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16</w:t>
            </w:r>
          </w:p>
        </w:tc>
        <w:tc>
          <w:tcPr>
            <w:tcW w:w="1201" w:type="dxa"/>
            <w:tcBorders>
              <w:top w:val="nil"/>
              <w:left w:val="nil"/>
              <w:bottom w:val="nil"/>
              <w:right w:val="nil"/>
            </w:tcBorders>
            <w:shd w:val="clear" w:color="auto" w:fill="auto"/>
            <w:noWrap/>
            <w:vAlign w:val="bottom"/>
            <w:hideMark/>
          </w:tcPr>
          <w:p w14:paraId="16002BB8"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31</w:t>
            </w:r>
          </w:p>
        </w:tc>
      </w:tr>
      <w:tr w:rsidR="000C06BD" w:rsidRPr="000C06BD" w14:paraId="7F854788" w14:textId="77777777" w:rsidTr="000C06BD">
        <w:trPr>
          <w:trHeight w:val="192"/>
        </w:trPr>
        <w:tc>
          <w:tcPr>
            <w:tcW w:w="3780" w:type="dxa"/>
            <w:tcBorders>
              <w:top w:val="nil"/>
              <w:left w:val="nil"/>
              <w:bottom w:val="nil"/>
              <w:right w:val="nil"/>
            </w:tcBorders>
            <w:shd w:val="clear" w:color="auto" w:fill="auto"/>
            <w:noWrap/>
            <w:vAlign w:val="bottom"/>
            <w:hideMark/>
          </w:tcPr>
          <w:p w14:paraId="7240BB72"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CNS – Multiple sclerosis</w:t>
            </w:r>
          </w:p>
        </w:tc>
        <w:tc>
          <w:tcPr>
            <w:tcW w:w="1458" w:type="dxa"/>
            <w:tcBorders>
              <w:top w:val="nil"/>
              <w:left w:val="nil"/>
              <w:bottom w:val="nil"/>
              <w:right w:val="nil"/>
            </w:tcBorders>
            <w:shd w:val="clear" w:color="auto" w:fill="auto"/>
            <w:noWrap/>
            <w:vAlign w:val="bottom"/>
            <w:hideMark/>
          </w:tcPr>
          <w:p w14:paraId="3863E8D2"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bottom w:val="nil"/>
              <w:right w:val="nil"/>
            </w:tcBorders>
            <w:shd w:val="clear" w:color="auto" w:fill="auto"/>
            <w:noWrap/>
            <w:vAlign w:val="bottom"/>
            <w:hideMark/>
          </w:tcPr>
          <w:p w14:paraId="6BE7830C"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bottom w:val="nil"/>
              <w:right w:val="nil"/>
            </w:tcBorders>
            <w:shd w:val="clear" w:color="auto" w:fill="auto"/>
            <w:noWrap/>
            <w:vAlign w:val="bottom"/>
            <w:hideMark/>
          </w:tcPr>
          <w:p w14:paraId="2B9B5D7E"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0</w:t>
            </w:r>
          </w:p>
        </w:tc>
        <w:tc>
          <w:tcPr>
            <w:tcW w:w="1201" w:type="dxa"/>
            <w:tcBorders>
              <w:top w:val="nil"/>
              <w:left w:val="nil"/>
              <w:bottom w:val="nil"/>
              <w:right w:val="nil"/>
            </w:tcBorders>
            <w:shd w:val="clear" w:color="auto" w:fill="auto"/>
            <w:noWrap/>
            <w:vAlign w:val="bottom"/>
            <w:hideMark/>
          </w:tcPr>
          <w:p w14:paraId="025E879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8</w:t>
            </w:r>
          </w:p>
        </w:tc>
      </w:tr>
      <w:tr w:rsidR="000C06BD" w:rsidRPr="000C06BD" w14:paraId="5772CC7D" w14:textId="77777777" w:rsidTr="000C06BD">
        <w:trPr>
          <w:trHeight w:val="192"/>
        </w:trPr>
        <w:tc>
          <w:tcPr>
            <w:tcW w:w="3780" w:type="dxa"/>
            <w:tcBorders>
              <w:top w:val="nil"/>
              <w:left w:val="nil"/>
              <w:bottom w:val="nil"/>
              <w:right w:val="nil"/>
            </w:tcBorders>
            <w:shd w:val="clear" w:color="auto" w:fill="auto"/>
            <w:noWrap/>
            <w:vAlign w:val="bottom"/>
            <w:hideMark/>
          </w:tcPr>
          <w:p w14:paraId="371620C6"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CNS – Psychosis</w:t>
            </w:r>
          </w:p>
        </w:tc>
        <w:tc>
          <w:tcPr>
            <w:tcW w:w="1458" w:type="dxa"/>
            <w:tcBorders>
              <w:top w:val="nil"/>
              <w:left w:val="nil"/>
              <w:bottom w:val="nil"/>
              <w:right w:val="nil"/>
            </w:tcBorders>
            <w:shd w:val="clear" w:color="auto" w:fill="auto"/>
            <w:noWrap/>
            <w:vAlign w:val="bottom"/>
            <w:hideMark/>
          </w:tcPr>
          <w:p w14:paraId="66F419C7"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bottom w:val="nil"/>
              <w:right w:val="nil"/>
            </w:tcBorders>
            <w:shd w:val="clear" w:color="auto" w:fill="auto"/>
            <w:noWrap/>
            <w:vAlign w:val="bottom"/>
            <w:hideMark/>
          </w:tcPr>
          <w:p w14:paraId="3D8DDCEE"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bottom w:val="nil"/>
              <w:right w:val="nil"/>
            </w:tcBorders>
            <w:shd w:val="clear" w:color="auto" w:fill="auto"/>
            <w:noWrap/>
            <w:vAlign w:val="bottom"/>
            <w:hideMark/>
          </w:tcPr>
          <w:p w14:paraId="0661770C"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13</w:t>
            </w:r>
          </w:p>
        </w:tc>
        <w:tc>
          <w:tcPr>
            <w:tcW w:w="1201" w:type="dxa"/>
            <w:tcBorders>
              <w:top w:val="nil"/>
              <w:left w:val="nil"/>
              <w:bottom w:val="nil"/>
              <w:right w:val="nil"/>
            </w:tcBorders>
            <w:shd w:val="clear" w:color="auto" w:fill="auto"/>
            <w:noWrap/>
            <w:vAlign w:val="bottom"/>
            <w:hideMark/>
          </w:tcPr>
          <w:p w14:paraId="6420C001"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14</w:t>
            </w:r>
          </w:p>
        </w:tc>
      </w:tr>
      <w:tr w:rsidR="000C06BD" w:rsidRPr="000C06BD" w14:paraId="168126CF" w14:textId="77777777" w:rsidTr="000C06BD">
        <w:trPr>
          <w:trHeight w:val="192"/>
        </w:trPr>
        <w:tc>
          <w:tcPr>
            <w:tcW w:w="3780" w:type="dxa"/>
            <w:tcBorders>
              <w:top w:val="nil"/>
              <w:left w:val="nil"/>
              <w:bottom w:val="nil"/>
              <w:right w:val="nil"/>
            </w:tcBorders>
            <w:shd w:val="clear" w:color="auto" w:fill="auto"/>
            <w:noWrap/>
            <w:vAlign w:val="bottom"/>
            <w:hideMark/>
          </w:tcPr>
          <w:p w14:paraId="6A1BC75A"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Diabetes – Supplies</w:t>
            </w:r>
          </w:p>
        </w:tc>
        <w:tc>
          <w:tcPr>
            <w:tcW w:w="1458" w:type="dxa"/>
            <w:tcBorders>
              <w:top w:val="nil"/>
              <w:left w:val="nil"/>
              <w:bottom w:val="nil"/>
              <w:right w:val="nil"/>
            </w:tcBorders>
            <w:shd w:val="clear" w:color="auto" w:fill="auto"/>
            <w:noWrap/>
            <w:vAlign w:val="bottom"/>
            <w:hideMark/>
          </w:tcPr>
          <w:p w14:paraId="46BBAFC5"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bottom w:val="nil"/>
              <w:right w:val="nil"/>
            </w:tcBorders>
            <w:shd w:val="clear" w:color="auto" w:fill="auto"/>
            <w:noWrap/>
            <w:vAlign w:val="bottom"/>
            <w:hideMark/>
          </w:tcPr>
          <w:p w14:paraId="2952FDD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bottom w:val="nil"/>
              <w:right w:val="nil"/>
            </w:tcBorders>
            <w:shd w:val="clear" w:color="auto" w:fill="auto"/>
            <w:noWrap/>
            <w:vAlign w:val="bottom"/>
            <w:hideMark/>
          </w:tcPr>
          <w:p w14:paraId="6FE21DAA"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w:t>
            </w:r>
          </w:p>
        </w:tc>
        <w:tc>
          <w:tcPr>
            <w:tcW w:w="1201" w:type="dxa"/>
            <w:tcBorders>
              <w:top w:val="nil"/>
              <w:left w:val="nil"/>
              <w:bottom w:val="nil"/>
              <w:right w:val="nil"/>
            </w:tcBorders>
            <w:shd w:val="clear" w:color="auto" w:fill="auto"/>
            <w:noWrap/>
            <w:vAlign w:val="bottom"/>
            <w:hideMark/>
          </w:tcPr>
          <w:p w14:paraId="5098F1C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0</w:t>
            </w:r>
          </w:p>
        </w:tc>
      </w:tr>
      <w:tr w:rsidR="000C06BD" w:rsidRPr="000C06BD" w14:paraId="63D776B4" w14:textId="77777777" w:rsidTr="000C06BD">
        <w:trPr>
          <w:trHeight w:val="192"/>
        </w:trPr>
        <w:tc>
          <w:tcPr>
            <w:tcW w:w="3780" w:type="dxa"/>
            <w:tcBorders>
              <w:top w:val="nil"/>
              <w:left w:val="nil"/>
              <w:bottom w:val="nil"/>
              <w:right w:val="nil"/>
            </w:tcBorders>
            <w:shd w:val="clear" w:color="auto" w:fill="auto"/>
            <w:noWrap/>
            <w:vAlign w:val="bottom"/>
            <w:hideMark/>
          </w:tcPr>
          <w:p w14:paraId="73BA84CD"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Diabetes – Insulin</w:t>
            </w:r>
          </w:p>
        </w:tc>
        <w:tc>
          <w:tcPr>
            <w:tcW w:w="1458" w:type="dxa"/>
            <w:tcBorders>
              <w:top w:val="nil"/>
              <w:left w:val="nil"/>
              <w:bottom w:val="nil"/>
              <w:right w:val="nil"/>
            </w:tcBorders>
            <w:shd w:val="clear" w:color="auto" w:fill="auto"/>
            <w:noWrap/>
            <w:vAlign w:val="bottom"/>
            <w:hideMark/>
          </w:tcPr>
          <w:p w14:paraId="55858FC0"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bottom w:val="nil"/>
              <w:right w:val="nil"/>
            </w:tcBorders>
            <w:shd w:val="clear" w:color="auto" w:fill="auto"/>
            <w:noWrap/>
            <w:vAlign w:val="bottom"/>
            <w:hideMark/>
          </w:tcPr>
          <w:p w14:paraId="7FE8AC83"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bottom w:val="nil"/>
              <w:right w:val="nil"/>
            </w:tcBorders>
            <w:shd w:val="clear" w:color="auto" w:fill="auto"/>
            <w:noWrap/>
            <w:vAlign w:val="bottom"/>
            <w:hideMark/>
          </w:tcPr>
          <w:p w14:paraId="1C2F0FC8"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0</w:t>
            </w:r>
          </w:p>
        </w:tc>
        <w:tc>
          <w:tcPr>
            <w:tcW w:w="1201" w:type="dxa"/>
            <w:tcBorders>
              <w:top w:val="nil"/>
              <w:left w:val="nil"/>
              <w:bottom w:val="nil"/>
              <w:right w:val="nil"/>
            </w:tcBorders>
            <w:shd w:val="clear" w:color="auto" w:fill="auto"/>
            <w:noWrap/>
            <w:vAlign w:val="bottom"/>
            <w:hideMark/>
          </w:tcPr>
          <w:p w14:paraId="547D3E9A"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15</w:t>
            </w:r>
          </w:p>
        </w:tc>
      </w:tr>
      <w:tr w:rsidR="000C06BD" w:rsidRPr="000C06BD" w14:paraId="0D8CACA5" w14:textId="77777777" w:rsidTr="000C06BD">
        <w:trPr>
          <w:trHeight w:val="192"/>
        </w:trPr>
        <w:tc>
          <w:tcPr>
            <w:tcW w:w="3780" w:type="dxa"/>
            <w:tcBorders>
              <w:top w:val="nil"/>
              <w:left w:val="nil"/>
              <w:bottom w:val="nil"/>
              <w:right w:val="nil"/>
            </w:tcBorders>
            <w:shd w:val="clear" w:color="auto" w:fill="auto"/>
            <w:noWrap/>
            <w:vAlign w:val="bottom"/>
            <w:hideMark/>
          </w:tcPr>
          <w:p w14:paraId="5BF1D2A5"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Diabetes – Non-insulin</w:t>
            </w:r>
          </w:p>
        </w:tc>
        <w:tc>
          <w:tcPr>
            <w:tcW w:w="1458" w:type="dxa"/>
            <w:tcBorders>
              <w:top w:val="nil"/>
              <w:left w:val="nil"/>
              <w:bottom w:val="nil"/>
              <w:right w:val="nil"/>
            </w:tcBorders>
            <w:shd w:val="clear" w:color="auto" w:fill="auto"/>
            <w:noWrap/>
            <w:vAlign w:val="bottom"/>
            <w:hideMark/>
          </w:tcPr>
          <w:p w14:paraId="672AFC6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bottom w:val="nil"/>
              <w:right w:val="nil"/>
            </w:tcBorders>
            <w:shd w:val="clear" w:color="auto" w:fill="auto"/>
            <w:noWrap/>
            <w:vAlign w:val="bottom"/>
            <w:hideMark/>
          </w:tcPr>
          <w:p w14:paraId="7722BE6E"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bottom w:val="nil"/>
              <w:right w:val="nil"/>
            </w:tcBorders>
            <w:shd w:val="clear" w:color="auto" w:fill="auto"/>
            <w:noWrap/>
            <w:vAlign w:val="bottom"/>
            <w:hideMark/>
          </w:tcPr>
          <w:p w14:paraId="0AF08431"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16</w:t>
            </w:r>
          </w:p>
        </w:tc>
        <w:tc>
          <w:tcPr>
            <w:tcW w:w="1201" w:type="dxa"/>
            <w:tcBorders>
              <w:top w:val="nil"/>
              <w:left w:val="nil"/>
              <w:bottom w:val="nil"/>
              <w:right w:val="nil"/>
            </w:tcBorders>
            <w:shd w:val="clear" w:color="auto" w:fill="auto"/>
            <w:noWrap/>
            <w:vAlign w:val="bottom"/>
            <w:hideMark/>
          </w:tcPr>
          <w:p w14:paraId="480BF39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40</w:t>
            </w:r>
          </w:p>
        </w:tc>
      </w:tr>
      <w:tr w:rsidR="000C06BD" w:rsidRPr="000C06BD" w14:paraId="3BAB66F8" w14:textId="77777777" w:rsidTr="000C06BD">
        <w:trPr>
          <w:trHeight w:val="192"/>
        </w:trPr>
        <w:tc>
          <w:tcPr>
            <w:tcW w:w="3780" w:type="dxa"/>
            <w:tcBorders>
              <w:top w:val="nil"/>
              <w:left w:val="nil"/>
              <w:bottom w:val="nil"/>
              <w:right w:val="nil"/>
            </w:tcBorders>
            <w:shd w:val="clear" w:color="auto" w:fill="auto"/>
            <w:noWrap/>
            <w:vAlign w:val="bottom"/>
            <w:hideMark/>
          </w:tcPr>
          <w:p w14:paraId="68C7DFAD"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Immunosuppressant – Rejection</w:t>
            </w:r>
          </w:p>
        </w:tc>
        <w:tc>
          <w:tcPr>
            <w:tcW w:w="1458" w:type="dxa"/>
            <w:tcBorders>
              <w:top w:val="nil"/>
              <w:left w:val="nil"/>
              <w:bottom w:val="nil"/>
              <w:right w:val="nil"/>
            </w:tcBorders>
            <w:shd w:val="clear" w:color="auto" w:fill="auto"/>
            <w:noWrap/>
            <w:vAlign w:val="bottom"/>
            <w:hideMark/>
          </w:tcPr>
          <w:p w14:paraId="56DCD05B"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8</w:t>
            </w:r>
          </w:p>
        </w:tc>
        <w:tc>
          <w:tcPr>
            <w:tcW w:w="1199" w:type="dxa"/>
            <w:tcBorders>
              <w:top w:val="nil"/>
              <w:left w:val="nil"/>
              <w:bottom w:val="nil"/>
              <w:right w:val="nil"/>
            </w:tcBorders>
            <w:shd w:val="clear" w:color="auto" w:fill="auto"/>
            <w:noWrap/>
            <w:vAlign w:val="bottom"/>
            <w:hideMark/>
          </w:tcPr>
          <w:p w14:paraId="70320B19"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10</w:t>
            </w:r>
          </w:p>
        </w:tc>
        <w:tc>
          <w:tcPr>
            <w:tcW w:w="1036" w:type="dxa"/>
            <w:tcBorders>
              <w:top w:val="nil"/>
              <w:left w:val="nil"/>
              <w:bottom w:val="nil"/>
              <w:right w:val="nil"/>
            </w:tcBorders>
            <w:shd w:val="clear" w:color="auto" w:fill="auto"/>
            <w:noWrap/>
            <w:vAlign w:val="bottom"/>
            <w:hideMark/>
          </w:tcPr>
          <w:p w14:paraId="4AE0A854"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8</w:t>
            </w:r>
          </w:p>
        </w:tc>
        <w:tc>
          <w:tcPr>
            <w:tcW w:w="1201" w:type="dxa"/>
            <w:tcBorders>
              <w:top w:val="nil"/>
              <w:left w:val="nil"/>
              <w:bottom w:val="nil"/>
              <w:right w:val="nil"/>
            </w:tcBorders>
            <w:shd w:val="clear" w:color="auto" w:fill="auto"/>
            <w:noWrap/>
            <w:vAlign w:val="bottom"/>
            <w:hideMark/>
          </w:tcPr>
          <w:p w14:paraId="27A68E3C"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10</w:t>
            </w:r>
          </w:p>
        </w:tc>
      </w:tr>
      <w:tr w:rsidR="000C06BD" w:rsidRPr="000C06BD" w14:paraId="581D5F6A" w14:textId="77777777" w:rsidTr="000C06BD">
        <w:trPr>
          <w:trHeight w:val="192"/>
        </w:trPr>
        <w:tc>
          <w:tcPr>
            <w:tcW w:w="3780" w:type="dxa"/>
            <w:tcBorders>
              <w:top w:val="nil"/>
              <w:left w:val="nil"/>
              <w:bottom w:val="nil"/>
              <w:right w:val="nil"/>
            </w:tcBorders>
            <w:shd w:val="clear" w:color="auto" w:fill="auto"/>
            <w:noWrap/>
            <w:vAlign w:val="bottom"/>
            <w:hideMark/>
          </w:tcPr>
          <w:p w14:paraId="399A0366"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Musculoskeletal – Osteoporosis</w:t>
            </w:r>
          </w:p>
        </w:tc>
        <w:tc>
          <w:tcPr>
            <w:tcW w:w="1458" w:type="dxa"/>
            <w:tcBorders>
              <w:top w:val="nil"/>
              <w:left w:val="nil"/>
              <w:bottom w:val="nil"/>
              <w:right w:val="nil"/>
            </w:tcBorders>
            <w:shd w:val="clear" w:color="auto" w:fill="auto"/>
            <w:noWrap/>
            <w:vAlign w:val="bottom"/>
            <w:hideMark/>
          </w:tcPr>
          <w:p w14:paraId="64812895"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w:t>
            </w:r>
          </w:p>
        </w:tc>
        <w:tc>
          <w:tcPr>
            <w:tcW w:w="1199" w:type="dxa"/>
            <w:tcBorders>
              <w:top w:val="nil"/>
              <w:left w:val="nil"/>
              <w:bottom w:val="nil"/>
              <w:right w:val="nil"/>
            </w:tcBorders>
            <w:shd w:val="clear" w:color="auto" w:fill="auto"/>
            <w:noWrap/>
            <w:vAlign w:val="bottom"/>
            <w:hideMark/>
          </w:tcPr>
          <w:p w14:paraId="49FED5B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11</w:t>
            </w:r>
          </w:p>
        </w:tc>
        <w:tc>
          <w:tcPr>
            <w:tcW w:w="1036" w:type="dxa"/>
            <w:tcBorders>
              <w:top w:val="nil"/>
              <w:left w:val="nil"/>
              <w:bottom w:val="nil"/>
              <w:right w:val="nil"/>
            </w:tcBorders>
            <w:shd w:val="clear" w:color="auto" w:fill="auto"/>
            <w:noWrap/>
            <w:vAlign w:val="bottom"/>
            <w:hideMark/>
          </w:tcPr>
          <w:p w14:paraId="505A85EE"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4</w:t>
            </w:r>
          </w:p>
        </w:tc>
        <w:tc>
          <w:tcPr>
            <w:tcW w:w="1201" w:type="dxa"/>
            <w:tcBorders>
              <w:top w:val="nil"/>
              <w:left w:val="nil"/>
              <w:bottom w:val="nil"/>
              <w:right w:val="nil"/>
            </w:tcBorders>
            <w:shd w:val="clear" w:color="auto" w:fill="auto"/>
            <w:noWrap/>
            <w:vAlign w:val="bottom"/>
            <w:hideMark/>
          </w:tcPr>
          <w:p w14:paraId="3BD0E63C"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11</w:t>
            </w:r>
          </w:p>
        </w:tc>
      </w:tr>
      <w:tr w:rsidR="000C06BD" w:rsidRPr="000C06BD" w14:paraId="681A22A3" w14:textId="77777777" w:rsidTr="000C06BD">
        <w:trPr>
          <w:trHeight w:val="192"/>
        </w:trPr>
        <w:tc>
          <w:tcPr>
            <w:tcW w:w="3780" w:type="dxa"/>
            <w:tcBorders>
              <w:top w:val="nil"/>
              <w:left w:val="nil"/>
              <w:right w:val="nil"/>
            </w:tcBorders>
            <w:shd w:val="clear" w:color="auto" w:fill="auto"/>
            <w:noWrap/>
            <w:vAlign w:val="bottom"/>
            <w:hideMark/>
          </w:tcPr>
          <w:p w14:paraId="79E25A9E"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Respiratory – Asthma</w:t>
            </w:r>
          </w:p>
        </w:tc>
        <w:tc>
          <w:tcPr>
            <w:tcW w:w="1458" w:type="dxa"/>
            <w:tcBorders>
              <w:top w:val="nil"/>
              <w:left w:val="nil"/>
              <w:right w:val="nil"/>
            </w:tcBorders>
            <w:shd w:val="clear" w:color="auto" w:fill="auto"/>
            <w:noWrap/>
            <w:vAlign w:val="bottom"/>
            <w:hideMark/>
          </w:tcPr>
          <w:p w14:paraId="7BBB5BED"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199" w:type="dxa"/>
            <w:tcBorders>
              <w:top w:val="nil"/>
              <w:left w:val="nil"/>
              <w:right w:val="nil"/>
            </w:tcBorders>
            <w:shd w:val="clear" w:color="auto" w:fill="auto"/>
            <w:noWrap/>
            <w:vAlign w:val="bottom"/>
            <w:hideMark/>
          </w:tcPr>
          <w:p w14:paraId="5DC28F1A"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w:t>
            </w:r>
          </w:p>
        </w:tc>
        <w:tc>
          <w:tcPr>
            <w:tcW w:w="1036" w:type="dxa"/>
            <w:tcBorders>
              <w:top w:val="nil"/>
              <w:left w:val="nil"/>
              <w:right w:val="nil"/>
            </w:tcBorders>
            <w:shd w:val="clear" w:color="auto" w:fill="auto"/>
            <w:noWrap/>
            <w:vAlign w:val="bottom"/>
            <w:hideMark/>
          </w:tcPr>
          <w:p w14:paraId="0BF8C9F7"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14</w:t>
            </w:r>
          </w:p>
        </w:tc>
        <w:tc>
          <w:tcPr>
            <w:tcW w:w="1201" w:type="dxa"/>
            <w:tcBorders>
              <w:top w:val="nil"/>
              <w:left w:val="nil"/>
              <w:right w:val="nil"/>
            </w:tcBorders>
            <w:shd w:val="clear" w:color="auto" w:fill="auto"/>
            <w:noWrap/>
            <w:vAlign w:val="bottom"/>
            <w:hideMark/>
          </w:tcPr>
          <w:p w14:paraId="6268C353"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38</w:t>
            </w:r>
          </w:p>
        </w:tc>
      </w:tr>
      <w:tr w:rsidR="000C06BD" w:rsidRPr="000C06BD" w14:paraId="30ED2473" w14:textId="77777777" w:rsidTr="000C06BD">
        <w:trPr>
          <w:trHeight w:val="192"/>
        </w:trPr>
        <w:tc>
          <w:tcPr>
            <w:tcW w:w="3780" w:type="dxa"/>
            <w:tcBorders>
              <w:top w:val="nil"/>
              <w:left w:val="nil"/>
              <w:bottom w:val="nil"/>
              <w:right w:val="nil"/>
            </w:tcBorders>
            <w:shd w:val="clear" w:color="auto" w:fill="auto"/>
            <w:noWrap/>
            <w:vAlign w:val="bottom"/>
            <w:hideMark/>
          </w:tcPr>
          <w:p w14:paraId="4DAFBF19" w14:textId="77777777" w:rsidR="000C06BD" w:rsidRPr="000C06BD" w:rsidRDefault="000C06BD" w:rsidP="000C06BD">
            <w:pPr>
              <w:spacing w:after="0" w:line="240" w:lineRule="auto"/>
              <w:rPr>
                <w:rFonts w:asciiTheme="minorHAnsi" w:hAnsiTheme="minorHAnsi" w:cstheme="minorHAnsi"/>
                <w:color w:val="000000"/>
                <w:lang w:eastAsia="zh-CN"/>
              </w:rPr>
            </w:pPr>
            <w:r w:rsidRPr="000C06BD">
              <w:rPr>
                <w:rFonts w:asciiTheme="minorHAnsi" w:hAnsiTheme="minorHAnsi" w:cstheme="minorHAnsi"/>
                <w:color w:val="000000"/>
                <w:lang w:eastAsia="zh-CN"/>
              </w:rPr>
              <w:t xml:space="preserve">Vitamins </w:t>
            </w:r>
          </w:p>
        </w:tc>
        <w:tc>
          <w:tcPr>
            <w:tcW w:w="1458" w:type="dxa"/>
            <w:tcBorders>
              <w:top w:val="nil"/>
              <w:left w:val="nil"/>
              <w:bottom w:val="nil"/>
              <w:right w:val="nil"/>
            </w:tcBorders>
            <w:shd w:val="clear" w:color="auto" w:fill="auto"/>
            <w:noWrap/>
            <w:vAlign w:val="bottom"/>
            <w:hideMark/>
          </w:tcPr>
          <w:p w14:paraId="6A4313E5"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2</w:t>
            </w:r>
          </w:p>
        </w:tc>
        <w:tc>
          <w:tcPr>
            <w:tcW w:w="1199" w:type="dxa"/>
            <w:tcBorders>
              <w:top w:val="nil"/>
              <w:left w:val="nil"/>
              <w:bottom w:val="nil"/>
              <w:right w:val="nil"/>
            </w:tcBorders>
            <w:shd w:val="clear" w:color="auto" w:fill="auto"/>
            <w:noWrap/>
            <w:vAlign w:val="bottom"/>
            <w:hideMark/>
          </w:tcPr>
          <w:p w14:paraId="2A5F3506"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0</w:t>
            </w:r>
          </w:p>
        </w:tc>
        <w:tc>
          <w:tcPr>
            <w:tcW w:w="1036" w:type="dxa"/>
            <w:tcBorders>
              <w:top w:val="nil"/>
              <w:left w:val="nil"/>
              <w:bottom w:val="nil"/>
              <w:right w:val="nil"/>
            </w:tcBorders>
            <w:shd w:val="clear" w:color="auto" w:fill="auto"/>
            <w:noWrap/>
            <w:vAlign w:val="bottom"/>
            <w:hideMark/>
          </w:tcPr>
          <w:p w14:paraId="2181F22F"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2</w:t>
            </w:r>
          </w:p>
        </w:tc>
        <w:tc>
          <w:tcPr>
            <w:tcW w:w="1201" w:type="dxa"/>
            <w:tcBorders>
              <w:top w:val="nil"/>
              <w:left w:val="nil"/>
              <w:bottom w:val="nil"/>
              <w:right w:val="nil"/>
            </w:tcBorders>
            <w:shd w:val="clear" w:color="auto" w:fill="auto"/>
            <w:noWrap/>
            <w:vAlign w:val="bottom"/>
            <w:hideMark/>
          </w:tcPr>
          <w:p w14:paraId="1134C819" w14:textId="77777777" w:rsidR="000C06BD" w:rsidRPr="000C06BD" w:rsidRDefault="000C06BD" w:rsidP="000C06BD">
            <w:pPr>
              <w:spacing w:after="0" w:line="240" w:lineRule="auto"/>
              <w:jc w:val="center"/>
              <w:rPr>
                <w:rFonts w:asciiTheme="minorHAnsi" w:hAnsiTheme="minorHAnsi" w:cstheme="minorHAnsi"/>
                <w:color w:val="000000"/>
                <w:lang w:eastAsia="zh-CN"/>
              </w:rPr>
            </w:pPr>
            <w:r w:rsidRPr="000C06BD">
              <w:rPr>
                <w:rFonts w:asciiTheme="minorHAnsi" w:hAnsiTheme="minorHAnsi" w:cstheme="minorHAnsi"/>
                <w:color w:val="000000"/>
                <w:lang w:eastAsia="zh-CN"/>
              </w:rPr>
              <w:t>0</w:t>
            </w:r>
          </w:p>
        </w:tc>
      </w:tr>
      <w:tr w:rsidR="000C06BD" w:rsidRPr="000C06BD" w14:paraId="4F8CE499" w14:textId="77777777" w:rsidTr="000C06BD">
        <w:trPr>
          <w:trHeight w:val="192"/>
        </w:trPr>
        <w:tc>
          <w:tcPr>
            <w:tcW w:w="3780" w:type="dxa"/>
            <w:tcBorders>
              <w:top w:val="nil"/>
              <w:left w:val="nil"/>
              <w:bottom w:val="nil"/>
              <w:right w:val="nil"/>
            </w:tcBorders>
            <w:shd w:val="clear" w:color="auto" w:fill="auto"/>
            <w:noWrap/>
            <w:vAlign w:val="bottom"/>
          </w:tcPr>
          <w:p w14:paraId="149C208E" w14:textId="77777777" w:rsidR="000C06BD" w:rsidRPr="000C06BD" w:rsidRDefault="000C06BD" w:rsidP="000C06BD">
            <w:pPr>
              <w:spacing w:after="0" w:line="240" w:lineRule="auto"/>
              <w:rPr>
                <w:rFonts w:asciiTheme="minorHAnsi" w:hAnsiTheme="minorHAnsi" w:cstheme="minorHAnsi"/>
                <w:b/>
                <w:color w:val="000000"/>
                <w:lang w:eastAsia="zh-CN"/>
              </w:rPr>
            </w:pPr>
            <w:r w:rsidRPr="000C06BD">
              <w:rPr>
                <w:rFonts w:asciiTheme="minorHAnsi" w:hAnsiTheme="minorHAnsi" w:cstheme="minorHAnsi"/>
                <w:b/>
                <w:color w:val="000000"/>
                <w:lang w:eastAsia="zh-CN"/>
              </w:rPr>
              <w:t>Total</w:t>
            </w:r>
          </w:p>
        </w:tc>
        <w:tc>
          <w:tcPr>
            <w:tcW w:w="1458" w:type="dxa"/>
            <w:tcBorders>
              <w:top w:val="nil"/>
              <w:left w:val="nil"/>
              <w:bottom w:val="nil"/>
              <w:right w:val="nil"/>
            </w:tcBorders>
            <w:shd w:val="clear" w:color="auto" w:fill="auto"/>
            <w:noWrap/>
            <w:vAlign w:val="bottom"/>
          </w:tcPr>
          <w:p w14:paraId="449993B8" w14:textId="77777777" w:rsidR="000C06BD" w:rsidRPr="000C06BD" w:rsidRDefault="000C06BD" w:rsidP="000C06BD">
            <w:pPr>
              <w:spacing w:after="0" w:line="240" w:lineRule="auto"/>
              <w:jc w:val="center"/>
              <w:rPr>
                <w:rFonts w:asciiTheme="minorHAnsi" w:hAnsiTheme="minorHAnsi" w:cstheme="minorHAnsi"/>
                <w:b/>
                <w:color w:val="000000"/>
                <w:lang w:eastAsia="zh-CN"/>
              </w:rPr>
            </w:pPr>
            <w:r w:rsidRPr="000C06BD">
              <w:rPr>
                <w:rFonts w:asciiTheme="minorHAnsi" w:hAnsiTheme="minorHAnsi" w:cstheme="minorHAnsi"/>
                <w:b/>
                <w:color w:val="000000"/>
                <w:lang w:eastAsia="zh-CN"/>
              </w:rPr>
              <w:t>135</w:t>
            </w:r>
          </w:p>
        </w:tc>
        <w:tc>
          <w:tcPr>
            <w:tcW w:w="1199" w:type="dxa"/>
            <w:tcBorders>
              <w:top w:val="nil"/>
              <w:left w:val="nil"/>
              <w:bottom w:val="nil"/>
              <w:right w:val="nil"/>
            </w:tcBorders>
            <w:shd w:val="clear" w:color="auto" w:fill="auto"/>
            <w:noWrap/>
            <w:vAlign w:val="bottom"/>
          </w:tcPr>
          <w:p w14:paraId="52C4D328" w14:textId="77777777" w:rsidR="000C06BD" w:rsidRPr="000C06BD" w:rsidRDefault="000C06BD" w:rsidP="000C06BD">
            <w:pPr>
              <w:spacing w:after="0" w:line="240" w:lineRule="auto"/>
              <w:jc w:val="center"/>
              <w:rPr>
                <w:rFonts w:asciiTheme="minorHAnsi" w:hAnsiTheme="minorHAnsi" w:cstheme="minorHAnsi"/>
                <w:b/>
                <w:color w:val="000000"/>
                <w:lang w:eastAsia="zh-CN"/>
              </w:rPr>
            </w:pPr>
            <w:r w:rsidRPr="000C06BD">
              <w:rPr>
                <w:rFonts w:asciiTheme="minorHAnsi" w:hAnsiTheme="minorHAnsi" w:cstheme="minorHAnsi"/>
                <w:b/>
                <w:color w:val="000000"/>
                <w:lang w:eastAsia="zh-CN"/>
              </w:rPr>
              <w:t>172</w:t>
            </w:r>
          </w:p>
        </w:tc>
        <w:tc>
          <w:tcPr>
            <w:tcW w:w="1036" w:type="dxa"/>
            <w:tcBorders>
              <w:top w:val="nil"/>
              <w:left w:val="nil"/>
              <w:bottom w:val="nil"/>
              <w:right w:val="nil"/>
            </w:tcBorders>
            <w:shd w:val="clear" w:color="auto" w:fill="auto"/>
            <w:noWrap/>
            <w:vAlign w:val="bottom"/>
          </w:tcPr>
          <w:p w14:paraId="63E59326" w14:textId="77777777" w:rsidR="000C06BD" w:rsidRPr="000C06BD" w:rsidRDefault="000C06BD" w:rsidP="000C06BD">
            <w:pPr>
              <w:spacing w:after="0" w:line="240" w:lineRule="auto"/>
              <w:jc w:val="center"/>
              <w:rPr>
                <w:rFonts w:asciiTheme="minorHAnsi" w:hAnsiTheme="minorHAnsi" w:cstheme="minorHAnsi"/>
                <w:b/>
                <w:color w:val="000000"/>
                <w:lang w:eastAsia="zh-CN"/>
              </w:rPr>
            </w:pPr>
            <w:r w:rsidRPr="000C06BD">
              <w:rPr>
                <w:rFonts w:asciiTheme="minorHAnsi" w:hAnsiTheme="minorHAnsi" w:cstheme="minorHAnsi"/>
                <w:b/>
                <w:color w:val="000000"/>
                <w:lang w:eastAsia="zh-CN"/>
              </w:rPr>
              <w:t>190</w:t>
            </w:r>
          </w:p>
        </w:tc>
        <w:tc>
          <w:tcPr>
            <w:tcW w:w="1201" w:type="dxa"/>
            <w:tcBorders>
              <w:top w:val="nil"/>
              <w:left w:val="nil"/>
              <w:bottom w:val="nil"/>
              <w:right w:val="nil"/>
            </w:tcBorders>
            <w:shd w:val="clear" w:color="auto" w:fill="auto"/>
            <w:noWrap/>
            <w:vAlign w:val="bottom"/>
          </w:tcPr>
          <w:p w14:paraId="794B0F0A" w14:textId="77777777" w:rsidR="000C06BD" w:rsidRPr="000C06BD" w:rsidRDefault="000C06BD" w:rsidP="000C06BD">
            <w:pPr>
              <w:spacing w:after="0" w:line="240" w:lineRule="auto"/>
              <w:jc w:val="center"/>
              <w:rPr>
                <w:rFonts w:asciiTheme="minorHAnsi" w:hAnsiTheme="minorHAnsi" w:cstheme="minorHAnsi"/>
                <w:b/>
                <w:color w:val="000000"/>
                <w:lang w:eastAsia="zh-CN"/>
              </w:rPr>
            </w:pPr>
            <w:r w:rsidRPr="000C06BD">
              <w:rPr>
                <w:rFonts w:asciiTheme="minorHAnsi" w:hAnsiTheme="minorHAnsi" w:cstheme="minorHAnsi"/>
                <w:b/>
                <w:color w:val="000000"/>
                <w:lang w:eastAsia="zh-CN"/>
              </w:rPr>
              <w:t>321</w:t>
            </w:r>
          </w:p>
        </w:tc>
      </w:tr>
      <w:tr w:rsidR="000C06BD" w:rsidRPr="000C06BD" w14:paraId="161244B5" w14:textId="77777777" w:rsidTr="000C06BD">
        <w:trPr>
          <w:trHeight w:val="192"/>
        </w:trPr>
        <w:tc>
          <w:tcPr>
            <w:tcW w:w="3780" w:type="dxa"/>
            <w:tcBorders>
              <w:top w:val="nil"/>
              <w:left w:val="nil"/>
              <w:right w:val="nil"/>
            </w:tcBorders>
            <w:shd w:val="clear" w:color="auto" w:fill="auto"/>
            <w:noWrap/>
            <w:vAlign w:val="bottom"/>
          </w:tcPr>
          <w:p w14:paraId="6B2AA60F" w14:textId="77777777" w:rsidR="000C06BD" w:rsidRPr="000C06BD" w:rsidRDefault="000C06BD" w:rsidP="000C06BD">
            <w:pPr>
              <w:spacing w:after="0" w:line="240" w:lineRule="auto"/>
              <w:rPr>
                <w:rFonts w:asciiTheme="minorHAnsi" w:hAnsiTheme="minorHAnsi" w:cstheme="minorHAnsi"/>
                <w:color w:val="000000"/>
                <w:lang w:eastAsia="zh-CN"/>
              </w:rPr>
            </w:pPr>
          </w:p>
        </w:tc>
        <w:tc>
          <w:tcPr>
            <w:tcW w:w="1458" w:type="dxa"/>
            <w:tcBorders>
              <w:top w:val="nil"/>
              <w:left w:val="nil"/>
              <w:right w:val="nil"/>
            </w:tcBorders>
            <w:shd w:val="clear" w:color="auto" w:fill="auto"/>
            <w:noWrap/>
            <w:vAlign w:val="bottom"/>
          </w:tcPr>
          <w:p w14:paraId="5E317D8A" w14:textId="77777777" w:rsidR="000C06BD" w:rsidRPr="000C06BD" w:rsidRDefault="000C06BD" w:rsidP="000C06BD">
            <w:pPr>
              <w:spacing w:after="0" w:line="240" w:lineRule="auto"/>
              <w:jc w:val="center"/>
              <w:rPr>
                <w:rFonts w:asciiTheme="minorHAnsi" w:hAnsiTheme="minorHAnsi" w:cstheme="minorHAnsi"/>
                <w:color w:val="000000"/>
                <w:lang w:eastAsia="zh-CN"/>
              </w:rPr>
            </w:pPr>
          </w:p>
        </w:tc>
        <w:tc>
          <w:tcPr>
            <w:tcW w:w="1199" w:type="dxa"/>
            <w:tcBorders>
              <w:top w:val="nil"/>
              <w:left w:val="nil"/>
              <w:right w:val="nil"/>
            </w:tcBorders>
            <w:shd w:val="clear" w:color="auto" w:fill="auto"/>
            <w:noWrap/>
            <w:vAlign w:val="bottom"/>
          </w:tcPr>
          <w:p w14:paraId="2BAA0D25" w14:textId="77777777" w:rsidR="000C06BD" w:rsidRPr="000C06BD" w:rsidRDefault="000C06BD" w:rsidP="000C06BD">
            <w:pPr>
              <w:spacing w:after="0" w:line="240" w:lineRule="auto"/>
              <w:jc w:val="center"/>
              <w:rPr>
                <w:rFonts w:asciiTheme="minorHAnsi" w:hAnsiTheme="minorHAnsi" w:cstheme="minorHAnsi"/>
                <w:color w:val="000000"/>
                <w:lang w:eastAsia="zh-CN"/>
              </w:rPr>
            </w:pPr>
          </w:p>
        </w:tc>
        <w:tc>
          <w:tcPr>
            <w:tcW w:w="1036" w:type="dxa"/>
            <w:tcBorders>
              <w:top w:val="nil"/>
              <w:left w:val="nil"/>
              <w:right w:val="nil"/>
            </w:tcBorders>
            <w:shd w:val="clear" w:color="auto" w:fill="auto"/>
            <w:noWrap/>
            <w:vAlign w:val="bottom"/>
          </w:tcPr>
          <w:p w14:paraId="35C72181" w14:textId="77777777" w:rsidR="000C06BD" w:rsidRPr="000C06BD" w:rsidRDefault="000C06BD" w:rsidP="000C06BD">
            <w:pPr>
              <w:spacing w:after="0" w:line="240" w:lineRule="auto"/>
              <w:jc w:val="center"/>
              <w:rPr>
                <w:rFonts w:asciiTheme="minorHAnsi" w:hAnsiTheme="minorHAnsi" w:cstheme="minorHAnsi"/>
                <w:color w:val="000000"/>
                <w:lang w:eastAsia="zh-CN"/>
              </w:rPr>
            </w:pPr>
          </w:p>
        </w:tc>
        <w:tc>
          <w:tcPr>
            <w:tcW w:w="1201" w:type="dxa"/>
            <w:tcBorders>
              <w:top w:val="nil"/>
              <w:left w:val="nil"/>
              <w:right w:val="nil"/>
            </w:tcBorders>
            <w:shd w:val="clear" w:color="auto" w:fill="auto"/>
            <w:noWrap/>
            <w:vAlign w:val="bottom"/>
          </w:tcPr>
          <w:p w14:paraId="335D1C45" w14:textId="77777777" w:rsidR="000C06BD" w:rsidRPr="000C06BD" w:rsidRDefault="000C06BD" w:rsidP="000C06BD">
            <w:pPr>
              <w:spacing w:after="0" w:line="240" w:lineRule="auto"/>
              <w:jc w:val="center"/>
              <w:rPr>
                <w:rFonts w:asciiTheme="minorHAnsi" w:hAnsiTheme="minorHAnsi" w:cstheme="minorHAnsi"/>
                <w:color w:val="000000"/>
                <w:lang w:eastAsia="zh-CN"/>
              </w:rPr>
            </w:pPr>
          </w:p>
        </w:tc>
      </w:tr>
    </w:tbl>
    <w:p w14:paraId="6603C6A8" w14:textId="77777777" w:rsidR="00B0482B" w:rsidRDefault="00B0482B">
      <w:pPr>
        <w:spacing w:after="160" w:line="259" w:lineRule="auto"/>
      </w:pPr>
    </w:p>
    <w:p w14:paraId="2CA1A8E1" w14:textId="77777777" w:rsidR="00B0482B" w:rsidRDefault="00B0482B" w:rsidP="00B0482B">
      <w:pPr>
        <w:spacing w:after="0" w:line="240" w:lineRule="auto"/>
        <w:rPr>
          <w:rFonts w:cs="Arial"/>
          <w:color w:val="000000"/>
          <w:lang w:eastAsia="zh-CN"/>
        </w:rPr>
      </w:pPr>
    </w:p>
    <w:p w14:paraId="19A915CF" w14:textId="556918B0" w:rsidR="00434583" w:rsidRDefault="00434583" w:rsidP="00B0482B">
      <w:pPr>
        <w:spacing w:after="160" w:line="259" w:lineRule="auto"/>
      </w:pPr>
    </w:p>
    <w:p w14:paraId="5D01D04C" w14:textId="62C2E5A2" w:rsidR="00B0482B" w:rsidRDefault="00B0482B">
      <w:pPr>
        <w:spacing w:after="160" w:line="259" w:lineRule="auto"/>
        <w:rPr>
          <w:b/>
        </w:rPr>
      </w:pPr>
    </w:p>
    <w:p w14:paraId="454F4FE4" w14:textId="77777777" w:rsidR="00B0482B" w:rsidRDefault="00B0482B">
      <w:pPr>
        <w:spacing w:after="160" w:line="259" w:lineRule="auto"/>
        <w:rPr>
          <w:b/>
        </w:rPr>
      </w:pPr>
      <w:r>
        <w:rPr>
          <w:b/>
        </w:rPr>
        <w:br w:type="page"/>
      </w:r>
    </w:p>
    <w:p w14:paraId="68610BB1" w14:textId="13F5FED2" w:rsidR="00434583" w:rsidRPr="00DD4DB1" w:rsidRDefault="00753C13" w:rsidP="00434583">
      <w:pPr>
        <w:spacing w:line="240" w:lineRule="auto"/>
        <w:rPr>
          <w:b/>
        </w:rPr>
        <w:sectPr w:rsidR="00434583" w:rsidRPr="00DD4DB1" w:rsidSect="00AB0018">
          <w:pgSz w:w="12240" w:h="15840"/>
          <w:pgMar w:top="1440" w:right="1440" w:bottom="1440" w:left="1440" w:header="720" w:footer="720" w:gutter="0"/>
          <w:cols w:space="720"/>
          <w:docGrid w:linePitch="360"/>
        </w:sectPr>
      </w:pPr>
      <w:r>
        <w:rPr>
          <w:b/>
        </w:rPr>
        <w:lastRenderedPageBreak/>
        <w:t xml:space="preserve">SDC </w:t>
      </w:r>
      <w:r w:rsidR="00434583" w:rsidRPr="00DD4DB1">
        <w:rPr>
          <w:b/>
        </w:rPr>
        <w:t>Table 2</w:t>
      </w:r>
      <w:r w:rsidR="00095A9D">
        <w:rPr>
          <w:b/>
        </w:rPr>
        <w:t>.3</w:t>
      </w:r>
      <w:r w:rsidR="00434583" w:rsidRPr="00DD4DB1">
        <w:rPr>
          <w:b/>
        </w:rPr>
        <w:t xml:space="preserve"> Medications on the 2014 Expanded Preventive Drug List by therape</w:t>
      </w:r>
      <w:r w:rsidR="00434583">
        <w:rPr>
          <w:b/>
        </w:rPr>
        <w:t>u</w:t>
      </w:r>
      <w:r w:rsidR="00434583" w:rsidRPr="00DD4DB1">
        <w:rPr>
          <w:b/>
        </w:rPr>
        <w:t xml:space="preserve">tic category and whether </w:t>
      </w:r>
      <w:r w:rsidR="005B0DF6">
        <w:rPr>
          <w:b/>
        </w:rPr>
        <w:t xml:space="preserve">also </w:t>
      </w:r>
      <w:r w:rsidR="00434583" w:rsidRPr="00DD4DB1">
        <w:rPr>
          <w:b/>
        </w:rPr>
        <w:t>listed on the Core PDL</w:t>
      </w:r>
    </w:p>
    <w:tbl>
      <w:tblPr>
        <w:tblW w:w="4662" w:type="dxa"/>
        <w:tblInd w:w="108" w:type="dxa"/>
        <w:tblCellMar>
          <w:left w:w="29" w:type="dxa"/>
          <w:right w:w="29" w:type="dxa"/>
        </w:tblCellMar>
        <w:tblLook w:val="04A0" w:firstRow="1" w:lastRow="0" w:firstColumn="1" w:lastColumn="0" w:noHBand="0" w:noVBand="1"/>
      </w:tblPr>
      <w:tblGrid>
        <w:gridCol w:w="2430"/>
        <w:gridCol w:w="1332"/>
        <w:gridCol w:w="900"/>
      </w:tblGrid>
      <w:tr w:rsidR="00434583" w:rsidRPr="001A20A2" w14:paraId="48F227B5" w14:textId="77777777" w:rsidTr="001E04CC">
        <w:trPr>
          <w:trHeight w:val="20"/>
          <w:tblHeader/>
        </w:trPr>
        <w:tc>
          <w:tcPr>
            <w:tcW w:w="2430" w:type="dxa"/>
            <w:tcBorders>
              <w:top w:val="nil"/>
              <w:left w:val="nil"/>
              <w:bottom w:val="single" w:sz="4" w:space="0" w:color="auto"/>
              <w:right w:val="nil"/>
            </w:tcBorders>
            <w:shd w:val="clear" w:color="auto" w:fill="auto"/>
            <w:noWrap/>
            <w:vAlign w:val="bottom"/>
            <w:hideMark/>
          </w:tcPr>
          <w:p w14:paraId="6E0A711F" w14:textId="77777777" w:rsidR="00434583" w:rsidRPr="001A20A2" w:rsidRDefault="00434583" w:rsidP="00AB0018">
            <w:pPr>
              <w:spacing w:after="0" w:line="240" w:lineRule="auto"/>
              <w:rPr>
                <w:rFonts w:ascii="Calibri" w:eastAsia="Times New Roman" w:hAnsi="Calibri" w:cs="Times New Roman"/>
                <w:b/>
                <w:bCs/>
                <w:color w:val="000000"/>
                <w:sz w:val="16"/>
                <w:szCs w:val="16"/>
              </w:rPr>
            </w:pPr>
            <w:r w:rsidRPr="001A20A2">
              <w:rPr>
                <w:rFonts w:ascii="Calibri" w:eastAsia="Times New Roman" w:hAnsi="Calibri" w:cs="Times New Roman"/>
                <w:b/>
                <w:bCs/>
                <w:color w:val="000000"/>
                <w:sz w:val="16"/>
                <w:szCs w:val="16"/>
              </w:rPr>
              <w:t>Drug *</w:t>
            </w:r>
          </w:p>
        </w:tc>
        <w:tc>
          <w:tcPr>
            <w:tcW w:w="1332" w:type="dxa"/>
            <w:tcBorders>
              <w:top w:val="nil"/>
              <w:left w:val="nil"/>
              <w:bottom w:val="single" w:sz="4" w:space="0" w:color="auto"/>
              <w:right w:val="nil"/>
            </w:tcBorders>
            <w:shd w:val="clear" w:color="auto" w:fill="auto"/>
            <w:noWrap/>
            <w:vAlign w:val="bottom"/>
            <w:hideMark/>
          </w:tcPr>
          <w:p w14:paraId="21A29AB7" w14:textId="77777777" w:rsidR="00434583" w:rsidRPr="001A20A2" w:rsidRDefault="00434583" w:rsidP="00AB0018">
            <w:pPr>
              <w:spacing w:after="0" w:line="240" w:lineRule="auto"/>
              <w:rPr>
                <w:rFonts w:ascii="Calibri" w:eastAsia="Times New Roman" w:hAnsi="Calibri" w:cs="Times New Roman"/>
                <w:b/>
                <w:bCs/>
                <w:color w:val="000000"/>
                <w:sz w:val="16"/>
                <w:szCs w:val="16"/>
              </w:rPr>
            </w:pPr>
            <w:r w:rsidRPr="001A20A2">
              <w:rPr>
                <w:rFonts w:ascii="Calibri" w:eastAsia="Times New Roman" w:hAnsi="Calibri" w:cs="Times New Roman"/>
                <w:b/>
                <w:bCs/>
                <w:color w:val="000000"/>
                <w:sz w:val="16"/>
                <w:szCs w:val="16"/>
              </w:rPr>
              <w:t>Category</w:t>
            </w:r>
          </w:p>
        </w:tc>
        <w:tc>
          <w:tcPr>
            <w:tcW w:w="900" w:type="dxa"/>
            <w:tcBorders>
              <w:top w:val="nil"/>
              <w:left w:val="nil"/>
              <w:bottom w:val="single" w:sz="4" w:space="0" w:color="auto"/>
              <w:right w:val="nil"/>
            </w:tcBorders>
            <w:shd w:val="clear" w:color="auto" w:fill="auto"/>
            <w:noWrap/>
            <w:vAlign w:val="bottom"/>
            <w:hideMark/>
          </w:tcPr>
          <w:p w14:paraId="76161A0C" w14:textId="77777777" w:rsidR="00434583" w:rsidRPr="001A20A2" w:rsidRDefault="00434583" w:rsidP="00AB0018">
            <w:pPr>
              <w:spacing w:after="0" w:line="240" w:lineRule="auto"/>
              <w:jc w:val="center"/>
              <w:rPr>
                <w:rFonts w:ascii="Calibri" w:eastAsia="Times New Roman" w:hAnsi="Calibri" w:cs="Times New Roman"/>
                <w:b/>
                <w:bCs/>
                <w:color w:val="000000"/>
                <w:sz w:val="16"/>
                <w:szCs w:val="16"/>
              </w:rPr>
            </w:pPr>
            <w:r w:rsidRPr="001A20A2">
              <w:rPr>
                <w:rFonts w:ascii="Calibri" w:eastAsia="Times New Roman" w:hAnsi="Calibri" w:cs="Times New Roman"/>
                <w:b/>
                <w:bCs/>
                <w:color w:val="000000"/>
                <w:sz w:val="16"/>
                <w:szCs w:val="16"/>
              </w:rPr>
              <w:t>Core PDL</w:t>
            </w:r>
          </w:p>
        </w:tc>
      </w:tr>
      <w:tr w:rsidR="00434583" w:rsidRPr="001A20A2" w14:paraId="603D5B1F" w14:textId="77777777" w:rsidTr="001E04CC">
        <w:trPr>
          <w:trHeight w:val="20"/>
        </w:trPr>
        <w:tc>
          <w:tcPr>
            <w:tcW w:w="2430" w:type="dxa"/>
            <w:tcBorders>
              <w:top w:val="single" w:sz="4" w:space="0" w:color="auto"/>
              <w:left w:val="nil"/>
              <w:bottom w:val="nil"/>
              <w:right w:val="nil"/>
            </w:tcBorders>
            <w:shd w:val="clear" w:color="auto" w:fill="auto"/>
            <w:noWrap/>
            <w:vAlign w:val="bottom"/>
            <w:hideMark/>
          </w:tcPr>
          <w:p w14:paraId="0CEA339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abacavir</w:t>
            </w:r>
          </w:p>
        </w:tc>
        <w:tc>
          <w:tcPr>
            <w:tcW w:w="1332" w:type="dxa"/>
            <w:tcBorders>
              <w:top w:val="single" w:sz="4" w:space="0" w:color="auto"/>
              <w:left w:val="nil"/>
              <w:bottom w:val="nil"/>
              <w:right w:val="nil"/>
            </w:tcBorders>
            <w:shd w:val="clear" w:color="auto" w:fill="auto"/>
            <w:noWrap/>
            <w:vAlign w:val="bottom"/>
            <w:hideMark/>
          </w:tcPr>
          <w:p w14:paraId="0FC993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single" w:sz="4" w:space="0" w:color="auto"/>
              <w:left w:val="nil"/>
              <w:bottom w:val="nil"/>
              <w:right w:val="nil"/>
            </w:tcBorders>
            <w:shd w:val="clear" w:color="auto" w:fill="auto"/>
            <w:noWrap/>
            <w:vAlign w:val="bottom"/>
            <w:hideMark/>
          </w:tcPr>
          <w:p w14:paraId="431A3A5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2AF2E7E" w14:textId="77777777" w:rsidTr="001E04CC">
        <w:trPr>
          <w:trHeight w:val="20"/>
        </w:trPr>
        <w:tc>
          <w:tcPr>
            <w:tcW w:w="2430" w:type="dxa"/>
            <w:tcBorders>
              <w:top w:val="nil"/>
              <w:left w:val="nil"/>
              <w:bottom w:val="nil"/>
              <w:right w:val="nil"/>
            </w:tcBorders>
            <w:shd w:val="clear" w:color="auto" w:fill="auto"/>
            <w:noWrap/>
            <w:vAlign w:val="bottom"/>
            <w:hideMark/>
          </w:tcPr>
          <w:p w14:paraId="2CDD989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abacavir-lamivudine-zidovudine</w:t>
            </w:r>
          </w:p>
        </w:tc>
        <w:tc>
          <w:tcPr>
            <w:tcW w:w="1332" w:type="dxa"/>
            <w:tcBorders>
              <w:top w:val="nil"/>
              <w:left w:val="nil"/>
              <w:bottom w:val="nil"/>
              <w:right w:val="nil"/>
            </w:tcBorders>
            <w:shd w:val="clear" w:color="auto" w:fill="auto"/>
            <w:noWrap/>
            <w:vAlign w:val="bottom"/>
            <w:hideMark/>
          </w:tcPr>
          <w:p w14:paraId="4C33BB0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79A39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8CFD6AB" w14:textId="77777777" w:rsidTr="001E04CC">
        <w:trPr>
          <w:trHeight w:val="20"/>
        </w:trPr>
        <w:tc>
          <w:tcPr>
            <w:tcW w:w="2430" w:type="dxa"/>
            <w:tcBorders>
              <w:top w:val="nil"/>
              <w:left w:val="nil"/>
              <w:bottom w:val="nil"/>
              <w:right w:val="nil"/>
            </w:tcBorders>
            <w:shd w:val="clear" w:color="auto" w:fill="auto"/>
            <w:noWrap/>
            <w:vAlign w:val="bottom"/>
            <w:hideMark/>
          </w:tcPr>
          <w:p w14:paraId="45978F9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Abilify</w:t>
            </w:r>
          </w:p>
        </w:tc>
        <w:tc>
          <w:tcPr>
            <w:tcW w:w="1332" w:type="dxa"/>
            <w:tcBorders>
              <w:top w:val="nil"/>
              <w:left w:val="nil"/>
              <w:bottom w:val="nil"/>
              <w:right w:val="nil"/>
            </w:tcBorders>
            <w:shd w:val="clear" w:color="auto" w:fill="auto"/>
            <w:noWrap/>
            <w:vAlign w:val="bottom"/>
            <w:hideMark/>
          </w:tcPr>
          <w:p w14:paraId="626C320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6BC8FE4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5CB33E3" w14:textId="77777777" w:rsidTr="001E04CC">
        <w:trPr>
          <w:trHeight w:val="20"/>
        </w:trPr>
        <w:tc>
          <w:tcPr>
            <w:tcW w:w="2430" w:type="dxa"/>
            <w:tcBorders>
              <w:top w:val="nil"/>
              <w:left w:val="nil"/>
              <w:bottom w:val="nil"/>
              <w:right w:val="nil"/>
            </w:tcBorders>
            <w:shd w:val="clear" w:color="auto" w:fill="auto"/>
            <w:noWrap/>
            <w:vAlign w:val="bottom"/>
            <w:hideMark/>
          </w:tcPr>
          <w:p w14:paraId="786B0EB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acarbose</w:t>
            </w:r>
          </w:p>
        </w:tc>
        <w:tc>
          <w:tcPr>
            <w:tcW w:w="1332" w:type="dxa"/>
            <w:tcBorders>
              <w:top w:val="nil"/>
              <w:left w:val="nil"/>
              <w:bottom w:val="nil"/>
              <w:right w:val="nil"/>
            </w:tcBorders>
            <w:shd w:val="clear" w:color="auto" w:fill="auto"/>
            <w:noWrap/>
            <w:vAlign w:val="bottom"/>
            <w:hideMark/>
          </w:tcPr>
          <w:p w14:paraId="3E21B12B" w14:textId="68D10F0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D969B2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E532AE0" w14:textId="77777777" w:rsidTr="001E04CC">
        <w:trPr>
          <w:trHeight w:val="20"/>
        </w:trPr>
        <w:tc>
          <w:tcPr>
            <w:tcW w:w="2430" w:type="dxa"/>
            <w:tcBorders>
              <w:top w:val="nil"/>
              <w:left w:val="nil"/>
              <w:bottom w:val="nil"/>
              <w:right w:val="nil"/>
            </w:tcBorders>
            <w:shd w:val="clear" w:color="auto" w:fill="auto"/>
            <w:noWrap/>
            <w:vAlign w:val="bottom"/>
            <w:hideMark/>
          </w:tcPr>
          <w:p w14:paraId="5F92439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Accolate</w:t>
            </w:r>
          </w:p>
        </w:tc>
        <w:tc>
          <w:tcPr>
            <w:tcW w:w="1332" w:type="dxa"/>
            <w:tcBorders>
              <w:top w:val="nil"/>
              <w:left w:val="nil"/>
              <w:bottom w:val="nil"/>
              <w:right w:val="nil"/>
            </w:tcBorders>
            <w:shd w:val="clear" w:color="auto" w:fill="auto"/>
            <w:noWrap/>
            <w:vAlign w:val="bottom"/>
            <w:hideMark/>
          </w:tcPr>
          <w:p w14:paraId="0937AD3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37FC8A5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FEE014B" w14:textId="77777777" w:rsidTr="001E04CC">
        <w:trPr>
          <w:trHeight w:val="20"/>
        </w:trPr>
        <w:tc>
          <w:tcPr>
            <w:tcW w:w="2430" w:type="dxa"/>
            <w:tcBorders>
              <w:top w:val="nil"/>
              <w:left w:val="nil"/>
              <w:bottom w:val="nil"/>
              <w:right w:val="nil"/>
            </w:tcBorders>
            <w:shd w:val="clear" w:color="auto" w:fill="auto"/>
            <w:noWrap/>
            <w:vAlign w:val="bottom"/>
            <w:hideMark/>
          </w:tcPr>
          <w:p w14:paraId="07A0D15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Accuneb</w:t>
            </w:r>
            <w:proofErr w:type="spellEnd"/>
          </w:p>
        </w:tc>
        <w:tc>
          <w:tcPr>
            <w:tcW w:w="1332" w:type="dxa"/>
            <w:tcBorders>
              <w:top w:val="nil"/>
              <w:left w:val="nil"/>
              <w:bottom w:val="nil"/>
              <w:right w:val="nil"/>
            </w:tcBorders>
            <w:shd w:val="clear" w:color="auto" w:fill="auto"/>
            <w:noWrap/>
            <w:vAlign w:val="bottom"/>
            <w:hideMark/>
          </w:tcPr>
          <w:p w14:paraId="3F8B6A6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27D673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3784F1" w14:textId="77777777" w:rsidTr="001E04CC">
        <w:trPr>
          <w:trHeight w:val="20"/>
        </w:trPr>
        <w:tc>
          <w:tcPr>
            <w:tcW w:w="2430" w:type="dxa"/>
            <w:tcBorders>
              <w:top w:val="nil"/>
              <w:left w:val="nil"/>
              <w:bottom w:val="nil"/>
              <w:right w:val="nil"/>
            </w:tcBorders>
            <w:shd w:val="clear" w:color="auto" w:fill="auto"/>
            <w:noWrap/>
            <w:vAlign w:val="bottom"/>
            <w:hideMark/>
          </w:tcPr>
          <w:p w14:paraId="68B4A9A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Accupril</w:t>
            </w:r>
          </w:p>
        </w:tc>
        <w:tc>
          <w:tcPr>
            <w:tcW w:w="1332" w:type="dxa"/>
            <w:tcBorders>
              <w:top w:val="nil"/>
              <w:left w:val="nil"/>
              <w:bottom w:val="nil"/>
              <w:right w:val="nil"/>
            </w:tcBorders>
            <w:shd w:val="clear" w:color="auto" w:fill="auto"/>
            <w:noWrap/>
            <w:vAlign w:val="bottom"/>
            <w:hideMark/>
          </w:tcPr>
          <w:p w14:paraId="75DD855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E516FB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C3A446" w14:textId="77777777" w:rsidTr="001E04CC">
        <w:trPr>
          <w:trHeight w:val="20"/>
        </w:trPr>
        <w:tc>
          <w:tcPr>
            <w:tcW w:w="2430" w:type="dxa"/>
            <w:tcBorders>
              <w:top w:val="nil"/>
              <w:left w:val="nil"/>
              <w:bottom w:val="nil"/>
              <w:right w:val="nil"/>
            </w:tcBorders>
            <w:shd w:val="clear" w:color="auto" w:fill="auto"/>
            <w:noWrap/>
            <w:vAlign w:val="bottom"/>
            <w:hideMark/>
          </w:tcPr>
          <w:p w14:paraId="5DF3D3A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Accuretic</w:t>
            </w:r>
            <w:proofErr w:type="spellEnd"/>
          </w:p>
        </w:tc>
        <w:tc>
          <w:tcPr>
            <w:tcW w:w="1332" w:type="dxa"/>
            <w:tcBorders>
              <w:top w:val="nil"/>
              <w:left w:val="nil"/>
              <w:bottom w:val="nil"/>
              <w:right w:val="nil"/>
            </w:tcBorders>
            <w:shd w:val="clear" w:color="auto" w:fill="auto"/>
            <w:noWrap/>
            <w:vAlign w:val="bottom"/>
            <w:hideMark/>
          </w:tcPr>
          <w:p w14:paraId="6E0AF5F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58C13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2D37FD" w14:textId="77777777" w:rsidTr="001E04CC">
        <w:trPr>
          <w:trHeight w:val="20"/>
        </w:trPr>
        <w:tc>
          <w:tcPr>
            <w:tcW w:w="2430" w:type="dxa"/>
            <w:tcBorders>
              <w:top w:val="nil"/>
              <w:left w:val="nil"/>
              <w:bottom w:val="nil"/>
              <w:right w:val="nil"/>
            </w:tcBorders>
            <w:shd w:val="clear" w:color="auto" w:fill="auto"/>
            <w:noWrap/>
            <w:vAlign w:val="bottom"/>
            <w:hideMark/>
          </w:tcPr>
          <w:p w14:paraId="4182075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acebutolol </w:t>
            </w:r>
          </w:p>
        </w:tc>
        <w:tc>
          <w:tcPr>
            <w:tcW w:w="1332" w:type="dxa"/>
            <w:tcBorders>
              <w:top w:val="nil"/>
              <w:left w:val="nil"/>
              <w:bottom w:val="nil"/>
              <w:right w:val="nil"/>
            </w:tcBorders>
            <w:shd w:val="clear" w:color="auto" w:fill="auto"/>
            <w:noWrap/>
            <w:vAlign w:val="bottom"/>
            <w:hideMark/>
          </w:tcPr>
          <w:p w14:paraId="3461773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A2854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4A9133A" w14:textId="77777777" w:rsidTr="001E04CC">
        <w:trPr>
          <w:trHeight w:val="20"/>
        </w:trPr>
        <w:tc>
          <w:tcPr>
            <w:tcW w:w="2430" w:type="dxa"/>
            <w:tcBorders>
              <w:top w:val="nil"/>
              <w:left w:val="nil"/>
              <w:bottom w:val="nil"/>
              <w:right w:val="nil"/>
            </w:tcBorders>
            <w:shd w:val="clear" w:color="auto" w:fill="auto"/>
            <w:noWrap/>
            <w:vAlign w:val="bottom"/>
            <w:hideMark/>
          </w:tcPr>
          <w:p w14:paraId="19C9A06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Aceon</w:t>
            </w:r>
            <w:proofErr w:type="spellEnd"/>
          </w:p>
        </w:tc>
        <w:tc>
          <w:tcPr>
            <w:tcW w:w="1332" w:type="dxa"/>
            <w:tcBorders>
              <w:top w:val="nil"/>
              <w:left w:val="nil"/>
              <w:bottom w:val="nil"/>
              <w:right w:val="nil"/>
            </w:tcBorders>
            <w:shd w:val="clear" w:color="auto" w:fill="auto"/>
            <w:noWrap/>
            <w:vAlign w:val="bottom"/>
            <w:hideMark/>
          </w:tcPr>
          <w:p w14:paraId="671B71C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2E98B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61A5514" w14:textId="77777777" w:rsidTr="001E04CC">
        <w:trPr>
          <w:trHeight w:val="20"/>
        </w:trPr>
        <w:tc>
          <w:tcPr>
            <w:tcW w:w="2430" w:type="dxa"/>
            <w:tcBorders>
              <w:top w:val="nil"/>
              <w:left w:val="nil"/>
              <w:bottom w:val="nil"/>
              <w:right w:val="nil"/>
            </w:tcBorders>
            <w:shd w:val="clear" w:color="auto" w:fill="auto"/>
            <w:noWrap/>
            <w:vAlign w:val="bottom"/>
            <w:hideMark/>
          </w:tcPr>
          <w:p w14:paraId="1553910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Actonel</w:t>
            </w:r>
          </w:p>
        </w:tc>
        <w:tc>
          <w:tcPr>
            <w:tcW w:w="1332" w:type="dxa"/>
            <w:tcBorders>
              <w:top w:val="nil"/>
              <w:left w:val="nil"/>
              <w:bottom w:val="nil"/>
              <w:right w:val="nil"/>
            </w:tcBorders>
            <w:shd w:val="clear" w:color="auto" w:fill="auto"/>
            <w:noWrap/>
            <w:vAlign w:val="bottom"/>
            <w:hideMark/>
          </w:tcPr>
          <w:p w14:paraId="41EEB3C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7D746A2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597D9E2" w14:textId="77777777" w:rsidTr="001E04CC">
        <w:trPr>
          <w:trHeight w:val="20"/>
        </w:trPr>
        <w:tc>
          <w:tcPr>
            <w:tcW w:w="2430" w:type="dxa"/>
            <w:tcBorders>
              <w:top w:val="nil"/>
              <w:left w:val="nil"/>
              <w:bottom w:val="nil"/>
              <w:right w:val="nil"/>
            </w:tcBorders>
            <w:shd w:val="clear" w:color="auto" w:fill="auto"/>
            <w:noWrap/>
            <w:vAlign w:val="bottom"/>
            <w:hideMark/>
          </w:tcPr>
          <w:p w14:paraId="6B3ECF8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ACTOplus</w:t>
            </w:r>
            <w:proofErr w:type="spellEnd"/>
            <w:r w:rsidRPr="001A20A2">
              <w:rPr>
                <w:rFonts w:ascii="Calibri" w:eastAsia="Times New Roman" w:hAnsi="Calibri" w:cs="Times New Roman"/>
                <w:color w:val="000000"/>
                <w:sz w:val="16"/>
                <w:szCs w:val="16"/>
              </w:rPr>
              <w:t xml:space="preserve"> Met</w:t>
            </w:r>
          </w:p>
        </w:tc>
        <w:tc>
          <w:tcPr>
            <w:tcW w:w="1332" w:type="dxa"/>
            <w:tcBorders>
              <w:top w:val="nil"/>
              <w:left w:val="nil"/>
              <w:bottom w:val="nil"/>
              <w:right w:val="nil"/>
            </w:tcBorders>
            <w:shd w:val="clear" w:color="auto" w:fill="auto"/>
            <w:noWrap/>
            <w:vAlign w:val="bottom"/>
            <w:hideMark/>
          </w:tcPr>
          <w:p w14:paraId="63AC8A91" w14:textId="4424D2D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D4CC7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101F9C5" w14:textId="77777777" w:rsidTr="001E04CC">
        <w:trPr>
          <w:trHeight w:val="20"/>
        </w:trPr>
        <w:tc>
          <w:tcPr>
            <w:tcW w:w="2430" w:type="dxa"/>
            <w:tcBorders>
              <w:top w:val="nil"/>
              <w:left w:val="nil"/>
              <w:bottom w:val="nil"/>
              <w:right w:val="nil"/>
            </w:tcBorders>
            <w:shd w:val="clear" w:color="auto" w:fill="auto"/>
            <w:noWrap/>
            <w:vAlign w:val="bottom"/>
            <w:hideMark/>
          </w:tcPr>
          <w:p w14:paraId="1D8E715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ACTOplus</w:t>
            </w:r>
            <w:proofErr w:type="spellEnd"/>
            <w:r w:rsidRPr="001A20A2">
              <w:rPr>
                <w:rFonts w:ascii="Calibri" w:eastAsia="Times New Roman" w:hAnsi="Calibri" w:cs="Times New Roman"/>
                <w:color w:val="000000"/>
                <w:sz w:val="16"/>
                <w:szCs w:val="16"/>
              </w:rPr>
              <w:t xml:space="preserve"> Met XR</w:t>
            </w:r>
          </w:p>
        </w:tc>
        <w:tc>
          <w:tcPr>
            <w:tcW w:w="1332" w:type="dxa"/>
            <w:tcBorders>
              <w:top w:val="nil"/>
              <w:left w:val="nil"/>
              <w:bottom w:val="nil"/>
              <w:right w:val="nil"/>
            </w:tcBorders>
            <w:shd w:val="clear" w:color="auto" w:fill="auto"/>
            <w:noWrap/>
            <w:vAlign w:val="bottom"/>
            <w:hideMark/>
          </w:tcPr>
          <w:p w14:paraId="7C9FFAD0" w14:textId="7B4AC2E1"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065EB5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7702C0D" w14:textId="77777777" w:rsidTr="001E04CC">
        <w:trPr>
          <w:trHeight w:val="20"/>
        </w:trPr>
        <w:tc>
          <w:tcPr>
            <w:tcW w:w="2430" w:type="dxa"/>
            <w:tcBorders>
              <w:top w:val="nil"/>
              <w:left w:val="nil"/>
              <w:bottom w:val="nil"/>
              <w:right w:val="nil"/>
            </w:tcBorders>
            <w:shd w:val="clear" w:color="auto" w:fill="auto"/>
            <w:noWrap/>
            <w:vAlign w:val="bottom"/>
            <w:hideMark/>
          </w:tcPr>
          <w:p w14:paraId="43D79E8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Actos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41E9A871" w14:textId="24379F3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BEFBE9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38E6CCD" w14:textId="77777777" w:rsidTr="001E04CC">
        <w:trPr>
          <w:trHeight w:val="20"/>
        </w:trPr>
        <w:tc>
          <w:tcPr>
            <w:tcW w:w="2430" w:type="dxa"/>
            <w:tcBorders>
              <w:top w:val="nil"/>
              <w:left w:val="nil"/>
              <w:bottom w:val="nil"/>
              <w:right w:val="nil"/>
            </w:tcBorders>
            <w:shd w:val="clear" w:color="auto" w:fill="auto"/>
            <w:noWrap/>
            <w:vAlign w:val="bottom"/>
            <w:hideMark/>
          </w:tcPr>
          <w:p w14:paraId="2556F69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Adalat CC</w:t>
            </w:r>
          </w:p>
        </w:tc>
        <w:tc>
          <w:tcPr>
            <w:tcW w:w="1332" w:type="dxa"/>
            <w:tcBorders>
              <w:top w:val="nil"/>
              <w:left w:val="nil"/>
              <w:bottom w:val="nil"/>
              <w:right w:val="nil"/>
            </w:tcBorders>
            <w:shd w:val="clear" w:color="auto" w:fill="auto"/>
            <w:noWrap/>
            <w:vAlign w:val="bottom"/>
            <w:hideMark/>
          </w:tcPr>
          <w:p w14:paraId="143DFEA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95F2EA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CA09029" w14:textId="77777777" w:rsidTr="001E04CC">
        <w:trPr>
          <w:trHeight w:val="20"/>
        </w:trPr>
        <w:tc>
          <w:tcPr>
            <w:tcW w:w="2430" w:type="dxa"/>
            <w:tcBorders>
              <w:top w:val="nil"/>
              <w:left w:val="nil"/>
              <w:bottom w:val="nil"/>
              <w:right w:val="nil"/>
            </w:tcBorders>
            <w:shd w:val="clear" w:color="auto" w:fill="auto"/>
            <w:noWrap/>
            <w:vAlign w:val="bottom"/>
            <w:hideMark/>
          </w:tcPr>
          <w:p w14:paraId="49F0D90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Advair </w:t>
            </w:r>
            <w:proofErr w:type="spellStart"/>
            <w:r w:rsidRPr="001A20A2">
              <w:rPr>
                <w:rFonts w:ascii="Calibri" w:eastAsia="Times New Roman" w:hAnsi="Calibri" w:cs="Times New Roman"/>
                <w:color w:val="000000"/>
                <w:sz w:val="16"/>
                <w:szCs w:val="16"/>
              </w:rPr>
              <w:t>Diskus</w:t>
            </w:r>
            <w:proofErr w:type="spellEnd"/>
          </w:p>
        </w:tc>
        <w:tc>
          <w:tcPr>
            <w:tcW w:w="1332" w:type="dxa"/>
            <w:tcBorders>
              <w:top w:val="nil"/>
              <w:left w:val="nil"/>
              <w:bottom w:val="nil"/>
              <w:right w:val="nil"/>
            </w:tcBorders>
            <w:shd w:val="clear" w:color="auto" w:fill="auto"/>
            <w:noWrap/>
            <w:vAlign w:val="bottom"/>
            <w:hideMark/>
          </w:tcPr>
          <w:p w14:paraId="37C2B23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433CC0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01D61F9" w14:textId="77777777" w:rsidTr="001E04CC">
        <w:trPr>
          <w:trHeight w:val="20"/>
        </w:trPr>
        <w:tc>
          <w:tcPr>
            <w:tcW w:w="2430" w:type="dxa"/>
            <w:tcBorders>
              <w:top w:val="nil"/>
              <w:left w:val="nil"/>
              <w:bottom w:val="nil"/>
              <w:right w:val="nil"/>
            </w:tcBorders>
            <w:shd w:val="clear" w:color="auto" w:fill="auto"/>
            <w:noWrap/>
            <w:vAlign w:val="bottom"/>
            <w:hideMark/>
          </w:tcPr>
          <w:p w14:paraId="06C73BC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Advair HFA</w:t>
            </w:r>
          </w:p>
        </w:tc>
        <w:tc>
          <w:tcPr>
            <w:tcW w:w="1332" w:type="dxa"/>
            <w:tcBorders>
              <w:top w:val="nil"/>
              <w:left w:val="nil"/>
              <w:bottom w:val="nil"/>
              <w:right w:val="nil"/>
            </w:tcBorders>
            <w:shd w:val="clear" w:color="auto" w:fill="auto"/>
            <w:noWrap/>
            <w:vAlign w:val="bottom"/>
            <w:hideMark/>
          </w:tcPr>
          <w:p w14:paraId="244D14B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3C1F842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517C149" w14:textId="77777777" w:rsidTr="001E04CC">
        <w:trPr>
          <w:trHeight w:val="20"/>
        </w:trPr>
        <w:tc>
          <w:tcPr>
            <w:tcW w:w="2430" w:type="dxa"/>
            <w:tcBorders>
              <w:top w:val="nil"/>
              <w:left w:val="nil"/>
              <w:bottom w:val="nil"/>
              <w:right w:val="nil"/>
            </w:tcBorders>
            <w:shd w:val="clear" w:color="auto" w:fill="auto"/>
            <w:noWrap/>
            <w:vAlign w:val="bottom"/>
            <w:hideMark/>
          </w:tcPr>
          <w:p w14:paraId="224461D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Advicor</w:t>
            </w:r>
            <w:proofErr w:type="spellEnd"/>
          </w:p>
        </w:tc>
        <w:tc>
          <w:tcPr>
            <w:tcW w:w="1332" w:type="dxa"/>
            <w:tcBorders>
              <w:top w:val="nil"/>
              <w:left w:val="nil"/>
              <w:bottom w:val="nil"/>
              <w:right w:val="nil"/>
            </w:tcBorders>
            <w:shd w:val="clear" w:color="auto" w:fill="auto"/>
            <w:noWrap/>
            <w:vAlign w:val="bottom"/>
            <w:hideMark/>
          </w:tcPr>
          <w:p w14:paraId="3469C9B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96C918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FF7AB20" w14:textId="77777777" w:rsidTr="001E04CC">
        <w:trPr>
          <w:trHeight w:val="20"/>
        </w:trPr>
        <w:tc>
          <w:tcPr>
            <w:tcW w:w="2430" w:type="dxa"/>
            <w:tcBorders>
              <w:top w:val="nil"/>
              <w:left w:val="nil"/>
              <w:bottom w:val="nil"/>
              <w:right w:val="nil"/>
            </w:tcBorders>
            <w:shd w:val="clear" w:color="auto" w:fill="auto"/>
            <w:noWrap/>
            <w:vAlign w:val="bottom"/>
            <w:hideMark/>
          </w:tcPr>
          <w:p w14:paraId="6B5ECDC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Afeditab</w:t>
            </w:r>
            <w:proofErr w:type="spellEnd"/>
          </w:p>
        </w:tc>
        <w:tc>
          <w:tcPr>
            <w:tcW w:w="1332" w:type="dxa"/>
            <w:tcBorders>
              <w:top w:val="nil"/>
              <w:left w:val="nil"/>
              <w:bottom w:val="nil"/>
              <w:right w:val="nil"/>
            </w:tcBorders>
            <w:shd w:val="clear" w:color="auto" w:fill="auto"/>
            <w:noWrap/>
            <w:vAlign w:val="bottom"/>
            <w:hideMark/>
          </w:tcPr>
          <w:p w14:paraId="2F0A523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A00137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8A37815" w14:textId="77777777" w:rsidTr="001E04CC">
        <w:trPr>
          <w:trHeight w:val="20"/>
        </w:trPr>
        <w:tc>
          <w:tcPr>
            <w:tcW w:w="2430" w:type="dxa"/>
            <w:tcBorders>
              <w:top w:val="nil"/>
              <w:left w:val="nil"/>
              <w:bottom w:val="nil"/>
              <w:right w:val="nil"/>
            </w:tcBorders>
            <w:shd w:val="clear" w:color="auto" w:fill="auto"/>
            <w:noWrap/>
            <w:vAlign w:val="bottom"/>
            <w:hideMark/>
          </w:tcPr>
          <w:p w14:paraId="4B6CBDD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Aggrenox</w:t>
            </w:r>
          </w:p>
        </w:tc>
        <w:tc>
          <w:tcPr>
            <w:tcW w:w="1332" w:type="dxa"/>
            <w:tcBorders>
              <w:top w:val="nil"/>
              <w:left w:val="nil"/>
              <w:bottom w:val="nil"/>
              <w:right w:val="nil"/>
            </w:tcBorders>
            <w:shd w:val="clear" w:color="auto" w:fill="auto"/>
            <w:noWrap/>
            <w:vAlign w:val="bottom"/>
            <w:hideMark/>
          </w:tcPr>
          <w:p w14:paraId="25BCE64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5ADB42E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999303" w14:textId="77777777" w:rsidTr="001E04CC">
        <w:trPr>
          <w:trHeight w:val="20"/>
        </w:trPr>
        <w:tc>
          <w:tcPr>
            <w:tcW w:w="2430" w:type="dxa"/>
            <w:tcBorders>
              <w:top w:val="nil"/>
              <w:left w:val="nil"/>
              <w:bottom w:val="nil"/>
              <w:right w:val="nil"/>
            </w:tcBorders>
            <w:shd w:val="clear" w:color="auto" w:fill="auto"/>
            <w:noWrap/>
            <w:vAlign w:val="bottom"/>
            <w:hideMark/>
          </w:tcPr>
          <w:p w14:paraId="22428C6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albuterol nebulized solution</w:t>
            </w:r>
          </w:p>
        </w:tc>
        <w:tc>
          <w:tcPr>
            <w:tcW w:w="1332" w:type="dxa"/>
            <w:tcBorders>
              <w:top w:val="nil"/>
              <w:left w:val="nil"/>
              <w:bottom w:val="nil"/>
              <w:right w:val="nil"/>
            </w:tcBorders>
            <w:shd w:val="clear" w:color="auto" w:fill="auto"/>
            <w:noWrap/>
            <w:vAlign w:val="bottom"/>
            <w:hideMark/>
          </w:tcPr>
          <w:p w14:paraId="6E103B6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FC3DA4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F01D147" w14:textId="77777777" w:rsidTr="001E04CC">
        <w:trPr>
          <w:trHeight w:val="20"/>
        </w:trPr>
        <w:tc>
          <w:tcPr>
            <w:tcW w:w="2430" w:type="dxa"/>
            <w:tcBorders>
              <w:top w:val="nil"/>
              <w:left w:val="nil"/>
              <w:bottom w:val="nil"/>
              <w:right w:val="nil"/>
            </w:tcBorders>
            <w:shd w:val="clear" w:color="auto" w:fill="auto"/>
            <w:noWrap/>
            <w:vAlign w:val="bottom"/>
            <w:hideMark/>
          </w:tcPr>
          <w:p w14:paraId="79A99CF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albuterol oral tablet</w:t>
            </w:r>
          </w:p>
        </w:tc>
        <w:tc>
          <w:tcPr>
            <w:tcW w:w="1332" w:type="dxa"/>
            <w:tcBorders>
              <w:top w:val="nil"/>
              <w:left w:val="nil"/>
              <w:bottom w:val="nil"/>
              <w:right w:val="nil"/>
            </w:tcBorders>
            <w:shd w:val="clear" w:color="auto" w:fill="auto"/>
            <w:noWrap/>
            <w:vAlign w:val="bottom"/>
            <w:hideMark/>
          </w:tcPr>
          <w:p w14:paraId="7AF8EAB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3A50F63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64686D5" w14:textId="77777777" w:rsidTr="001E04CC">
        <w:trPr>
          <w:trHeight w:val="20"/>
        </w:trPr>
        <w:tc>
          <w:tcPr>
            <w:tcW w:w="2430" w:type="dxa"/>
            <w:tcBorders>
              <w:top w:val="nil"/>
              <w:left w:val="nil"/>
              <w:bottom w:val="nil"/>
              <w:right w:val="nil"/>
            </w:tcBorders>
            <w:shd w:val="clear" w:color="auto" w:fill="auto"/>
            <w:noWrap/>
            <w:vAlign w:val="bottom"/>
            <w:hideMark/>
          </w:tcPr>
          <w:p w14:paraId="13C666F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Aldactazide</w:t>
            </w:r>
            <w:proofErr w:type="spellEnd"/>
          </w:p>
        </w:tc>
        <w:tc>
          <w:tcPr>
            <w:tcW w:w="1332" w:type="dxa"/>
            <w:tcBorders>
              <w:top w:val="nil"/>
              <w:left w:val="nil"/>
              <w:bottom w:val="nil"/>
              <w:right w:val="nil"/>
            </w:tcBorders>
            <w:shd w:val="clear" w:color="auto" w:fill="auto"/>
            <w:noWrap/>
            <w:vAlign w:val="bottom"/>
            <w:hideMark/>
          </w:tcPr>
          <w:p w14:paraId="3D68C0D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6BB9B6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C6B21AB" w14:textId="77777777" w:rsidTr="001E04CC">
        <w:trPr>
          <w:trHeight w:val="20"/>
        </w:trPr>
        <w:tc>
          <w:tcPr>
            <w:tcW w:w="2430" w:type="dxa"/>
            <w:tcBorders>
              <w:top w:val="nil"/>
              <w:left w:val="nil"/>
              <w:bottom w:val="nil"/>
              <w:right w:val="nil"/>
            </w:tcBorders>
            <w:shd w:val="clear" w:color="auto" w:fill="auto"/>
            <w:noWrap/>
            <w:vAlign w:val="bottom"/>
            <w:hideMark/>
          </w:tcPr>
          <w:p w14:paraId="2AAF51F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Aldactone</w:t>
            </w:r>
          </w:p>
        </w:tc>
        <w:tc>
          <w:tcPr>
            <w:tcW w:w="1332" w:type="dxa"/>
            <w:tcBorders>
              <w:top w:val="nil"/>
              <w:left w:val="nil"/>
              <w:bottom w:val="nil"/>
              <w:right w:val="nil"/>
            </w:tcBorders>
            <w:shd w:val="clear" w:color="auto" w:fill="auto"/>
            <w:noWrap/>
            <w:vAlign w:val="bottom"/>
            <w:hideMark/>
          </w:tcPr>
          <w:p w14:paraId="22E7B67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E4EB46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3B2FF24" w14:textId="77777777" w:rsidTr="001E04CC">
        <w:trPr>
          <w:trHeight w:val="20"/>
        </w:trPr>
        <w:tc>
          <w:tcPr>
            <w:tcW w:w="2430" w:type="dxa"/>
            <w:tcBorders>
              <w:top w:val="nil"/>
              <w:left w:val="nil"/>
              <w:bottom w:val="nil"/>
              <w:right w:val="nil"/>
            </w:tcBorders>
            <w:shd w:val="clear" w:color="auto" w:fill="auto"/>
            <w:noWrap/>
            <w:vAlign w:val="bottom"/>
            <w:hideMark/>
          </w:tcPr>
          <w:p w14:paraId="54F75F9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alendronate</w:t>
            </w:r>
          </w:p>
        </w:tc>
        <w:tc>
          <w:tcPr>
            <w:tcW w:w="1332" w:type="dxa"/>
            <w:tcBorders>
              <w:top w:val="nil"/>
              <w:left w:val="nil"/>
              <w:bottom w:val="nil"/>
              <w:right w:val="nil"/>
            </w:tcBorders>
            <w:shd w:val="clear" w:color="auto" w:fill="auto"/>
            <w:noWrap/>
            <w:vAlign w:val="bottom"/>
            <w:hideMark/>
          </w:tcPr>
          <w:p w14:paraId="311AB56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68AD842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5D81995" w14:textId="77777777" w:rsidTr="001E04CC">
        <w:trPr>
          <w:trHeight w:val="20"/>
        </w:trPr>
        <w:tc>
          <w:tcPr>
            <w:tcW w:w="2430" w:type="dxa"/>
            <w:tcBorders>
              <w:top w:val="nil"/>
              <w:left w:val="nil"/>
              <w:bottom w:val="nil"/>
              <w:right w:val="nil"/>
            </w:tcBorders>
            <w:shd w:val="clear" w:color="auto" w:fill="auto"/>
            <w:noWrap/>
            <w:vAlign w:val="bottom"/>
            <w:hideMark/>
          </w:tcPr>
          <w:p w14:paraId="64F2EC6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Altace</w:t>
            </w:r>
            <w:proofErr w:type="spellEnd"/>
          </w:p>
        </w:tc>
        <w:tc>
          <w:tcPr>
            <w:tcW w:w="1332" w:type="dxa"/>
            <w:tcBorders>
              <w:top w:val="nil"/>
              <w:left w:val="nil"/>
              <w:bottom w:val="nil"/>
              <w:right w:val="nil"/>
            </w:tcBorders>
            <w:shd w:val="clear" w:color="auto" w:fill="auto"/>
            <w:noWrap/>
            <w:vAlign w:val="bottom"/>
            <w:hideMark/>
          </w:tcPr>
          <w:p w14:paraId="566433F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D29561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AA6CBEB" w14:textId="77777777" w:rsidTr="001E04CC">
        <w:trPr>
          <w:trHeight w:val="20"/>
        </w:trPr>
        <w:tc>
          <w:tcPr>
            <w:tcW w:w="2430" w:type="dxa"/>
            <w:tcBorders>
              <w:top w:val="nil"/>
              <w:left w:val="nil"/>
              <w:bottom w:val="nil"/>
              <w:right w:val="nil"/>
            </w:tcBorders>
            <w:shd w:val="clear" w:color="auto" w:fill="auto"/>
            <w:noWrap/>
            <w:vAlign w:val="bottom"/>
            <w:hideMark/>
          </w:tcPr>
          <w:p w14:paraId="1E5A143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Altoprev</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00C6467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18A1DD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868A2C1" w14:textId="77777777" w:rsidTr="001E04CC">
        <w:trPr>
          <w:trHeight w:val="20"/>
        </w:trPr>
        <w:tc>
          <w:tcPr>
            <w:tcW w:w="2430" w:type="dxa"/>
            <w:tcBorders>
              <w:top w:val="nil"/>
              <w:left w:val="nil"/>
              <w:bottom w:val="nil"/>
              <w:right w:val="nil"/>
            </w:tcBorders>
            <w:shd w:val="clear" w:color="auto" w:fill="auto"/>
            <w:noWrap/>
            <w:vAlign w:val="bottom"/>
            <w:hideMark/>
          </w:tcPr>
          <w:p w14:paraId="2BE9D86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Alvesco</w:t>
            </w:r>
            <w:proofErr w:type="spellEnd"/>
          </w:p>
        </w:tc>
        <w:tc>
          <w:tcPr>
            <w:tcW w:w="1332" w:type="dxa"/>
            <w:tcBorders>
              <w:top w:val="nil"/>
              <w:left w:val="nil"/>
              <w:bottom w:val="nil"/>
              <w:right w:val="nil"/>
            </w:tcBorders>
            <w:shd w:val="clear" w:color="auto" w:fill="auto"/>
            <w:noWrap/>
            <w:vAlign w:val="bottom"/>
            <w:hideMark/>
          </w:tcPr>
          <w:p w14:paraId="451ECB3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4965FB5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20B8C74" w14:textId="77777777" w:rsidTr="001E04CC">
        <w:trPr>
          <w:trHeight w:val="20"/>
        </w:trPr>
        <w:tc>
          <w:tcPr>
            <w:tcW w:w="2430" w:type="dxa"/>
            <w:tcBorders>
              <w:top w:val="nil"/>
              <w:left w:val="nil"/>
              <w:bottom w:val="nil"/>
              <w:right w:val="nil"/>
            </w:tcBorders>
            <w:shd w:val="clear" w:color="auto" w:fill="auto"/>
            <w:noWrap/>
            <w:vAlign w:val="bottom"/>
            <w:hideMark/>
          </w:tcPr>
          <w:p w14:paraId="1138B80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Amaryl</w:t>
            </w:r>
          </w:p>
        </w:tc>
        <w:tc>
          <w:tcPr>
            <w:tcW w:w="1332" w:type="dxa"/>
            <w:tcBorders>
              <w:top w:val="nil"/>
              <w:left w:val="nil"/>
              <w:bottom w:val="nil"/>
              <w:right w:val="nil"/>
            </w:tcBorders>
            <w:shd w:val="clear" w:color="auto" w:fill="auto"/>
            <w:noWrap/>
            <w:vAlign w:val="bottom"/>
            <w:hideMark/>
          </w:tcPr>
          <w:p w14:paraId="47F7DBCC" w14:textId="3551305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AB80E5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9996CBC" w14:textId="77777777" w:rsidTr="001E04CC">
        <w:trPr>
          <w:trHeight w:val="20"/>
        </w:trPr>
        <w:tc>
          <w:tcPr>
            <w:tcW w:w="2430" w:type="dxa"/>
            <w:tcBorders>
              <w:top w:val="nil"/>
              <w:left w:val="nil"/>
              <w:bottom w:val="nil"/>
              <w:right w:val="nil"/>
            </w:tcBorders>
            <w:shd w:val="clear" w:color="auto" w:fill="auto"/>
            <w:noWrap/>
            <w:vAlign w:val="bottom"/>
            <w:hideMark/>
          </w:tcPr>
          <w:p w14:paraId="20181E5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amiloride</w:t>
            </w:r>
          </w:p>
        </w:tc>
        <w:tc>
          <w:tcPr>
            <w:tcW w:w="1332" w:type="dxa"/>
            <w:tcBorders>
              <w:top w:val="nil"/>
              <w:left w:val="nil"/>
              <w:bottom w:val="nil"/>
              <w:right w:val="nil"/>
            </w:tcBorders>
            <w:shd w:val="clear" w:color="auto" w:fill="auto"/>
            <w:noWrap/>
            <w:vAlign w:val="bottom"/>
            <w:hideMark/>
          </w:tcPr>
          <w:p w14:paraId="58511ED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B19D8A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8050477" w14:textId="77777777" w:rsidTr="001E04CC">
        <w:trPr>
          <w:trHeight w:val="20"/>
        </w:trPr>
        <w:tc>
          <w:tcPr>
            <w:tcW w:w="2430" w:type="dxa"/>
            <w:tcBorders>
              <w:top w:val="nil"/>
              <w:left w:val="nil"/>
              <w:bottom w:val="nil"/>
              <w:right w:val="nil"/>
            </w:tcBorders>
            <w:shd w:val="clear" w:color="auto" w:fill="auto"/>
            <w:noWrap/>
            <w:vAlign w:val="bottom"/>
            <w:hideMark/>
          </w:tcPr>
          <w:p w14:paraId="3DED61F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amiloride-hydrochlorothiazide</w:t>
            </w:r>
          </w:p>
        </w:tc>
        <w:tc>
          <w:tcPr>
            <w:tcW w:w="1332" w:type="dxa"/>
            <w:tcBorders>
              <w:top w:val="nil"/>
              <w:left w:val="nil"/>
              <w:bottom w:val="nil"/>
              <w:right w:val="nil"/>
            </w:tcBorders>
            <w:shd w:val="clear" w:color="auto" w:fill="auto"/>
            <w:noWrap/>
            <w:vAlign w:val="bottom"/>
            <w:hideMark/>
          </w:tcPr>
          <w:p w14:paraId="56D4B36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8F41C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F557BBE" w14:textId="77777777" w:rsidTr="001E04CC">
        <w:trPr>
          <w:trHeight w:val="20"/>
        </w:trPr>
        <w:tc>
          <w:tcPr>
            <w:tcW w:w="2430" w:type="dxa"/>
            <w:tcBorders>
              <w:top w:val="nil"/>
              <w:left w:val="nil"/>
              <w:bottom w:val="nil"/>
              <w:right w:val="nil"/>
            </w:tcBorders>
            <w:shd w:val="clear" w:color="auto" w:fill="auto"/>
            <w:noWrap/>
            <w:vAlign w:val="bottom"/>
            <w:hideMark/>
          </w:tcPr>
          <w:p w14:paraId="4388EE1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aminophylline</w:t>
            </w:r>
          </w:p>
        </w:tc>
        <w:tc>
          <w:tcPr>
            <w:tcW w:w="1332" w:type="dxa"/>
            <w:tcBorders>
              <w:top w:val="nil"/>
              <w:left w:val="nil"/>
              <w:bottom w:val="nil"/>
              <w:right w:val="nil"/>
            </w:tcBorders>
            <w:shd w:val="clear" w:color="auto" w:fill="auto"/>
            <w:noWrap/>
            <w:vAlign w:val="bottom"/>
            <w:hideMark/>
          </w:tcPr>
          <w:p w14:paraId="7722F6A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35CEF5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E868DEB" w14:textId="77777777" w:rsidTr="001E04CC">
        <w:trPr>
          <w:trHeight w:val="20"/>
        </w:trPr>
        <w:tc>
          <w:tcPr>
            <w:tcW w:w="2430" w:type="dxa"/>
            <w:tcBorders>
              <w:top w:val="nil"/>
              <w:left w:val="nil"/>
              <w:bottom w:val="nil"/>
              <w:right w:val="nil"/>
            </w:tcBorders>
            <w:shd w:val="clear" w:color="auto" w:fill="auto"/>
            <w:noWrap/>
            <w:vAlign w:val="bottom"/>
            <w:hideMark/>
          </w:tcPr>
          <w:p w14:paraId="3D79244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amlodipine</w:t>
            </w:r>
          </w:p>
        </w:tc>
        <w:tc>
          <w:tcPr>
            <w:tcW w:w="1332" w:type="dxa"/>
            <w:tcBorders>
              <w:top w:val="nil"/>
              <w:left w:val="nil"/>
              <w:bottom w:val="nil"/>
              <w:right w:val="nil"/>
            </w:tcBorders>
            <w:shd w:val="clear" w:color="auto" w:fill="auto"/>
            <w:noWrap/>
            <w:vAlign w:val="bottom"/>
            <w:hideMark/>
          </w:tcPr>
          <w:p w14:paraId="6B70B1B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D5FC7F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876C24A" w14:textId="77777777" w:rsidTr="001E04CC">
        <w:trPr>
          <w:trHeight w:val="20"/>
        </w:trPr>
        <w:tc>
          <w:tcPr>
            <w:tcW w:w="2430" w:type="dxa"/>
            <w:tcBorders>
              <w:top w:val="nil"/>
              <w:left w:val="nil"/>
              <w:bottom w:val="nil"/>
              <w:right w:val="nil"/>
            </w:tcBorders>
            <w:shd w:val="clear" w:color="auto" w:fill="auto"/>
            <w:noWrap/>
            <w:vAlign w:val="bottom"/>
            <w:hideMark/>
          </w:tcPr>
          <w:p w14:paraId="4AFF45A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amlodipine-benazepril</w:t>
            </w:r>
          </w:p>
        </w:tc>
        <w:tc>
          <w:tcPr>
            <w:tcW w:w="1332" w:type="dxa"/>
            <w:tcBorders>
              <w:top w:val="nil"/>
              <w:left w:val="nil"/>
              <w:bottom w:val="nil"/>
              <w:right w:val="nil"/>
            </w:tcBorders>
            <w:shd w:val="clear" w:color="auto" w:fill="auto"/>
            <w:noWrap/>
            <w:vAlign w:val="bottom"/>
            <w:hideMark/>
          </w:tcPr>
          <w:p w14:paraId="3E1F732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79273F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70E9966" w14:textId="77777777" w:rsidTr="001E04CC">
        <w:trPr>
          <w:trHeight w:val="20"/>
        </w:trPr>
        <w:tc>
          <w:tcPr>
            <w:tcW w:w="2430" w:type="dxa"/>
            <w:tcBorders>
              <w:top w:val="nil"/>
              <w:left w:val="nil"/>
              <w:bottom w:val="nil"/>
              <w:right w:val="nil"/>
            </w:tcBorders>
            <w:shd w:val="clear" w:color="auto" w:fill="auto"/>
            <w:noWrap/>
            <w:vAlign w:val="bottom"/>
            <w:hideMark/>
          </w:tcPr>
          <w:p w14:paraId="6F084D4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Amturnide</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2C895FB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D295E2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96B9174" w14:textId="77777777" w:rsidTr="001E04CC">
        <w:trPr>
          <w:trHeight w:val="20"/>
        </w:trPr>
        <w:tc>
          <w:tcPr>
            <w:tcW w:w="2430" w:type="dxa"/>
            <w:tcBorders>
              <w:top w:val="nil"/>
              <w:left w:val="nil"/>
              <w:bottom w:val="nil"/>
              <w:right w:val="nil"/>
            </w:tcBorders>
            <w:shd w:val="clear" w:color="auto" w:fill="auto"/>
            <w:noWrap/>
            <w:vAlign w:val="bottom"/>
            <w:hideMark/>
          </w:tcPr>
          <w:p w14:paraId="761FA89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anastrozole</w:t>
            </w:r>
          </w:p>
        </w:tc>
        <w:tc>
          <w:tcPr>
            <w:tcW w:w="1332" w:type="dxa"/>
            <w:tcBorders>
              <w:top w:val="nil"/>
              <w:left w:val="nil"/>
              <w:bottom w:val="nil"/>
              <w:right w:val="nil"/>
            </w:tcBorders>
            <w:shd w:val="clear" w:color="auto" w:fill="auto"/>
            <w:noWrap/>
            <w:vAlign w:val="bottom"/>
            <w:hideMark/>
          </w:tcPr>
          <w:p w14:paraId="3794383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4C3E9F2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18A7C4" w14:textId="77777777" w:rsidTr="001E04CC">
        <w:trPr>
          <w:trHeight w:val="20"/>
        </w:trPr>
        <w:tc>
          <w:tcPr>
            <w:tcW w:w="2430" w:type="dxa"/>
            <w:tcBorders>
              <w:top w:val="nil"/>
              <w:left w:val="nil"/>
              <w:bottom w:val="nil"/>
              <w:right w:val="nil"/>
            </w:tcBorders>
            <w:shd w:val="clear" w:color="auto" w:fill="auto"/>
            <w:noWrap/>
            <w:vAlign w:val="bottom"/>
            <w:hideMark/>
          </w:tcPr>
          <w:p w14:paraId="4EB7C82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Anoro</w:t>
            </w:r>
            <w:proofErr w:type="spellEnd"/>
            <w:r w:rsidRPr="001A20A2">
              <w:rPr>
                <w:rFonts w:ascii="Calibri" w:eastAsia="Times New Roman" w:hAnsi="Calibri" w:cs="Times New Roman"/>
                <w:color w:val="000000"/>
                <w:sz w:val="16"/>
                <w:szCs w:val="16"/>
              </w:rPr>
              <w:t xml:space="preserve"> Ellipta</w:t>
            </w:r>
          </w:p>
        </w:tc>
        <w:tc>
          <w:tcPr>
            <w:tcW w:w="1332" w:type="dxa"/>
            <w:tcBorders>
              <w:top w:val="nil"/>
              <w:left w:val="nil"/>
              <w:bottom w:val="nil"/>
              <w:right w:val="nil"/>
            </w:tcBorders>
            <w:shd w:val="clear" w:color="auto" w:fill="auto"/>
            <w:noWrap/>
            <w:vAlign w:val="bottom"/>
            <w:hideMark/>
          </w:tcPr>
          <w:p w14:paraId="7B86AF7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9079CD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D870A52" w14:textId="77777777" w:rsidTr="001E04CC">
        <w:trPr>
          <w:trHeight w:val="20"/>
        </w:trPr>
        <w:tc>
          <w:tcPr>
            <w:tcW w:w="2430" w:type="dxa"/>
            <w:tcBorders>
              <w:top w:val="nil"/>
              <w:left w:val="nil"/>
              <w:bottom w:val="nil"/>
              <w:right w:val="nil"/>
            </w:tcBorders>
            <w:shd w:val="clear" w:color="auto" w:fill="auto"/>
            <w:noWrap/>
            <w:vAlign w:val="bottom"/>
            <w:hideMark/>
          </w:tcPr>
          <w:p w14:paraId="30E8E4F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Antara</w:t>
            </w:r>
          </w:p>
        </w:tc>
        <w:tc>
          <w:tcPr>
            <w:tcW w:w="1332" w:type="dxa"/>
            <w:tcBorders>
              <w:top w:val="nil"/>
              <w:left w:val="nil"/>
              <w:bottom w:val="nil"/>
              <w:right w:val="nil"/>
            </w:tcBorders>
            <w:shd w:val="clear" w:color="auto" w:fill="auto"/>
            <w:noWrap/>
            <w:vAlign w:val="bottom"/>
            <w:hideMark/>
          </w:tcPr>
          <w:p w14:paraId="71A3CA1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38DAF3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4739C2" w14:textId="77777777" w:rsidTr="001E04CC">
        <w:trPr>
          <w:trHeight w:val="20"/>
        </w:trPr>
        <w:tc>
          <w:tcPr>
            <w:tcW w:w="2430" w:type="dxa"/>
            <w:tcBorders>
              <w:top w:val="nil"/>
              <w:left w:val="nil"/>
              <w:bottom w:val="nil"/>
              <w:right w:val="nil"/>
            </w:tcBorders>
            <w:shd w:val="clear" w:color="auto" w:fill="auto"/>
            <w:noWrap/>
            <w:vAlign w:val="bottom"/>
            <w:hideMark/>
          </w:tcPr>
          <w:p w14:paraId="20A3E0F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Apidra</w:t>
            </w:r>
            <w:proofErr w:type="spellEnd"/>
          </w:p>
        </w:tc>
        <w:tc>
          <w:tcPr>
            <w:tcW w:w="1332" w:type="dxa"/>
            <w:tcBorders>
              <w:top w:val="nil"/>
              <w:left w:val="nil"/>
              <w:bottom w:val="nil"/>
              <w:right w:val="nil"/>
            </w:tcBorders>
            <w:shd w:val="clear" w:color="auto" w:fill="auto"/>
            <w:noWrap/>
            <w:vAlign w:val="bottom"/>
            <w:hideMark/>
          </w:tcPr>
          <w:p w14:paraId="49FAB3F5" w14:textId="4D7EC3F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31D68F6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0359F8C" w14:textId="77777777" w:rsidTr="001E04CC">
        <w:trPr>
          <w:trHeight w:val="20"/>
        </w:trPr>
        <w:tc>
          <w:tcPr>
            <w:tcW w:w="2430" w:type="dxa"/>
            <w:tcBorders>
              <w:top w:val="nil"/>
              <w:left w:val="nil"/>
              <w:bottom w:val="nil"/>
              <w:right w:val="nil"/>
            </w:tcBorders>
            <w:shd w:val="clear" w:color="auto" w:fill="auto"/>
            <w:noWrap/>
            <w:vAlign w:val="bottom"/>
            <w:hideMark/>
          </w:tcPr>
          <w:p w14:paraId="3A7F7FD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Aptivus</w:t>
            </w:r>
            <w:proofErr w:type="spellEnd"/>
          </w:p>
        </w:tc>
        <w:tc>
          <w:tcPr>
            <w:tcW w:w="1332" w:type="dxa"/>
            <w:tcBorders>
              <w:top w:val="nil"/>
              <w:left w:val="nil"/>
              <w:bottom w:val="nil"/>
              <w:right w:val="nil"/>
            </w:tcBorders>
            <w:shd w:val="clear" w:color="auto" w:fill="auto"/>
            <w:noWrap/>
            <w:vAlign w:val="bottom"/>
            <w:hideMark/>
          </w:tcPr>
          <w:p w14:paraId="48578BE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19F1D5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A51776D" w14:textId="77777777" w:rsidTr="001E04CC">
        <w:trPr>
          <w:trHeight w:val="20"/>
        </w:trPr>
        <w:tc>
          <w:tcPr>
            <w:tcW w:w="2430" w:type="dxa"/>
            <w:tcBorders>
              <w:top w:val="nil"/>
              <w:left w:val="nil"/>
              <w:bottom w:val="nil"/>
              <w:right w:val="nil"/>
            </w:tcBorders>
            <w:shd w:val="clear" w:color="auto" w:fill="auto"/>
            <w:noWrap/>
            <w:vAlign w:val="bottom"/>
            <w:hideMark/>
          </w:tcPr>
          <w:p w14:paraId="14368AE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Arcapta</w:t>
            </w:r>
            <w:proofErr w:type="spellEnd"/>
            <w:r w:rsidRPr="001A20A2">
              <w:rPr>
                <w:rFonts w:ascii="Calibri" w:eastAsia="Times New Roman" w:hAnsi="Calibri" w:cs="Times New Roman"/>
                <w:color w:val="000000"/>
                <w:sz w:val="16"/>
                <w:szCs w:val="16"/>
              </w:rPr>
              <w:t xml:space="preserve"> </w:t>
            </w:r>
            <w:proofErr w:type="spellStart"/>
            <w:r w:rsidRPr="001A20A2">
              <w:rPr>
                <w:rFonts w:ascii="Calibri" w:eastAsia="Times New Roman" w:hAnsi="Calibri" w:cs="Times New Roman"/>
                <w:color w:val="000000"/>
                <w:sz w:val="16"/>
                <w:szCs w:val="16"/>
              </w:rPr>
              <w:t>Neohaler</w:t>
            </w:r>
            <w:proofErr w:type="spellEnd"/>
          </w:p>
        </w:tc>
        <w:tc>
          <w:tcPr>
            <w:tcW w:w="1332" w:type="dxa"/>
            <w:tcBorders>
              <w:top w:val="nil"/>
              <w:left w:val="nil"/>
              <w:bottom w:val="nil"/>
              <w:right w:val="nil"/>
            </w:tcBorders>
            <w:shd w:val="clear" w:color="auto" w:fill="auto"/>
            <w:noWrap/>
            <w:vAlign w:val="bottom"/>
            <w:hideMark/>
          </w:tcPr>
          <w:p w14:paraId="0B7AF5D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735141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C425A3D" w14:textId="77777777" w:rsidTr="001E04CC">
        <w:trPr>
          <w:trHeight w:val="20"/>
        </w:trPr>
        <w:tc>
          <w:tcPr>
            <w:tcW w:w="2430" w:type="dxa"/>
            <w:tcBorders>
              <w:top w:val="nil"/>
              <w:left w:val="nil"/>
              <w:bottom w:val="nil"/>
              <w:right w:val="nil"/>
            </w:tcBorders>
            <w:shd w:val="clear" w:color="auto" w:fill="auto"/>
            <w:noWrap/>
            <w:vAlign w:val="bottom"/>
            <w:hideMark/>
          </w:tcPr>
          <w:p w14:paraId="425F50B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Arimidex</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DA928B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3D8BEE5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39BC7F8" w14:textId="77777777" w:rsidTr="001E04CC">
        <w:trPr>
          <w:trHeight w:val="20"/>
        </w:trPr>
        <w:tc>
          <w:tcPr>
            <w:tcW w:w="2430" w:type="dxa"/>
            <w:tcBorders>
              <w:top w:val="nil"/>
              <w:left w:val="nil"/>
              <w:bottom w:val="nil"/>
              <w:right w:val="nil"/>
            </w:tcBorders>
            <w:shd w:val="clear" w:color="auto" w:fill="auto"/>
            <w:noWrap/>
            <w:vAlign w:val="bottom"/>
            <w:hideMark/>
          </w:tcPr>
          <w:p w14:paraId="588CB49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Arixtra</w:t>
            </w:r>
            <w:proofErr w:type="spellEnd"/>
          </w:p>
        </w:tc>
        <w:tc>
          <w:tcPr>
            <w:tcW w:w="1332" w:type="dxa"/>
            <w:tcBorders>
              <w:top w:val="nil"/>
              <w:left w:val="nil"/>
              <w:bottom w:val="nil"/>
              <w:right w:val="nil"/>
            </w:tcBorders>
            <w:shd w:val="clear" w:color="auto" w:fill="auto"/>
            <w:noWrap/>
            <w:vAlign w:val="bottom"/>
            <w:hideMark/>
          </w:tcPr>
          <w:p w14:paraId="28F819C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5101F83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A86D1B6" w14:textId="77777777" w:rsidTr="001E04CC">
        <w:trPr>
          <w:trHeight w:val="20"/>
        </w:trPr>
        <w:tc>
          <w:tcPr>
            <w:tcW w:w="2430" w:type="dxa"/>
            <w:tcBorders>
              <w:top w:val="nil"/>
              <w:left w:val="nil"/>
              <w:bottom w:val="nil"/>
              <w:right w:val="nil"/>
            </w:tcBorders>
            <w:shd w:val="clear" w:color="auto" w:fill="auto"/>
            <w:noWrap/>
            <w:vAlign w:val="bottom"/>
            <w:hideMark/>
          </w:tcPr>
          <w:p w14:paraId="1A53503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Aromasin</w:t>
            </w:r>
            <w:proofErr w:type="spellEnd"/>
          </w:p>
        </w:tc>
        <w:tc>
          <w:tcPr>
            <w:tcW w:w="1332" w:type="dxa"/>
            <w:tcBorders>
              <w:top w:val="nil"/>
              <w:left w:val="nil"/>
              <w:bottom w:val="nil"/>
              <w:right w:val="nil"/>
            </w:tcBorders>
            <w:shd w:val="clear" w:color="auto" w:fill="auto"/>
            <w:noWrap/>
            <w:vAlign w:val="bottom"/>
            <w:hideMark/>
          </w:tcPr>
          <w:p w14:paraId="0938D64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648201A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2ABE3B4" w14:textId="77777777" w:rsidTr="001E04CC">
        <w:trPr>
          <w:trHeight w:val="20"/>
        </w:trPr>
        <w:tc>
          <w:tcPr>
            <w:tcW w:w="2430" w:type="dxa"/>
            <w:tcBorders>
              <w:top w:val="nil"/>
              <w:left w:val="nil"/>
              <w:bottom w:val="nil"/>
              <w:right w:val="nil"/>
            </w:tcBorders>
            <w:shd w:val="clear" w:color="auto" w:fill="auto"/>
            <w:noWrap/>
            <w:vAlign w:val="bottom"/>
            <w:hideMark/>
          </w:tcPr>
          <w:p w14:paraId="5128361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Asmanex </w:t>
            </w:r>
            <w:proofErr w:type="spellStart"/>
            <w:r w:rsidRPr="001A20A2">
              <w:rPr>
                <w:rFonts w:ascii="Calibri" w:eastAsia="Times New Roman" w:hAnsi="Calibri" w:cs="Times New Roman"/>
                <w:color w:val="000000"/>
                <w:sz w:val="16"/>
                <w:szCs w:val="16"/>
              </w:rPr>
              <w:t>Twisthaler</w:t>
            </w:r>
            <w:proofErr w:type="spellEnd"/>
          </w:p>
        </w:tc>
        <w:tc>
          <w:tcPr>
            <w:tcW w:w="1332" w:type="dxa"/>
            <w:tcBorders>
              <w:top w:val="nil"/>
              <w:left w:val="nil"/>
              <w:bottom w:val="nil"/>
              <w:right w:val="nil"/>
            </w:tcBorders>
            <w:shd w:val="clear" w:color="auto" w:fill="auto"/>
            <w:noWrap/>
            <w:vAlign w:val="bottom"/>
            <w:hideMark/>
          </w:tcPr>
          <w:p w14:paraId="0EAFFDA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0A3B03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E56AF4A" w14:textId="77777777" w:rsidTr="001E04CC">
        <w:trPr>
          <w:trHeight w:val="20"/>
        </w:trPr>
        <w:tc>
          <w:tcPr>
            <w:tcW w:w="2430" w:type="dxa"/>
            <w:tcBorders>
              <w:top w:val="nil"/>
              <w:left w:val="nil"/>
              <w:bottom w:val="nil"/>
              <w:right w:val="nil"/>
            </w:tcBorders>
            <w:shd w:val="clear" w:color="auto" w:fill="auto"/>
            <w:noWrap/>
            <w:vAlign w:val="bottom"/>
            <w:hideMark/>
          </w:tcPr>
          <w:p w14:paraId="474B534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Astagraf</w:t>
            </w:r>
            <w:proofErr w:type="spellEnd"/>
            <w:r w:rsidRPr="001A20A2">
              <w:rPr>
                <w:rFonts w:ascii="Calibri" w:eastAsia="Times New Roman" w:hAnsi="Calibri" w:cs="Times New Roman"/>
                <w:color w:val="000000"/>
                <w:sz w:val="16"/>
                <w:szCs w:val="16"/>
              </w:rPr>
              <w:t xml:space="preserve"> XL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2FC75B7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0E0C70F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9EE34F0" w14:textId="77777777" w:rsidTr="001E04CC">
        <w:trPr>
          <w:trHeight w:val="20"/>
        </w:trPr>
        <w:tc>
          <w:tcPr>
            <w:tcW w:w="2430" w:type="dxa"/>
            <w:tcBorders>
              <w:top w:val="nil"/>
              <w:left w:val="nil"/>
              <w:bottom w:val="nil"/>
              <w:right w:val="nil"/>
            </w:tcBorders>
            <w:shd w:val="clear" w:color="auto" w:fill="auto"/>
            <w:noWrap/>
            <w:vAlign w:val="bottom"/>
            <w:hideMark/>
          </w:tcPr>
          <w:p w14:paraId="2E8F718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Atacand</w:t>
            </w:r>
            <w:proofErr w:type="spellEnd"/>
          </w:p>
        </w:tc>
        <w:tc>
          <w:tcPr>
            <w:tcW w:w="1332" w:type="dxa"/>
            <w:tcBorders>
              <w:top w:val="nil"/>
              <w:left w:val="nil"/>
              <w:bottom w:val="nil"/>
              <w:right w:val="nil"/>
            </w:tcBorders>
            <w:shd w:val="clear" w:color="auto" w:fill="auto"/>
            <w:noWrap/>
            <w:vAlign w:val="bottom"/>
            <w:hideMark/>
          </w:tcPr>
          <w:p w14:paraId="5002A14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FF30AB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FAEE45" w14:textId="77777777" w:rsidTr="001E04CC">
        <w:trPr>
          <w:trHeight w:val="20"/>
        </w:trPr>
        <w:tc>
          <w:tcPr>
            <w:tcW w:w="2430" w:type="dxa"/>
            <w:tcBorders>
              <w:top w:val="nil"/>
              <w:left w:val="nil"/>
              <w:bottom w:val="nil"/>
              <w:right w:val="nil"/>
            </w:tcBorders>
            <w:shd w:val="clear" w:color="auto" w:fill="auto"/>
            <w:noWrap/>
            <w:vAlign w:val="bottom"/>
            <w:hideMark/>
          </w:tcPr>
          <w:p w14:paraId="4271D91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Atacand</w:t>
            </w:r>
            <w:proofErr w:type="spellEnd"/>
            <w:r w:rsidRPr="001A20A2">
              <w:rPr>
                <w:rFonts w:ascii="Calibri" w:eastAsia="Times New Roman" w:hAnsi="Calibri" w:cs="Times New Roman"/>
                <w:color w:val="000000"/>
                <w:sz w:val="16"/>
                <w:szCs w:val="16"/>
              </w:rPr>
              <w:t xml:space="preserve"> HCT</w:t>
            </w:r>
          </w:p>
        </w:tc>
        <w:tc>
          <w:tcPr>
            <w:tcW w:w="1332" w:type="dxa"/>
            <w:tcBorders>
              <w:top w:val="nil"/>
              <w:left w:val="nil"/>
              <w:bottom w:val="nil"/>
              <w:right w:val="nil"/>
            </w:tcBorders>
            <w:shd w:val="clear" w:color="auto" w:fill="auto"/>
            <w:noWrap/>
            <w:vAlign w:val="bottom"/>
            <w:hideMark/>
          </w:tcPr>
          <w:p w14:paraId="24A1410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947CFC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1517FF" w14:textId="77777777" w:rsidTr="001E04CC">
        <w:trPr>
          <w:trHeight w:val="20"/>
        </w:trPr>
        <w:tc>
          <w:tcPr>
            <w:tcW w:w="2430" w:type="dxa"/>
            <w:tcBorders>
              <w:top w:val="nil"/>
              <w:left w:val="nil"/>
              <w:bottom w:val="nil"/>
              <w:right w:val="nil"/>
            </w:tcBorders>
            <w:shd w:val="clear" w:color="auto" w:fill="auto"/>
            <w:noWrap/>
            <w:vAlign w:val="bottom"/>
            <w:hideMark/>
          </w:tcPr>
          <w:p w14:paraId="5F9392E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Atelvia</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3B77667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6EA3703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816C2D" w14:textId="77777777" w:rsidTr="001E04CC">
        <w:trPr>
          <w:trHeight w:val="20"/>
        </w:trPr>
        <w:tc>
          <w:tcPr>
            <w:tcW w:w="2430" w:type="dxa"/>
            <w:tcBorders>
              <w:top w:val="nil"/>
              <w:left w:val="nil"/>
              <w:bottom w:val="nil"/>
              <w:right w:val="nil"/>
            </w:tcBorders>
            <w:shd w:val="clear" w:color="auto" w:fill="auto"/>
            <w:noWrap/>
            <w:vAlign w:val="bottom"/>
            <w:hideMark/>
          </w:tcPr>
          <w:p w14:paraId="37464AA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atenolol</w:t>
            </w:r>
          </w:p>
        </w:tc>
        <w:tc>
          <w:tcPr>
            <w:tcW w:w="1332" w:type="dxa"/>
            <w:tcBorders>
              <w:top w:val="nil"/>
              <w:left w:val="nil"/>
              <w:bottom w:val="nil"/>
              <w:right w:val="nil"/>
            </w:tcBorders>
            <w:shd w:val="clear" w:color="auto" w:fill="auto"/>
            <w:noWrap/>
            <w:vAlign w:val="bottom"/>
            <w:hideMark/>
          </w:tcPr>
          <w:p w14:paraId="1EAAF1A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F04D58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80FC817" w14:textId="77777777" w:rsidTr="001E04CC">
        <w:trPr>
          <w:trHeight w:val="20"/>
        </w:trPr>
        <w:tc>
          <w:tcPr>
            <w:tcW w:w="2430" w:type="dxa"/>
            <w:tcBorders>
              <w:top w:val="nil"/>
              <w:left w:val="nil"/>
              <w:bottom w:val="nil"/>
              <w:right w:val="nil"/>
            </w:tcBorders>
            <w:shd w:val="clear" w:color="auto" w:fill="auto"/>
            <w:noWrap/>
            <w:vAlign w:val="bottom"/>
            <w:hideMark/>
          </w:tcPr>
          <w:p w14:paraId="5B1FA7A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atenolol-chlorthalidone</w:t>
            </w:r>
          </w:p>
        </w:tc>
        <w:tc>
          <w:tcPr>
            <w:tcW w:w="1332" w:type="dxa"/>
            <w:tcBorders>
              <w:top w:val="nil"/>
              <w:left w:val="nil"/>
              <w:bottom w:val="nil"/>
              <w:right w:val="nil"/>
            </w:tcBorders>
            <w:shd w:val="clear" w:color="auto" w:fill="auto"/>
            <w:noWrap/>
            <w:vAlign w:val="bottom"/>
            <w:hideMark/>
          </w:tcPr>
          <w:p w14:paraId="687093E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1E7E38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1EE92E9" w14:textId="77777777" w:rsidTr="001E04CC">
        <w:trPr>
          <w:trHeight w:val="20"/>
        </w:trPr>
        <w:tc>
          <w:tcPr>
            <w:tcW w:w="2430" w:type="dxa"/>
            <w:tcBorders>
              <w:top w:val="nil"/>
              <w:left w:val="nil"/>
              <w:bottom w:val="nil"/>
              <w:right w:val="nil"/>
            </w:tcBorders>
            <w:shd w:val="clear" w:color="auto" w:fill="auto"/>
            <w:noWrap/>
            <w:vAlign w:val="bottom"/>
            <w:hideMark/>
          </w:tcPr>
          <w:p w14:paraId="107C20B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atorvastatin</w:t>
            </w:r>
          </w:p>
        </w:tc>
        <w:tc>
          <w:tcPr>
            <w:tcW w:w="1332" w:type="dxa"/>
            <w:tcBorders>
              <w:top w:val="nil"/>
              <w:left w:val="nil"/>
              <w:bottom w:val="nil"/>
              <w:right w:val="nil"/>
            </w:tcBorders>
            <w:shd w:val="clear" w:color="auto" w:fill="auto"/>
            <w:noWrap/>
            <w:vAlign w:val="bottom"/>
            <w:hideMark/>
          </w:tcPr>
          <w:p w14:paraId="04FF671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522C50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EA9FFC" w14:textId="77777777" w:rsidTr="001E04CC">
        <w:trPr>
          <w:trHeight w:val="20"/>
        </w:trPr>
        <w:tc>
          <w:tcPr>
            <w:tcW w:w="2430" w:type="dxa"/>
            <w:tcBorders>
              <w:top w:val="nil"/>
              <w:left w:val="nil"/>
              <w:bottom w:val="nil"/>
              <w:right w:val="nil"/>
            </w:tcBorders>
            <w:shd w:val="clear" w:color="auto" w:fill="auto"/>
            <w:noWrap/>
            <w:vAlign w:val="bottom"/>
            <w:hideMark/>
          </w:tcPr>
          <w:p w14:paraId="2886D2E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Atripla</w:t>
            </w:r>
            <w:proofErr w:type="spellEnd"/>
          </w:p>
        </w:tc>
        <w:tc>
          <w:tcPr>
            <w:tcW w:w="1332" w:type="dxa"/>
            <w:tcBorders>
              <w:top w:val="nil"/>
              <w:left w:val="nil"/>
              <w:bottom w:val="nil"/>
              <w:right w:val="nil"/>
            </w:tcBorders>
            <w:shd w:val="clear" w:color="auto" w:fill="auto"/>
            <w:noWrap/>
            <w:vAlign w:val="bottom"/>
            <w:hideMark/>
          </w:tcPr>
          <w:p w14:paraId="5755D51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12DC9FC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D543C0B" w14:textId="77777777" w:rsidTr="001E04CC">
        <w:trPr>
          <w:trHeight w:val="20"/>
        </w:trPr>
        <w:tc>
          <w:tcPr>
            <w:tcW w:w="2430" w:type="dxa"/>
            <w:tcBorders>
              <w:top w:val="nil"/>
              <w:left w:val="nil"/>
              <w:bottom w:val="nil"/>
              <w:right w:val="nil"/>
            </w:tcBorders>
            <w:shd w:val="clear" w:color="auto" w:fill="auto"/>
            <w:noWrap/>
            <w:vAlign w:val="bottom"/>
            <w:hideMark/>
          </w:tcPr>
          <w:p w14:paraId="280868B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Atrovent HFA</w:t>
            </w:r>
          </w:p>
        </w:tc>
        <w:tc>
          <w:tcPr>
            <w:tcW w:w="1332" w:type="dxa"/>
            <w:tcBorders>
              <w:top w:val="nil"/>
              <w:left w:val="nil"/>
              <w:bottom w:val="nil"/>
              <w:right w:val="nil"/>
            </w:tcBorders>
            <w:shd w:val="clear" w:color="auto" w:fill="auto"/>
            <w:noWrap/>
            <w:vAlign w:val="bottom"/>
            <w:hideMark/>
          </w:tcPr>
          <w:p w14:paraId="65A5994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CF63B7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0AA9CFE" w14:textId="77777777" w:rsidTr="001E04CC">
        <w:trPr>
          <w:trHeight w:val="20"/>
        </w:trPr>
        <w:tc>
          <w:tcPr>
            <w:tcW w:w="2430" w:type="dxa"/>
            <w:tcBorders>
              <w:top w:val="nil"/>
              <w:left w:val="nil"/>
              <w:bottom w:val="nil"/>
              <w:right w:val="nil"/>
            </w:tcBorders>
            <w:shd w:val="clear" w:color="auto" w:fill="auto"/>
            <w:noWrap/>
            <w:vAlign w:val="bottom"/>
            <w:hideMark/>
          </w:tcPr>
          <w:p w14:paraId="1390367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Aubagio</w:t>
            </w:r>
            <w:proofErr w:type="spellEnd"/>
          </w:p>
        </w:tc>
        <w:tc>
          <w:tcPr>
            <w:tcW w:w="1332" w:type="dxa"/>
            <w:tcBorders>
              <w:top w:val="nil"/>
              <w:left w:val="nil"/>
              <w:bottom w:val="nil"/>
              <w:right w:val="nil"/>
            </w:tcBorders>
            <w:shd w:val="clear" w:color="auto" w:fill="auto"/>
            <w:noWrap/>
            <w:vAlign w:val="bottom"/>
            <w:hideMark/>
          </w:tcPr>
          <w:p w14:paraId="1E86E746" w14:textId="39AF4700"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3863330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CB9ECE1" w14:textId="77777777" w:rsidTr="001E04CC">
        <w:trPr>
          <w:trHeight w:val="20"/>
        </w:trPr>
        <w:tc>
          <w:tcPr>
            <w:tcW w:w="2430" w:type="dxa"/>
            <w:tcBorders>
              <w:top w:val="nil"/>
              <w:left w:val="nil"/>
              <w:bottom w:val="nil"/>
              <w:right w:val="nil"/>
            </w:tcBorders>
            <w:shd w:val="clear" w:color="auto" w:fill="auto"/>
            <w:noWrap/>
            <w:vAlign w:val="bottom"/>
            <w:hideMark/>
          </w:tcPr>
          <w:p w14:paraId="3C558E3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Avalide</w:t>
            </w:r>
            <w:proofErr w:type="spellEnd"/>
          </w:p>
        </w:tc>
        <w:tc>
          <w:tcPr>
            <w:tcW w:w="1332" w:type="dxa"/>
            <w:tcBorders>
              <w:top w:val="nil"/>
              <w:left w:val="nil"/>
              <w:bottom w:val="nil"/>
              <w:right w:val="nil"/>
            </w:tcBorders>
            <w:shd w:val="clear" w:color="auto" w:fill="auto"/>
            <w:noWrap/>
            <w:vAlign w:val="bottom"/>
            <w:hideMark/>
          </w:tcPr>
          <w:p w14:paraId="393ED5C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A9C642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05A83DC" w14:textId="77777777" w:rsidTr="001E04CC">
        <w:trPr>
          <w:trHeight w:val="20"/>
        </w:trPr>
        <w:tc>
          <w:tcPr>
            <w:tcW w:w="2430" w:type="dxa"/>
            <w:tcBorders>
              <w:top w:val="nil"/>
              <w:left w:val="nil"/>
              <w:bottom w:val="nil"/>
              <w:right w:val="nil"/>
            </w:tcBorders>
            <w:shd w:val="clear" w:color="auto" w:fill="auto"/>
            <w:noWrap/>
            <w:vAlign w:val="bottom"/>
            <w:hideMark/>
          </w:tcPr>
          <w:p w14:paraId="23C131A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Avandamet</w:t>
            </w:r>
            <w:proofErr w:type="spellEnd"/>
          </w:p>
        </w:tc>
        <w:tc>
          <w:tcPr>
            <w:tcW w:w="1332" w:type="dxa"/>
            <w:tcBorders>
              <w:top w:val="nil"/>
              <w:left w:val="nil"/>
              <w:bottom w:val="nil"/>
              <w:right w:val="nil"/>
            </w:tcBorders>
            <w:shd w:val="clear" w:color="auto" w:fill="auto"/>
            <w:noWrap/>
            <w:vAlign w:val="bottom"/>
            <w:hideMark/>
          </w:tcPr>
          <w:p w14:paraId="4599C8AD" w14:textId="7FAAB9B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7B470D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FE5423B" w14:textId="77777777" w:rsidTr="001E04CC">
        <w:trPr>
          <w:trHeight w:val="20"/>
        </w:trPr>
        <w:tc>
          <w:tcPr>
            <w:tcW w:w="2430" w:type="dxa"/>
            <w:tcBorders>
              <w:top w:val="nil"/>
              <w:left w:val="nil"/>
              <w:bottom w:val="nil"/>
              <w:right w:val="nil"/>
            </w:tcBorders>
            <w:shd w:val="clear" w:color="auto" w:fill="auto"/>
            <w:noWrap/>
            <w:vAlign w:val="bottom"/>
            <w:hideMark/>
          </w:tcPr>
          <w:p w14:paraId="4B8163E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Avandaryl</w:t>
            </w:r>
            <w:proofErr w:type="spellEnd"/>
          </w:p>
        </w:tc>
        <w:tc>
          <w:tcPr>
            <w:tcW w:w="1332" w:type="dxa"/>
            <w:tcBorders>
              <w:top w:val="nil"/>
              <w:left w:val="nil"/>
              <w:bottom w:val="nil"/>
              <w:right w:val="nil"/>
            </w:tcBorders>
            <w:shd w:val="clear" w:color="auto" w:fill="auto"/>
            <w:noWrap/>
            <w:vAlign w:val="bottom"/>
            <w:hideMark/>
          </w:tcPr>
          <w:p w14:paraId="3DE1FAEB" w14:textId="3D18C01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163E21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8670A67" w14:textId="77777777" w:rsidTr="001E04CC">
        <w:trPr>
          <w:trHeight w:val="20"/>
        </w:trPr>
        <w:tc>
          <w:tcPr>
            <w:tcW w:w="2430" w:type="dxa"/>
            <w:tcBorders>
              <w:top w:val="nil"/>
              <w:left w:val="nil"/>
              <w:bottom w:val="nil"/>
              <w:right w:val="nil"/>
            </w:tcBorders>
            <w:shd w:val="clear" w:color="auto" w:fill="auto"/>
            <w:noWrap/>
            <w:vAlign w:val="bottom"/>
            <w:hideMark/>
          </w:tcPr>
          <w:p w14:paraId="692A9BE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Avandia</w:t>
            </w:r>
          </w:p>
        </w:tc>
        <w:tc>
          <w:tcPr>
            <w:tcW w:w="1332" w:type="dxa"/>
            <w:tcBorders>
              <w:top w:val="nil"/>
              <w:left w:val="nil"/>
              <w:bottom w:val="nil"/>
              <w:right w:val="nil"/>
            </w:tcBorders>
            <w:shd w:val="clear" w:color="auto" w:fill="auto"/>
            <w:noWrap/>
            <w:vAlign w:val="bottom"/>
            <w:hideMark/>
          </w:tcPr>
          <w:p w14:paraId="22AC289E" w14:textId="46296A26"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19EE94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2C03AC8" w14:textId="77777777" w:rsidTr="001E04CC">
        <w:trPr>
          <w:trHeight w:val="20"/>
        </w:trPr>
        <w:tc>
          <w:tcPr>
            <w:tcW w:w="2430" w:type="dxa"/>
            <w:tcBorders>
              <w:top w:val="nil"/>
              <w:left w:val="nil"/>
              <w:bottom w:val="nil"/>
              <w:right w:val="nil"/>
            </w:tcBorders>
            <w:shd w:val="clear" w:color="auto" w:fill="auto"/>
            <w:noWrap/>
            <w:vAlign w:val="bottom"/>
            <w:hideMark/>
          </w:tcPr>
          <w:p w14:paraId="7406D63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Avapro</w:t>
            </w:r>
          </w:p>
        </w:tc>
        <w:tc>
          <w:tcPr>
            <w:tcW w:w="1332" w:type="dxa"/>
            <w:tcBorders>
              <w:top w:val="nil"/>
              <w:left w:val="nil"/>
              <w:bottom w:val="nil"/>
              <w:right w:val="nil"/>
            </w:tcBorders>
            <w:shd w:val="clear" w:color="auto" w:fill="auto"/>
            <w:noWrap/>
            <w:vAlign w:val="bottom"/>
            <w:hideMark/>
          </w:tcPr>
          <w:p w14:paraId="455458F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FE6C27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4C4B56" w14:textId="77777777" w:rsidTr="001E04CC">
        <w:trPr>
          <w:trHeight w:val="20"/>
        </w:trPr>
        <w:tc>
          <w:tcPr>
            <w:tcW w:w="2430" w:type="dxa"/>
            <w:tcBorders>
              <w:top w:val="nil"/>
              <w:left w:val="nil"/>
              <w:bottom w:val="nil"/>
              <w:right w:val="nil"/>
            </w:tcBorders>
            <w:shd w:val="clear" w:color="auto" w:fill="auto"/>
            <w:noWrap/>
            <w:vAlign w:val="bottom"/>
            <w:hideMark/>
          </w:tcPr>
          <w:p w14:paraId="039BF0C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Avonex</w:t>
            </w:r>
            <w:proofErr w:type="spellEnd"/>
          </w:p>
        </w:tc>
        <w:tc>
          <w:tcPr>
            <w:tcW w:w="1332" w:type="dxa"/>
            <w:tcBorders>
              <w:top w:val="nil"/>
              <w:left w:val="nil"/>
              <w:bottom w:val="nil"/>
              <w:right w:val="nil"/>
            </w:tcBorders>
            <w:shd w:val="clear" w:color="auto" w:fill="auto"/>
            <w:noWrap/>
            <w:vAlign w:val="bottom"/>
            <w:hideMark/>
          </w:tcPr>
          <w:p w14:paraId="1071189A" w14:textId="6F44DBE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5DC98DA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DC7E436" w14:textId="77777777" w:rsidTr="001E04CC">
        <w:trPr>
          <w:trHeight w:val="20"/>
        </w:trPr>
        <w:tc>
          <w:tcPr>
            <w:tcW w:w="2430" w:type="dxa"/>
            <w:tcBorders>
              <w:top w:val="nil"/>
              <w:left w:val="nil"/>
              <w:bottom w:val="nil"/>
              <w:right w:val="nil"/>
            </w:tcBorders>
            <w:shd w:val="clear" w:color="auto" w:fill="auto"/>
            <w:noWrap/>
            <w:vAlign w:val="bottom"/>
            <w:hideMark/>
          </w:tcPr>
          <w:p w14:paraId="41F2EBE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Azasan</w:t>
            </w:r>
            <w:proofErr w:type="spellEnd"/>
          </w:p>
        </w:tc>
        <w:tc>
          <w:tcPr>
            <w:tcW w:w="1332" w:type="dxa"/>
            <w:tcBorders>
              <w:top w:val="nil"/>
              <w:left w:val="nil"/>
              <w:bottom w:val="nil"/>
              <w:right w:val="nil"/>
            </w:tcBorders>
            <w:shd w:val="clear" w:color="auto" w:fill="auto"/>
            <w:noWrap/>
            <w:vAlign w:val="bottom"/>
            <w:hideMark/>
          </w:tcPr>
          <w:p w14:paraId="1F509F3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72F9A1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F35D8C7" w14:textId="77777777" w:rsidTr="001E04CC">
        <w:trPr>
          <w:trHeight w:val="20"/>
        </w:trPr>
        <w:tc>
          <w:tcPr>
            <w:tcW w:w="2430" w:type="dxa"/>
            <w:tcBorders>
              <w:top w:val="nil"/>
              <w:left w:val="nil"/>
              <w:bottom w:val="nil"/>
              <w:right w:val="nil"/>
            </w:tcBorders>
            <w:shd w:val="clear" w:color="auto" w:fill="auto"/>
            <w:noWrap/>
            <w:vAlign w:val="bottom"/>
            <w:hideMark/>
          </w:tcPr>
          <w:p w14:paraId="288AD72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azathioprine</w:t>
            </w:r>
          </w:p>
        </w:tc>
        <w:tc>
          <w:tcPr>
            <w:tcW w:w="1332" w:type="dxa"/>
            <w:tcBorders>
              <w:top w:val="nil"/>
              <w:left w:val="nil"/>
              <w:bottom w:val="nil"/>
              <w:right w:val="nil"/>
            </w:tcBorders>
            <w:shd w:val="clear" w:color="auto" w:fill="auto"/>
            <w:noWrap/>
            <w:vAlign w:val="bottom"/>
            <w:hideMark/>
          </w:tcPr>
          <w:p w14:paraId="716C4CB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62C874C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8B53C0" w14:textId="77777777" w:rsidTr="001E04CC">
        <w:trPr>
          <w:trHeight w:val="20"/>
        </w:trPr>
        <w:tc>
          <w:tcPr>
            <w:tcW w:w="2430" w:type="dxa"/>
            <w:tcBorders>
              <w:top w:val="nil"/>
              <w:left w:val="nil"/>
              <w:bottom w:val="nil"/>
              <w:right w:val="nil"/>
            </w:tcBorders>
            <w:shd w:val="clear" w:color="auto" w:fill="auto"/>
            <w:noWrap/>
            <w:vAlign w:val="bottom"/>
            <w:hideMark/>
          </w:tcPr>
          <w:p w14:paraId="0FCA313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Azor</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AD0076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9B8686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CAF27F0" w14:textId="77777777" w:rsidTr="001E04CC">
        <w:trPr>
          <w:trHeight w:val="20"/>
        </w:trPr>
        <w:tc>
          <w:tcPr>
            <w:tcW w:w="2430" w:type="dxa"/>
            <w:tcBorders>
              <w:top w:val="nil"/>
              <w:left w:val="nil"/>
              <w:bottom w:val="nil"/>
              <w:right w:val="nil"/>
            </w:tcBorders>
            <w:shd w:val="clear" w:color="auto" w:fill="auto"/>
            <w:noWrap/>
            <w:vAlign w:val="bottom"/>
            <w:hideMark/>
          </w:tcPr>
          <w:p w14:paraId="2618B61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benazepril</w:t>
            </w:r>
          </w:p>
        </w:tc>
        <w:tc>
          <w:tcPr>
            <w:tcW w:w="1332" w:type="dxa"/>
            <w:tcBorders>
              <w:top w:val="nil"/>
              <w:left w:val="nil"/>
              <w:bottom w:val="nil"/>
              <w:right w:val="nil"/>
            </w:tcBorders>
            <w:shd w:val="clear" w:color="auto" w:fill="auto"/>
            <w:noWrap/>
            <w:vAlign w:val="bottom"/>
            <w:hideMark/>
          </w:tcPr>
          <w:p w14:paraId="1D0EFCF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30BF47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4875CA" w14:textId="77777777" w:rsidTr="001E04CC">
        <w:trPr>
          <w:trHeight w:val="20"/>
        </w:trPr>
        <w:tc>
          <w:tcPr>
            <w:tcW w:w="2430" w:type="dxa"/>
            <w:tcBorders>
              <w:top w:val="nil"/>
              <w:left w:val="nil"/>
              <w:bottom w:val="nil"/>
              <w:right w:val="nil"/>
            </w:tcBorders>
            <w:shd w:val="clear" w:color="auto" w:fill="auto"/>
            <w:noWrap/>
            <w:vAlign w:val="bottom"/>
            <w:hideMark/>
          </w:tcPr>
          <w:p w14:paraId="469C1BC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benazepril-hydrochlorothiazide</w:t>
            </w:r>
          </w:p>
        </w:tc>
        <w:tc>
          <w:tcPr>
            <w:tcW w:w="1332" w:type="dxa"/>
            <w:tcBorders>
              <w:top w:val="nil"/>
              <w:left w:val="nil"/>
              <w:bottom w:val="nil"/>
              <w:right w:val="nil"/>
            </w:tcBorders>
            <w:shd w:val="clear" w:color="auto" w:fill="auto"/>
            <w:noWrap/>
            <w:vAlign w:val="bottom"/>
            <w:hideMark/>
          </w:tcPr>
          <w:p w14:paraId="6DE3336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36FB0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29941BF" w14:textId="77777777" w:rsidTr="001E04CC">
        <w:trPr>
          <w:trHeight w:val="20"/>
        </w:trPr>
        <w:tc>
          <w:tcPr>
            <w:tcW w:w="2430" w:type="dxa"/>
            <w:tcBorders>
              <w:top w:val="nil"/>
              <w:left w:val="nil"/>
              <w:bottom w:val="nil"/>
              <w:right w:val="nil"/>
            </w:tcBorders>
            <w:shd w:val="clear" w:color="auto" w:fill="auto"/>
            <w:noWrap/>
            <w:vAlign w:val="bottom"/>
            <w:hideMark/>
          </w:tcPr>
          <w:p w14:paraId="2EDB75B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Benicar</w:t>
            </w:r>
          </w:p>
        </w:tc>
        <w:tc>
          <w:tcPr>
            <w:tcW w:w="1332" w:type="dxa"/>
            <w:tcBorders>
              <w:top w:val="nil"/>
              <w:left w:val="nil"/>
              <w:bottom w:val="nil"/>
              <w:right w:val="nil"/>
            </w:tcBorders>
            <w:shd w:val="clear" w:color="auto" w:fill="auto"/>
            <w:noWrap/>
            <w:vAlign w:val="bottom"/>
            <w:hideMark/>
          </w:tcPr>
          <w:p w14:paraId="3440A5B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F21E6A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62DE9AE" w14:textId="77777777" w:rsidTr="001E04CC">
        <w:trPr>
          <w:trHeight w:val="20"/>
        </w:trPr>
        <w:tc>
          <w:tcPr>
            <w:tcW w:w="2430" w:type="dxa"/>
            <w:tcBorders>
              <w:top w:val="nil"/>
              <w:left w:val="nil"/>
              <w:bottom w:val="nil"/>
              <w:right w:val="nil"/>
            </w:tcBorders>
            <w:shd w:val="clear" w:color="auto" w:fill="auto"/>
            <w:noWrap/>
            <w:vAlign w:val="bottom"/>
            <w:hideMark/>
          </w:tcPr>
          <w:p w14:paraId="0C7C0A0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Benicar HCT</w:t>
            </w:r>
          </w:p>
        </w:tc>
        <w:tc>
          <w:tcPr>
            <w:tcW w:w="1332" w:type="dxa"/>
            <w:tcBorders>
              <w:top w:val="nil"/>
              <w:left w:val="nil"/>
              <w:bottom w:val="nil"/>
              <w:right w:val="nil"/>
            </w:tcBorders>
            <w:shd w:val="clear" w:color="auto" w:fill="auto"/>
            <w:noWrap/>
            <w:vAlign w:val="bottom"/>
            <w:hideMark/>
          </w:tcPr>
          <w:p w14:paraId="0D98F5D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1B663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6FECBB3" w14:textId="77777777" w:rsidTr="001E04CC">
        <w:trPr>
          <w:trHeight w:val="20"/>
        </w:trPr>
        <w:tc>
          <w:tcPr>
            <w:tcW w:w="2430" w:type="dxa"/>
            <w:tcBorders>
              <w:top w:val="nil"/>
              <w:left w:val="nil"/>
              <w:bottom w:val="nil"/>
              <w:right w:val="nil"/>
            </w:tcBorders>
            <w:shd w:val="clear" w:color="auto" w:fill="auto"/>
            <w:noWrap/>
            <w:vAlign w:val="bottom"/>
            <w:hideMark/>
          </w:tcPr>
          <w:p w14:paraId="5A6AA8E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Betaseron</w:t>
            </w:r>
            <w:proofErr w:type="spellEnd"/>
          </w:p>
        </w:tc>
        <w:tc>
          <w:tcPr>
            <w:tcW w:w="1332" w:type="dxa"/>
            <w:tcBorders>
              <w:top w:val="nil"/>
              <w:left w:val="nil"/>
              <w:bottom w:val="nil"/>
              <w:right w:val="nil"/>
            </w:tcBorders>
            <w:shd w:val="clear" w:color="auto" w:fill="auto"/>
            <w:noWrap/>
            <w:vAlign w:val="bottom"/>
            <w:hideMark/>
          </w:tcPr>
          <w:p w14:paraId="48DE86F3" w14:textId="0F6F036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1BEBFAB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0ED3105" w14:textId="77777777" w:rsidTr="001E04CC">
        <w:trPr>
          <w:trHeight w:val="20"/>
        </w:trPr>
        <w:tc>
          <w:tcPr>
            <w:tcW w:w="2430" w:type="dxa"/>
            <w:tcBorders>
              <w:top w:val="nil"/>
              <w:left w:val="nil"/>
              <w:bottom w:val="nil"/>
              <w:right w:val="nil"/>
            </w:tcBorders>
            <w:shd w:val="clear" w:color="auto" w:fill="auto"/>
            <w:noWrap/>
            <w:vAlign w:val="bottom"/>
            <w:hideMark/>
          </w:tcPr>
          <w:p w14:paraId="37D95DDB" w14:textId="05075EBC"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betaxolol</w:t>
            </w:r>
            <w:proofErr w:type="spellEnd"/>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28F26D8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75FCA9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E88833" w14:textId="77777777" w:rsidTr="001E04CC">
        <w:trPr>
          <w:trHeight w:val="20"/>
        </w:trPr>
        <w:tc>
          <w:tcPr>
            <w:tcW w:w="2430" w:type="dxa"/>
            <w:tcBorders>
              <w:top w:val="nil"/>
              <w:left w:val="nil"/>
              <w:bottom w:val="nil"/>
              <w:right w:val="nil"/>
            </w:tcBorders>
            <w:shd w:val="clear" w:color="auto" w:fill="auto"/>
            <w:noWrap/>
            <w:vAlign w:val="bottom"/>
            <w:hideMark/>
          </w:tcPr>
          <w:p w14:paraId="167E5F0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Bidil</w:t>
            </w:r>
            <w:proofErr w:type="spellEnd"/>
          </w:p>
        </w:tc>
        <w:tc>
          <w:tcPr>
            <w:tcW w:w="1332" w:type="dxa"/>
            <w:tcBorders>
              <w:top w:val="nil"/>
              <w:left w:val="nil"/>
              <w:bottom w:val="nil"/>
              <w:right w:val="nil"/>
            </w:tcBorders>
            <w:shd w:val="clear" w:color="auto" w:fill="auto"/>
            <w:noWrap/>
            <w:vAlign w:val="bottom"/>
            <w:hideMark/>
          </w:tcPr>
          <w:p w14:paraId="090FD9E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26FDE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7BD8B09" w14:textId="77777777" w:rsidTr="001E04CC">
        <w:trPr>
          <w:trHeight w:val="20"/>
        </w:trPr>
        <w:tc>
          <w:tcPr>
            <w:tcW w:w="2430" w:type="dxa"/>
            <w:tcBorders>
              <w:top w:val="nil"/>
              <w:left w:val="nil"/>
              <w:bottom w:val="nil"/>
              <w:right w:val="nil"/>
            </w:tcBorders>
            <w:shd w:val="clear" w:color="auto" w:fill="auto"/>
            <w:noWrap/>
            <w:vAlign w:val="bottom"/>
            <w:hideMark/>
          </w:tcPr>
          <w:p w14:paraId="1DBDE63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Binosto</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935B61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3C96FEE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B7BBB46" w14:textId="77777777" w:rsidTr="001E04CC">
        <w:trPr>
          <w:trHeight w:val="20"/>
        </w:trPr>
        <w:tc>
          <w:tcPr>
            <w:tcW w:w="2430" w:type="dxa"/>
            <w:tcBorders>
              <w:top w:val="nil"/>
              <w:left w:val="nil"/>
              <w:bottom w:val="nil"/>
              <w:right w:val="nil"/>
            </w:tcBorders>
            <w:shd w:val="clear" w:color="auto" w:fill="auto"/>
            <w:noWrap/>
            <w:vAlign w:val="bottom"/>
            <w:hideMark/>
          </w:tcPr>
          <w:p w14:paraId="0D8B84B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bisoprolol</w:t>
            </w:r>
          </w:p>
        </w:tc>
        <w:tc>
          <w:tcPr>
            <w:tcW w:w="1332" w:type="dxa"/>
            <w:tcBorders>
              <w:top w:val="nil"/>
              <w:left w:val="nil"/>
              <w:bottom w:val="nil"/>
              <w:right w:val="nil"/>
            </w:tcBorders>
            <w:shd w:val="clear" w:color="auto" w:fill="auto"/>
            <w:noWrap/>
            <w:vAlign w:val="bottom"/>
            <w:hideMark/>
          </w:tcPr>
          <w:p w14:paraId="3C6EBC3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F37671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3D9B6B4" w14:textId="77777777" w:rsidTr="001E04CC">
        <w:trPr>
          <w:trHeight w:val="20"/>
        </w:trPr>
        <w:tc>
          <w:tcPr>
            <w:tcW w:w="2430" w:type="dxa"/>
            <w:tcBorders>
              <w:top w:val="nil"/>
              <w:left w:val="nil"/>
              <w:bottom w:val="nil"/>
              <w:right w:val="nil"/>
            </w:tcBorders>
            <w:shd w:val="clear" w:color="auto" w:fill="auto"/>
            <w:noWrap/>
            <w:vAlign w:val="bottom"/>
            <w:hideMark/>
          </w:tcPr>
          <w:p w14:paraId="24CC2A1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bisoprolol-hydrochlorothiazide</w:t>
            </w:r>
          </w:p>
        </w:tc>
        <w:tc>
          <w:tcPr>
            <w:tcW w:w="1332" w:type="dxa"/>
            <w:tcBorders>
              <w:top w:val="nil"/>
              <w:left w:val="nil"/>
              <w:bottom w:val="nil"/>
              <w:right w:val="nil"/>
            </w:tcBorders>
            <w:shd w:val="clear" w:color="auto" w:fill="auto"/>
            <w:noWrap/>
            <w:vAlign w:val="bottom"/>
            <w:hideMark/>
          </w:tcPr>
          <w:p w14:paraId="4777C75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928232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721C1DF" w14:textId="77777777" w:rsidTr="001E04CC">
        <w:trPr>
          <w:trHeight w:val="20"/>
        </w:trPr>
        <w:tc>
          <w:tcPr>
            <w:tcW w:w="2430" w:type="dxa"/>
            <w:tcBorders>
              <w:top w:val="nil"/>
              <w:left w:val="nil"/>
              <w:bottom w:val="nil"/>
              <w:right w:val="nil"/>
            </w:tcBorders>
            <w:shd w:val="clear" w:color="auto" w:fill="auto"/>
            <w:noWrap/>
            <w:vAlign w:val="bottom"/>
            <w:hideMark/>
          </w:tcPr>
          <w:p w14:paraId="02431D4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Boniva</w:t>
            </w:r>
          </w:p>
        </w:tc>
        <w:tc>
          <w:tcPr>
            <w:tcW w:w="1332" w:type="dxa"/>
            <w:tcBorders>
              <w:top w:val="nil"/>
              <w:left w:val="nil"/>
              <w:bottom w:val="nil"/>
              <w:right w:val="nil"/>
            </w:tcBorders>
            <w:shd w:val="clear" w:color="auto" w:fill="auto"/>
            <w:noWrap/>
            <w:vAlign w:val="bottom"/>
            <w:hideMark/>
          </w:tcPr>
          <w:p w14:paraId="63C76A2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743F9AC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5D2136" w14:textId="77777777" w:rsidTr="001E04CC">
        <w:trPr>
          <w:trHeight w:val="20"/>
        </w:trPr>
        <w:tc>
          <w:tcPr>
            <w:tcW w:w="2430" w:type="dxa"/>
            <w:tcBorders>
              <w:top w:val="nil"/>
              <w:left w:val="nil"/>
              <w:bottom w:val="nil"/>
              <w:right w:val="nil"/>
            </w:tcBorders>
            <w:shd w:val="clear" w:color="auto" w:fill="auto"/>
            <w:noWrap/>
            <w:vAlign w:val="bottom"/>
            <w:hideMark/>
          </w:tcPr>
          <w:p w14:paraId="7517725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Breo</w:t>
            </w:r>
            <w:proofErr w:type="spellEnd"/>
            <w:r w:rsidRPr="001A20A2">
              <w:rPr>
                <w:rFonts w:ascii="Calibri" w:eastAsia="Times New Roman" w:hAnsi="Calibri" w:cs="Times New Roman"/>
                <w:color w:val="000000"/>
                <w:sz w:val="16"/>
                <w:szCs w:val="16"/>
              </w:rPr>
              <w:t xml:space="preserve"> Ellipta</w:t>
            </w:r>
          </w:p>
        </w:tc>
        <w:tc>
          <w:tcPr>
            <w:tcW w:w="1332" w:type="dxa"/>
            <w:tcBorders>
              <w:top w:val="nil"/>
              <w:left w:val="nil"/>
              <w:bottom w:val="nil"/>
              <w:right w:val="nil"/>
            </w:tcBorders>
            <w:shd w:val="clear" w:color="auto" w:fill="auto"/>
            <w:noWrap/>
            <w:vAlign w:val="bottom"/>
            <w:hideMark/>
          </w:tcPr>
          <w:p w14:paraId="1F8A1D6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097532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5529B30" w14:textId="77777777" w:rsidTr="001E04CC">
        <w:trPr>
          <w:trHeight w:val="20"/>
        </w:trPr>
        <w:tc>
          <w:tcPr>
            <w:tcW w:w="2430" w:type="dxa"/>
            <w:tcBorders>
              <w:top w:val="nil"/>
              <w:left w:val="nil"/>
              <w:bottom w:val="nil"/>
              <w:right w:val="nil"/>
            </w:tcBorders>
            <w:shd w:val="clear" w:color="auto" w:fill="auto"/>
            <w:noWrap/>
            <w:vAlign w:val="bottom"/>
            <w:hideMark/>
          </w:tcPr>
          <w:p w14:paraId="47CFD0A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Brilinta</w:t>
            </w:r>
            <w:proofErr w:type="spellEnd"/>
          </w:p>
        </w:tc>
        <w:tc>
          <w:tcPr>
            <w:tcW w:w="1332" w:type="dxa"/>
            <w:tcBorders>
              <w:top w:val="nil"/>
              <w:left w:val="nil"/>
              <w:bottom w:val="nil"/>
              <w:right w:val="nil"/>
            </w:tcBorders>
            <w:shd w:val="clear" w:color="auto" w:fill="auto"/>
            <w:noWrap/>
            <w:vAlign w:val="bottom"/>
            <w:hideMark/>
          </w:tcPr>
          <w:p w14:paraId="0A83C3A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7BF5874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4EA104" w14:textId="77777777" w:rsidTr="001E04CC">
        <w:trPr>
          <w:trHeight w:val="20"/>
        </w:trPr>
        <w:tc>
          <w:tcPr>
            <w:tcW w:w="2430" w:type="dxa"/>
            <w:tcBorders>
              <w:top w:val="nil"/>
              <w:left w:val="nil"/>
              <w:bottom w:val="nil"/>
              <w:right w:val="nil"/>
            </w:tcBorders>
            <w:shd w:val="clear" w:color="auto" w:fill="auto"/>
            <w:noWrap/>
            <w:vAlign w:val="bottom"/>
            <w:hideMark/>
          </w:tcPr>
          <w:p w14:paraId="1D183A8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Brovana</w:t>
            </w:r>
            <w:proofErr w:type="spellEnd"/>
          </w:p>
        </w:tc>
        <w:tc>
          <w:tcPr>
            <w:tcW w:w="1332" w:type="dxa"/>
            <w:tcBorders>
              <w:top w:val="nil"/>
              <w:left w:val="nil"/>
              <w:bottom w:val="nil"/>
              <w:right w:val="nil"/>
            </w:tcBorders>
            <w:shd w:val="clear" w:color="auto" w:fill="auto"/>
            <w:noWrap/>
            <w:vAlign w:val="bottom"/>
            <w:hideMark/>
          </w:tcPr>
          <w:p w14:paraId="45895E4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41F377F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15516D5" w14:textId="77777777" w:rsidTr="001E04CC">
        <w:trPr>
          <w:trHeight w:val="20"/>
        </w:trPr>
        <w:tc>
          <w:tcPr>
            <w:tcW w:w="2430" w:type="dxa"/>
            <w:tcBorders>
              <w:top w:val="nil"/>
              <w:left w:val="nil"/>
              <w:bottom w:val="nil"/>
              <w:right w:val="nil"/>
            </w:tcBorders>
            <w:shd w:val="clear" w:color="auto" w:fill="auto"/>
            <w:noWrap/>
            <w:vAlign w:val="bottom"/>
            <w:hideMark/>
          </w:tcPr>
          <w:p w14:paraId="4783DF3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budesonide</w:t>
            </w:r>
          </w:p>
        </w:tc>
        <w:tc>
          <w:tcPr>
            <w:tcW w:w="1332" w:type="dxa"/>
            <w:tcBorders>
              <w:top w:val="nil"/>
              <w:left w:val="nil"/>
              <w:bottom w:val="nil"/>
              <w:right w:val="nil"/>
            </w:tcBorders>
            <w:shd w:val="clear" w:color="auto" w:fill="auto"/>
            <w:noWrap/>
            <w:vAlign w:val="bottom"/>
            <w:hideMark/>
          </w:tcPr>
          <w:p w14:paraId="2916DC6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D1247B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BBA6FFC" w14:textId="77777777" w:rsidTr="001E04CC">
        <w:trPr>
          <w:trHeight w:val="20"/>
        </w:trPr>
        <w:tc>
          <w:tcPr>
            <w:tcW w:w="2430" w:type="dxa"/>
            <w:tcBorders>
              <w:top w:val="nil"/>
              <w:left w:val="nil"/>
              <w:bottom w:val="nil"/>
              <w:right w:val="nil"/>
            </w:tcBorders>
            <w:shd w:val="clear" w:color="auto" w:fill="auto"/>
            <w:noWrap/>
            <w:vAlign w:val="bottom"/>
            <w:hideMark/>
          </w:tcPr>
          <w:p w14:paraId="6859D8C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bumetanide</w:t>
            </w:r>
          </w:p>
        </w:tc>
        <w:tc>
          <w:tcPr>
            <w:tcW w:w="1332" w:type="dxa"/>
            <w:tcBorders>
              <w:top w:val="nil"/>
              <w:left w:val="nil"/>
              <w:bottom w:val="nil"/>
              <w:right w:val="nil"/>
            </w:tcBorders>
            <w:shd w:val="clear" w:color="auto" w:fill="auto"/>
            <w:noWrap/>
            <w:vAlign w:val="bottom"/>
            <w:hideMark/>
          </w:tcPr>
          <w:p w14:paraId="59DEE7D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7712C3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D42C303" w14:textId="77777777" w:rsidTr="001E04CC">
        <w:trPr>
          <w:trHeight w:val="20"/>
        </w:trPr>
        <w:tc>
          <w:tcPr>
            <w:tcW w:w="2430" w:type="dxa"/>
            <w:tcBorders>
              <w:top w:val="nil"/>
              <w:left w:val="nil"/>
              <w:bottom w:val="nil"/>
              <w:right w:val="nil"/>
            </w:tcBorders>
            <w:shd w:val="clear" w:color="auto" w:fill="auto"/>
            <w:noWrap/>
            <w:vAlign w:val="bottom"/>
            <w:hideMark/>
          </w:tcPr>
          <w:p w14:paraId="2A66D1E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Bydureon</w:t>
            </w:r>
            <w:proofErr w:type="spellEnd"/>
          </w:p>
        </w:tc>
        <w:tc>
          <w:tcPr>
            <w:tcW w:w="1332" w:type="dxa"/>
            <w:tcBorders>
              <w:top w:val="nil"/>
              <w:left w:val="nil"/>
              <w:bottom w:val="nil"/>
              <w:right w:val="nil"/>
            </w:tcBorders>
            <w:shd w:val="clear" w:color="auto" w:fill="auto"/>
            <w:noWrap/>
            <w:vAlign w:val="bottom"/>
            <w:hideMark/>
          </w:tcPr>
          <w:p w14:paraId="458EEC46" w14:textId="73C5217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70B081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F2486D3" w14:textId="77777777" w:rsidTr="001E04CC">
        <w:trPr>
          <w:trHeight w:val="20"/>
        </w:trPr>
        <w:tc>
          <w:tcPr>
            <w:tcW w:w="2430" w:type="dxa"/>
            <w:tcBorders>
              <w:top w:val="nil"/>
              <w:left w:val="nil"/>
              <w:bottom w:val="nil"/>
              <w:right w:val="nil"/>
            </w:tcBorders>
            <w:shd w:val="clear" w:color="auto" w:fill="auto"/>
            <w:noWrap/>
            <w:vAlign w:val="bottom"/>
            <w:hideMark/>
          </w:tcPr>
          <w:p w14:paraId="253FFD5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Byetta</w:t>
            </w:r>
            <w:proofErr w:type="spellEnd"/>
          </w:p>
        </w:tc>
        <w:tc>
          <w:tcPr>
            <w:tcW w:w="1332" w:type="dxa"/>
            <w:tcBorders>
              <w:top w:val="nil"/>
              <w:left w:val="nil"/>
              <w:bottom w:val="nil"/>
              <w:right w:val="nil"/>
            </w:tcBorders>
            <w:shd w:val="clear" w:color="auto" w:fill="auto"/>
            <w:noWrap/>
            <w:vAlign w:val="bottom"/>
            <w:hideMark/>
          </w:tcPr>
          <w:p w14:paraId="22E6D5BD" w14:textId="3624784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CA2730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7C0B288" w14:textId="77777777" w:rsidTr="001E04CC">
        <w:trPr>
          <w:trHeight w:val="20"/>
        </w:trPr>
        <w:tc>
          <w:tcPr>
            <w:tcW w:w="2430" w:type="dxa"/>
            <w:tcBorders>
              <w:top w:val="nil"/>
              <w:left w:val="nil"/>
              <w:bottom w:val="nil"/>
              <w:right w:val="nil"/>
            </w:tcBorders>
            <w:shd w:val="clear" w:color="auto" w:fill="auto"/>
            <w:noWrap/>
            <w:vAlign w:val="bottom"/>
            <w:hideMark/>
          </w:tcPr>
          <w:p w14:paraId="475522F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Bystolic</w:t>
            </w:r>
          </w:p>
        </w:tc>
        <w:tc>
          <w:tcPr>
            <w:tcW w:w="1332" w:type="dxa"/>
            <w:tcBorders>
              <w:top w:val="nil"/>
              <w:left w:val="nil"/>
              <w:bottom w:val="nil"/>
              <w:right w:val="nil"/>
            </w:tcBorders>
            <w:shd w:val="clear" w:color="auto" w:fill="auto"/>
            <w:noWrap/>
            <w:vAlign w:val="bottom"/>
            <w:hideMark/>
          </w:tcPr>
          <w:p w14:paraId="282B678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42F5AF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FEC785C" w14:textId="77777777" w:rsidTr="001E04CC">
        <w:trPr>
          <w:trHeight w:val="20"/>
        </w:trPr>
        <w:tc>
          <w:tcPr>
            <w:tcW w:w="2430" w:type="dxa"/>
            <w:tcBorders>
              <w:top w:val="nil"/>
              <w:left w:val="nil"/>
              <w:bottom w:val="nil"/>
              <w:right w:val="nil"/>
            </w:tcBorders>
            <w:shd w:val="clear" w:color="auto" w:fill="auto"/>
            <w:noWrap/>
            <w:vAlign w:val="bottom"/>
            <w:hideMark/>
          </w:tcPr>
          <w:p w14:paraId="468DE33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Calan</w:t>
            </w:r>
            <w:proofErr w:type="spellEnd"/>
          </w:p>
        </w:tc>
        <w:tc>
          <w:tcPr>
            <w:tcW w:w="1332" w:type="dxa"/>
            <w:tcBorders>
              <w:top w:val="nil"/>
              <w:left w:val="nil"/>
              <w:bottom w:val="nil"/>
              <w:right w:val="nil"/>
            </w:tcBorders>
            <w:shd w:val="clear" w:color="auto" w:fill="auto"/>
            <w:noWrap/>
            <w:vAlign w:val="bottom"/>
            <w:hideMark/>
          </w:tcPr>
          <w:p w14:paraId="4C52D70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110E34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92B2FA7" w14:textId="77777777" w:rsidTr="001E04CC">
        <w:trPr>
          <w:trHeight w:val="20"/>
        </w:trPr>
        <w:tc>
          <w:tcPr>
            <w:tcW w:w="2430" w:type="dxa"/>
            <w:tcBorders>
              <w:top w:val="nil"/>
              <w:left w:val="nil"/>
              <w:bottom w:val="nil"/>
              <w:right w:val="nil"/>
            </w:tcBorders>
            <w:shd w:val="clear" w:color="auto" w:fill="auto"/>
            <w:noWrap/>
            <w:vAlign w:val="bottom"/>
            <w:hideMark/>
          </w:tcPr>
          <w:p w14:paraId="4DD2192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Calan</w:t>
            </w:r>
            <w:proofErr w:type="spellEnd"/>
            <w:r w:rsidRPr="001A20A2">
              <w:rPr>
                <w:rFonts w:ascii="Calibri" w:eastAsia="Times New Roman" w:hAnsi="Calibri" w:cs="Times New Roman"/>
                <w:color w:val="000000"/>
                <w:sz w:val="16"/>
                <w:szCs w:val="16"/>
              </w:rPr>
              <w:t xml:space="preserve"> SR</w:t>
            </w:r>
          </w:p>
        </w:tc>
        <w:tc>
          <w:tcPr>
            <w:tcW w:w="1332" w:type="dxa"/>
            <w:tcBorders>
              <w:top w:val="nil"/>
              <w:left w:val="nil"/>
              <w:bottom w:val="nil"/>
              <w:right w:val="nil"/>
            </w:tcBorders>
            <w:shd w:val="clear" w:color="auto" w:fill="auto"/>
            <w:noWrap/>
            <w:vAlign w:val="bottom"/>
            <w:hideMark/>
          </w:tcPr>
          <w:p w14:paraId="101C65D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C7C573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01C5EE5" w14:textId="77777777" w:rsidTr="001E04CC">
        <w:trPr>
          <w:trHeight w:val="20"/>
        </w:trPr>
        <w:tc>
          <w:tcPr>
            <w:tcW w:w="2430" w:type="dxa"/>
            <w:tcBorders>
              <w:top w:val="nil"/>
              <w:left w:val="nil"/>
              <w:bottom w:val="nil"/>
              <w:right w:val="nil"/>
            </w:tcBorders>
            <w:shd w:val="clear" w:color="auto" w:fill="auto"/>
            <w:noWrap/>
            <w:vAlign w:val="bottom"/>
            <w:hideMark/>
          </w:tcPr>
          <w:p w14:paraId="48CFDC8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calcitonin (salmon)</w:t>
            </w:r>
          </w:p>
        </w:tc>
        <w:tc>
          <w:tcPr>
            <w:tcW w:w="1332" w:type="dxa"/>
            <w:tcBorders>
              <w:top w:val="nil"/>
              <w:left w:val="nil"/>
              <w:bottom w:val="nil"/>
              <w:right w:val="nil"/>
            </w:tcBorders>
            <w:shd w:val="clear" w:color="auto" w:fill="auto"/>
            <w:noWrap/>
            <w:vAlign w:val="bottom"/>
            <w:hideMark/>
          </w:tcPr>
          <w:p w14:paraId="694B1B9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016EBB8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D9063E5" w14:textId="77777777" w:rsidTr="001E04CC">
        <w:trPr>
          <w:trHeight w:val="20"/>
        </w:trPr>
        <w:tc>
          <w:tcPr>
            <w:tcW w:w="2430" w:type="dxa"/>
            <w:tcBorders>
              <w:top w:val="nil"/>
              <w:left w:val="nil"/>
              <w:bottom w:val="nil"/>
              <w:right w:val="nil"/>
            </w:tcBorders>
            <w:shd w:val="clear" w:color="auto" w:fill="auto"/>
            <w:noWrap/>
            <w:vAlign w:val="bottom"/>
            <w:hideMark/>
          </w:tcPr>
          <w:p w14:paraId="2B71238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candesartan</w:t>
            </w:r>
          </w:p>
        </w:tc>
        <w:tc>
          <w:tcPr>
            <w:tcW w:w="1332" w:type="dxa"/>
            <w:tcBorders>
              <w:top w:val="nil"/>
              <w:left w:val="nil"/>
              <w:bottom w:val="nil"/>
              <w:right w:val="nil"/>
            </w:tcBorders>
            <w:shd w:val="clear" w:color="auto" w:fill="auto"/>
            <w:noWrap/>
            <w:vAlign w:val="bottom"/>
            <w:hideMark/>
          </w:tcPr>
          <w:p w14:paraId="2E6DAB9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5C3CA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2A9A68D" w14:textId="77777777" w:rsidTr="001E04CC">
        <w:trPr>
          <w:trHeight w:val="20"/>
        </w:trPr>
        <w:tc>
          <w:tcPr>
            <w:tcW w:w="2430" w:type="dxa"/>
            <w:tcBorders>
              <w:top w:val="nil"/>
              <w:left w:val="nil"/>
              <w:bottom w:val="nil"/>
              <w:right w:val="nil"/>
            </w:tcBorders>
            <w:shd w:val="clear" w:color="auto" w:fill="auto"/>
            <w:noWrap/>
            <w:vAlign w:val="bottom"/>
            <w:hideMark/>
          </w:tcPr>
          <w:p w14:paraId="17551C6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candesartan-hydrochlorothiazide</w:t>
            </w:r>
          </w:p>
        </w:tc>
        <w:tc>
          <w:tcPr>
            <w:tcW w:w="1332" w:type="dxa"/>
            <w:tcBorders>
              <w:top w:val="nil"/>
              <w:left w:val="nil"/>
              <w:bottom w:val="nil"/>
              <w:right w:val="nil"/>
            </w:tcBorders>
            <w:shd w:val="clear" w:color="auto" w:fill="auto"/>
            <w:noWrap/>
            <w:vAlign w:val="bottom"/>
            <w:hideMark/>
          </w:tcPr>
          <w:p w14:paraId="372FC84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F23275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7D4D25E" w14:textId="77777777" w:rsidTr="001E04CC">
        <w:trPr>
          <w:trHeight w:val="20"/>
        </w:trPr>
        <w:tc>
          <w:tcPr>
            <w:tcW w:w="2430" w:type="dxa"/>
            <w:tcBorders>
              <w:top w:val="nil"/>
              <w:left w:val="nil"/>
              <w:bottom w:val="nil"/>
              <w:right w:val="nil"/>
            </w:tcBorders>
            <w:shd w:val="clear" w:color="auto" w:fill="auto"/>
            <w:noWrap/>
            <w:vAlign w:val="bottom"/>
            <w:hideMark/>
          </w:tcPr>
          <w:p w14:paraId="0167368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captopril</w:t>
            </w:r>
          </w:p>
        </w:tc>
        <w:tc>
          <w:tcPr>
            <w:tcW w:w="1332" w:type="dxa"/>
            <w:tcBorders>
              <w:top w:val="nil"/>
              <w:left w:val="nil"/>
              <w:bottom w:val="nil"/>
              <w:right w:val="nil"/>
            </w:tcBorders>
            <w:shd w:val="clear" w:color="auto" w:fill="auto"/>
            <w:noWrap/>
            <w:vAlign w:val="bottom"/>
            <w:hideMark/>
          </w:tcPr>
          <w:p w14:paraId="6FA4BC6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DDD8F7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F96D289" w14:textId="77777777" w:rsidTr="001E04CC">
        <w:trPr>
          <w:trHeight w:val="20"/>
        </w:trPr>
        <w:tc>
          <w:tcPr>
            <w:tcW w:w="2430" w:type="dxa"/>
            <w:tcBorders>
              <w:top w:val="nil"/>
              <w:left w:val="nil"/>
              <w:bottom w:val="nil"/>
              <w:right w:val="nil"/>
            </w:tcBorders>
            <w:shd w:val="clear" w:color="auto" w:fill="auto"/>
            <w:noWrap/>
            <w:vAlign w:val="bottom"/>
            <w:hideMark/>
          </w:tcPr>
          <w:p w14:paraId="1A9744B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captopril-hydrochlorothiazide</w:t>
            </w:r>
          </w:p>
        </w:tc>
        <w:tc>
          <w:tcPr>
            <w:tcW w:w="1332" w:type="dxa"/>
            <w:tcBorders>
              <w:top w:val="nil"/>
              <w:left w:val="nil"/>
              <w:bottom w:val="nil"/>
              <w:right w:val="nil"/>
            </w:tcBorders>
            <w:shd w:val="clear" w:color="auto" w:fill="auto"/>
            <w:noWrap/>
            <w:vAlign w:val="bottom"/>
            <w:hideMark/>
          </w:tcPr>
          <w:p w14:paraId="38337E1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A7903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10B6DF3" w14:textId="77777777" w:rsidTr="001E04CC">
        <w:trPr>
          <w:trHeight w:val="20"/>
        </w:trPr>
        <w:tc>
          <w:tcPr>
            <w:tcW w:w="2430" w:type="dxa"/>
            <w:tcBorders>
              <w:top w:val="nil"/>
              <w:left w:val="nil"/>
              <w:bottom w:val="nil"/>
              <w:right w:val="nil"/>
            </w:tcBorders>
            <w:shd w:val="clear" w:color="auto" w:fill="auto"/>
            <w:noWrap/>
            <w:vAlign w:val="bottom"/>
            <w:hideMark/>
          </w:tcPr>
          <w:p w14:paraId="5817BF0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Cardene</w:t>
            </w:r>
            <w:proofErr w:type="spellEnd"/>
            <w:r w:rsidRPr="001A20A2">
              <w:rPr>
                <w:rFonts w:ascii="Calibri" w:eastAsia="Times New Roman" w:hAnsi="Calibri" w:cs="Times New Roman"/>
                <w:color w:val="000000"/>
                <w:sz w:val="16"/>
                <w:szCs w:val="16"/>
              </w:rPr>
              <w:t xml:space="preserve"> SR</w:t>
            </w:r>
          </w:p>
        </w:tc>
        <w:tc>
          <w:tcPr>
            <w:tcW w:w="1332" w:type="dxa"/>
            <w:tcBorders>
              <w:top w:val="nil"/>
              <w:left w:val="nil"/>
              <w:bottom w:val="nil"/>
              <w:right w:val="nil"/>
            </w:tcBorders>
            <w:shd w:val="clear" w:color="auto" w:fill="auto"/>
            <w:noWrap/>
            <w:vAlign w:val="bottom"/>
            <w:hideMark/>
          </w:tcPr>
          <w:p w14:paraId="2207D00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0C357C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49514B6" w14:textId="77777777" w:rsidTr="001E04CC">
        <w:trPr>
          <w:trHeight w:val="20"/>
        </w:trPr>
        <w:tc>
          <w:tcPr>
            <w:tcW w:w="2430" w:type="dxa"/>
            <w:tcBorders>
              <w:top w:val="nil"/>
              <w:left w:val="nil"/>
              <w:bottom w:val="nil"/>
              <w:right w:val="nil"/>
            </w:tcBorders>
            <w:shd w:val="clear" w:color="auto" w:fill="auto"/>
            <w:noWrap/>
            <w:vAlign w:val="bottom"/>
            <w:hideMark/>
          </w:tcPr>
          <w:p w14:paraId="2E85B20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Cardizem CD</w:t>
            </w:r>
          </w:p>
        </w:tc>
        <w:tc>
          <w:tcPr>
            <w:tcW w:w="1332" w:type="dxa"/>
            <w:tcBorders>
              <w:top w:val="nil"/>
              <w:left w:val="nil"/>
              <w:bottom w:val="nil"/>
              <w:right w:val="nil"/>
            </w:tcBorders>
            <w:shd w:val="clear" w:color="auto" w:fill="auto"/>
            <w:noWrap/>
            <w:vAlign w:val="bottom"/>
            <w:hideMark/>
          </w:tcPr>
          <w:p w14:paraId="5A0BC3E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06883C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4F2DE8A" w14:textId="77777777" w:rsidTr="001E04CC">
        <w:trPr>
          <w:trHeight w:val="20"/>
        </w:trPr>
        <w:tc>
          <w:tcPr>
            <w:tcW w:w="2430" w:type="dxa"/>
            <w:tcBorders>
              <w:top w:val="nil"/>
              <w:left w:val="nil"/>
              <w:bottom w:val="nil"/>
              <w:right w:val="nil"/>
            </w:tcBorders>
            <w:shd w:val="clear" w:color="auto" w:fill="auto"/>
            <w:noWrap/>
            <w:vAlign w:val="bottom"/>
            <w:hideMark/>
          </w:tcPr>
          <w:p w14:paraId="3648374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Cardizem</w:t>
            </w:r>
          </w:p>
        </w:tc>
        <w:tc>
          <w:tcPr>
            <w:tcW w:w="1332" w:type="dxa"/>
            <w:tcBorders>
              <w:top w:val="nil"/>
              <w:left w:val="nil"/>
              <w:bottom w:val="nil"/>
              <w:right w:val="nil"/>
            </w:tcBorders>
            <w:shd w:val="clear" w:color="auto" w:fill="auto"/>
            <w:noWrap/>
            <w:vAlign w:val="bottom"/>
            <w:hideMark/>
          </w:tcPr>
          <w:p w14:paraId="0B7E4CC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753626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BBA6556" w14:textId="77777777" w:rsidTr="001E04CC">
        <w:trPr>
          <w:trHeight w:val="20"/>
        </w:trPr>
        <w:tc>
          <w:tcPr>
            <w:tcW w:w="2430" w:type="dxa"/>
            <w:tcBorders>
              <w:top w:val="nil"/>
              <w:left w:val="nil"/>
              <w:bottom w:val="nil"/>
              <w:right w:val="nil"/>
            </w:tcBorders>
            <w:shd w:val="clear" w:color="auto" w:fill="auto"/>
            <w:noWrap/>
            <w:vAlign w:val="bottom"/>
            <w:hideMark/>
          </w:tcPr>
          <w:p w14:paraId="145014C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Cardizem LA E</w:t>
            </w:r>
          </w:p>
        </w:tc>
        <w:tc>
          <w:tcPr>
            <w:tcW w:w="1332" w:type="dxa"/>
            <w:tcBorders>
              <w:top w:val="nil"/>
              <w:left w:val="nil"/>
              <w:bottom w:val="nil"/>
              <w:right w:val="nil"/>
            </w:tcBorders>
            <w:shd w:val="clear" w:color="auto" w:fill="auto"/>
            <w:noWrap/>
            <w:vAlign w:val="bottom"/>
            <w:hideMark/>
          </w:tcPr>
          <w:p w14:paraId="5F3AA69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8157F1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BA0D3BF" w14:textId="77777777" w:rsidTr="001E04CC">
        <w:trPr>
          <w:trHeight w:val="20"/>
        </w:trPr>
        <w:tc>
          <w:tcPr>
            <w:tcW w:w="2430" w:type="dxa"/>
            <w:tcBorders>
              <w:top w:val="nil"/>
              <w:left w:val="nil"/>
              <w:bottom w:val="nil"/>
              <w:right w:val="nil"/>
            </w:tcBorders>
            <w:shd w:val="clear" w:color="auto" w:fill="auto"/>
            <w:noWrap/>
            <w:vAlign w:val="bottom"/>
            <w:hideMark/>
          </w:tcPr>
          <w:p w14:paraId="58CE5A0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Cardura</w:t>
            </w:r>
          </w:p>
        </w:tc>
        <w:tc>
          <w:tcPr>
            <w:tcW w:w="1332" w:type="dxa"/>
            <w:tcBorders>
              <w:top w:val="nil"/>
              <w:left w:val="nil"/>
              <w:bottom w:val="nil"/>
              <w:right w:val="nil"/>
            </w:tcBorders>
            <w:shd w:val="clear" w:color="auto" w:fill="auto"/>
            <w:noWrap/>
            <w:vAlign w:val="bottom"/>
            <w:hideMark/>
          </w:tcPr>
          <w:p w14:paraId="7F5F8FF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022A1A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08F8042" w14:textId="77777777" w:rsidTr="001E04CC">
        <w:trPr>
          <w:trHeight w:val="20"/>
        </w:trPr>
        <w:tc>
          <w:tcPr>
            <w:tcW w:w="2430" w:type="dxa"/>
            <w:tcBorders>
              <w:top w:val="nil"/>
              <w:left w:val="nil"/>
              <w:bottom w:val="nil"/>
              <w:right w:val="nil"/>
            </w:tcBorders>
            <w:shd w:val="clear" w:color="auto" w:fill="auto"/>
            <w:noWrap/>
            <w:vAlign w:val="bottom"/>
            <w:hideMark/>
          </w:tcPr>
          <w:p w14:paraId="03E809D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Cardura XL</w:t>
            </w:r>
          </w:p>
        </w:tc>
        <w:tc>
          <w:tcPr>
            <w:tcW w:w="1332" w:type="dxa"/>
            <w:tcBorders>
              <w:top w:val="nil"/>
              <w:left w:val="nil"/>
              <w:bottom w:val="nil"/>
              <w:right w:val="nil"/>
            </w:tcBorders>
            <w:shd w:val="clear" w:color="auto" w:fill="auto"/>
            <w:noWrap/>
            <w:vAlign w:val="bottom"/>
            <w:hideMark/>
          </w:tcPr>
          <w:p w14:paraId="77CDA96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7E8FF1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6DF6EE6" w14:textId="77777777" w:rsidTr="001E04CC">
        <w:trPr>
          <w:trHeight w:val="20"/>
        </w:trPr>
        <w:tc>
          <w:tcPr>
            <w:tcW w:w="2430" w:type="dxa"/>
            <w:tcBorders>
              <w:top w:val="nil"/>
              <w:left w:val="nil"/>
              <w:bottom w:val="nil"/>
              <w:right w:val="nil"/>
            </w:tcBorders>
            <w:shd w:val="clear" w:color="auto" w:fill="auto"/>
            <w:noWrap/>
            <w:vAlign w:val="bottom"/>
            <w:hideMark/>
          </w:tcPr>
          <w:p w14:paraId="0C38287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Cartia</w:t>
            </w:r>
            <w:proofErr w:type="spellEnd"/>
            <w:r w:rsidRPr="001A20A2">
              <w:rPr>
                <w:rFonts w:ascii="Calibri" w:eastAsia="Times New Roman" w:hAnsi="Calibri" w:cs="Times New Roman"/>
                <w:color w:val="000000"/>
                <w:sz w:val="16"/>
                <w:szCs w:val="16"/>
              </w:rPr>
              <w:t xml:space="preserve"> XT</w:t>
            </w:r>
          </w:p>
        </w:tc>
        <w:tc>
          <w:tcPr>
            <w:tcW w:w="1332" w:type="dxa"/>
            <w:tcBorders>
              <w:top w:val="nil"/>
              <w:left w:val="nil"/>
              <w:bottom w:val="nil"/>
              <w:right w:val="nil"/>
            </w:tcBorders>
            <w:shd w:val="clear" w:color="auto" w:fill="auto"/>
            <w:noWrap/>
            <w:vAlign w:val="bottom"/>
            <w:hideMark/>
          </w:tcPr>
          <w:p w14:paraId="6175117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32B802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AD3B78" w14:textId="77777777" w:rsidTr="001E04CC">
        <w:trPr>
          <w:trHeight w:val="20"/>
        </w:trPr>
        <w:tc>
          <w:tcPr>
            <w:tcW w:w="2430" w:type="dxa"/>
            <w:tcBorders>
              <w:top w:val="nil"/>
              <w:left w:val="nil"/>
              <w:bottom w:val="nil"/>
              <w:right w:val="nil"/>
            </w:tcBorders>
            <w:shd w:val="clear" w:color="auto" w:fill="auto"/>
            <w:noWrap/>
            <w:vAlign w:val="bottom"/>
            <w:hideMark/>
          </w:tcPr>
          <w:p w14:paraId="14AE192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carvedilol</w:t>
            </w:r>
          </w:p>
        </w:tc>
        <w:tc>
          <w:tcPr>
            <w:tcW w:w="1332" w:type="dxa"/>
            <w:tcBorders>
              <w:top w:val="nil"/>
              <w:left w:val="nil"/>
              <w:bottom w:val="nil"/>
              <w:right w:val="nil"/>
            </w:tcBorders>
            <w:shd w:val="clear" w:color="auto" w:fill="auto"/>
            <w:noWrap/>
            <w:vAlign w:val="bottom"/>
            <w:hideMark/>
          </w:tcPr>
          <w:p w14:paraId="76082F2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305F5A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AFC6E23" w14:textId="77777777" w:rsidTr="001E04CC">
        <w:trPr>
          <w:trHeight w:val="20"/>
        </w:trPr>
        <w:tc>
          <w:tcPr>
            <w:tcW w:w="2430" w:type="dxa"/>
            <w:tcBorders>
              <w:top w:val="nil"/>
              <w:left w:val="nil"/>
              <w:bottom w:val="nil"/>
              <w:right w:val="nil"/>
            </w:tcBorders>
            <w:shd w:val="clear" w:color="auto" w:fill="auto"/>
            <w:noWrap/>
            <w:vAlign w:val="bottom"/>
            <w:hideMark/>
          </w:tcPr>
          <w:p w14:paraId="3ECF287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Catapres</w:t>
            </w:r>
            <w:proofErr w:type="spellEnd"/>
          </w:p>
        </w:tc>
        <w:tc>
          <w:tcPr>
            <w:tcW w:w="1332" w:type="dxa"/>
            <w:tcBorders>
              <w:top w:val="nil"/>
              <w:left w:val="nil"/>
              <w:bottom w:val="nil"/>
              <w:right w:val="nil"/>
            </w:tcBorders>
            <w:shd w:val="clear" w:color="auto" w:fill="auto"/>
            <w:noWrap/>
            <w:vAlign w:val="bottom"/>
            <w:hideMark/>
          </w:tcPr>
          <w:p w14:paraId="2C50F83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94FF1C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B81732" w14:textId="77777777" w:rsidTr="001E04CC">
        <w:trPr>
          <w:trHeight w:val="20"/>
        </w:trPr>
        <w:tc>
          <w:tcPr>
            <w:tcW w:w="2430" w:type="dxa"/>
            <w:tcBorders>
              <w:top w:val="nil"/>
              <w:left w:val="nil"/>
              <w:bottom w:val="nil"/>
              <w:right w:val="nil"/>
            </w:tcBorders>
            <w:shd w:val="clear" w:color="auto" w:fill="auto"/>
            <w:noWrap/>
            <w:vAlign w:val="bottom"/>
            <w:hideMark/>
          </w:tcPr>
          <w:p w14:paraId="511A09A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Catapres</w:t>
            </w:r>
            <w:proofErr w:type="spellEnd"/>
            <w:r w:rsidRPr="001A20A2">
              <w:rPr>
                <w:rFonts w:ascii="Calibri" w:eastAsia="Times New Roman" w:hAnsi="Calibri" w:cs="Times New Roman"/>
                <w:color w:val="000000"/>
                <w:sz w:val="16"/>
                <w:szCs w:val="16"/>
              </w:rPr>
              <w:t xml:space="preserve"> TTS</w:t>
            </w:r>
          </w:p>
        </w:tc>
        <w:tc>
          <w:tcPr>
            <w:tcW w:w="1332" w:type="dxa"/>
            <w:tcBorders>
              <w:top w:val="nil"/>
              <w:left w:val="nil"/>
              <w:bottom w:val="nil"/>
              <w:right w:val="nil"/>
            </w:tcBorders>
            <w:shd w:val="clear" w:color="auto" w:fill="auto"/>
            <w:noWrap/>
            <w:vAlign w:val="bottom"/>
            <w:hideMark/>
          </w:tcPr>
          <w:p w14:paraId="6EF257A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219ED7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196490F" w14:textId="77777777" w:rsidTr="001E04CC">
        <w:trPr>
          <w:trHeight w:val="20"/>
        </w:trPr>
        <w:tc>
          <w:tcPr>
            <w:tcW w:w="2430" w:type="dxa"/>
            <w:tcBorders>
              <w:top w:val="nil"/>
              <w:left w:val="nil"/>
              <w:bottom w:val="nil"/>
              <w:right w:val="nil"/>
            </w:tcBorders>
            <w:shd w:val="clear" w:color="auto" w:fill="auto"/>
            <w:noWrap/>
            <w:vAlign w:val="bottom"/>
            <w:hideMark/>
          </w:tcPr>
          <w:p w14:paraId="0C5EA3A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Cellcept</w:t>
            </w:r>
            <w:proofErr w:type="spellEnd"/>
          </w:p>
        </w:tc>
        <w:tc>
          <w:tcPr>
            <w:tcW w:w="1332" w:type="dxa"/>
            <w:tcBorders>
              <w:top w:val="nil"/>
              <w:left w:val="nil"/>
              <w:bottom w:val="nil"/>
              <w:right w:val="nil"/>
            </w:tcBorders>
            <w:shd w:val="clear" w:color="auto" w:fill="auto"/>
            <w:noWrap/>
            <w:vAlign w:val="bottom"/>
            <w:hideMark/>
          </w:tcPr>
          <w:p w14:paraId="25B8B98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3AB30A1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A23E35" w14:textId="77777777" w:rsidTr="001E04CC">
        <w:trPr>
          <w:trHeight w:val="20"/>
        </w:trPr>
        <w:tc>
          <w:tcPr>
            <w:tcW w:w="2430" w:type="dxa"/>
            <w:tcBorders>
              <w:top w:val="nil"/>
              <w:left w:val="nil"/>
              <w:bottom w:val="nil"/>
              <w:right w:val="nil"/>
            </w:tcBorders>
            <w:shd w:val="clear" w:color="auto" w:fill="auto"/>
            <w:noWrap/>
            <w:vAlign w:val="bottom"/>
            <w:hideMark/>
          </w:tcPr>
          <w:p w14:paraId="7D7D62D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chlorothiazide</w:t>
            </w:r>
          </w:p>
        </w:tc>
        <w:tc>
          <w:tcPr>
            <w:tcW w:w="1332" w:type="dxa"/>
            <w:tcBorders>
              <w:top w:val="nil"/>
              <w:left w:val="nil"/>
              <w:bottom w:val="nil"/>
              <w:right w:val="nil"/>
            </w:tcBorders>
            <w:shd w:val="clear" w:color="auto" w:fill="auto"/>
            <w:noWrap/>
            <w:vAlign w:val="bottom"/>
            <w:hideMark/>
          </w:tcPr>
          <w:p w14:paraId="4E46D51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E6A7F4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A72D9F4" w14:textId="77777777" w:rsidTr="001E04CC">
        <w:trPr>
          <w:trHeight w:val="20"/>
        </w:trPr>
        <w:tc>
          <w:tcPr>
            <w:tcW w:w="2430" w:type="dxa"/>
            <w:tcBorders>
              <w:top w:val="nil"/>
              <w:left w:val="nil"/>
              <w:bottom w:val="nil"/>
              <w:right w:val="nil"/>
            </w:tcBorders>
            <w:shd w:val="clear" w:color="auto" w:fill="auto"/>
            <w:noWrap/>
            <w:vAlign w:val="bottom"/>
            <w:hideMark/>
          </w:tcPr>
          <w:p w14:paraId="3939488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chlorpromazine</w:t>
            </w:r>
          </w:p>
        </w:tc>
        <w:tc>
          <w:tcPr>
            <w:tcW w:w="1332" w:type="dxa"/>
            <w:tcBorders>
              <w:top w:val="nil"/>
              <w:left w:val="nil"/>
              <w:bottom w:val="nil"/>
              <w:right w:val="nil"/>
            </w:tcBorders>
            <w:shd w:val="clear" w:color="auto" w:fill="auto"/>
            <w:noWrap/>
            <w:vAlign w:val="bottom"/>
            <w:hideMark/>
          </w:tcPr>
          <w:p w14:paraId="65A1262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7240C92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947DB8C" w14:textId="77777777" w:rsidTr="001E04CC">
        <w:trPr>
          <w:trHeight w:val="20"/>
        </w:trPr>
        <w:tc>
          <w:tcPr>
            <w:tcW w:w="2430" w:type="dxa"/>
            <w:tcBorders>
              <w:top w:val="nil"/>
              <w:left w:val="nil"/>
              <w:bottom w:val="nil"/>
              <w:right w:val="nil"/>
            </w:tcBorders>
            <w:shd w:val="clear" w:color="auto" w:fill="auto"/>
            <w:noWrap/>
            <w:vAlign w:val="bottom"/>
            <w:hideMark/>
          </w:tcPr>
          <w:p w14:paraId="6320436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cholestyramine</w:t>
            </w:r>
          </w:p>
        </w:tc>
        <w:tc>
          <w:tcPr>
            <w:tcW w:w="1332" w:type="dxa"/>
            <w:tcBorders>
              <w:top w:val="nil"/>
              <w:left w:val="nil"/>
              <w:bottom w:val="nil"/>
              <w:right w:val="nil"/>
            </w:tcBorders>
            <w:shd w:val="clear" w:color="auto" w:fill="auto"/>
            <w:noWrap/>
            <w:vAlign w:val="bottom"/>
            <w:hideMark/>
          </w:tcPr>
          <w:p w14:paraId="67C59CA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316B5C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EDB7780" w14:textId="77777777" w:rsidTr="001E04CC">
        <w:trPr>
          <w:trHeight w:val="20"/>
        </w:trPr>
        <w:tc>
          <w:tcPr>
            <w:tcW w:w="2430" w:type="dxa"/>
            <w:tcBorders>
              <w:top w:val="nil"/>
              <w:left w:val="nil"/>
              <w:bottom w:val="nil"/>
              <w:right w:val="nil"/>
            </w:tcBorders>
            <w:shd w:val="clear" w:color="auto" w:fill="auto"/>
            <w:noWrap/>
            <w:vAlign w:val="bottom"/>
            <w:hideMark/>
          </w:tcPr>
          <w:p w14:paraId="14BE5E4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cholestyramine light</w:t>
            </w:r>
          </w:p>
        </w:tc>
        <w:tc>
          <w:tcPr>
            <w:tcW w:w="1332" w:type="dxa"/>
            <w:tcBorders>
              <w:top w:val="nil"/>
              <w:left w:val="nil"/>
              <w:bottom w:val="nil"/>
              <w:right w:val="nil"/>
            </w:tcBorders>
            <w:shd w:val="clear" w:color="auto" w:fill="auto"/>
            <w:noWrap/>
            <w:vAlign w:val="bottom"/>
            <w:hideMark/>
          </w:tcPr>
          <w:p w14:paraId="6634A50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0CAB334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669F5A0" w14:textId="77777777" w:rsidTr="001E04CC">
        <w:trPr>
          <w:trHeight w:val="20"/>
        </w:trPr>
        <w:tc>
          <w:tcPr>
            <w:tcW w:w="2430" w:type="dxa"/>
            <w:tcBorders>
              <w:top w:val="nil"/>
              <w:left w:val="nil"/>
              <w:bottom w:val="nil"/>
              <w:right w:val="nil"/>
            </w:tcBorders>
            <w:shd w:val="clear" w:color="auto" w:fill="auto"/>
            <w:noWrap/>
            <w:vAlign w:val="bottom"/>
            <w:hideMark/>
          </w:tcPr>
          <w:p w14:paraId="6484264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choline fenofibrate E</w:t>
            </w:r>
          </w:p>
        </w:tc>
        <w:tc>
          <w:tcPr>
            <w:tcW w:w="1332" w:type="dxa"/>
            <w:tcBorders>
              <w:top w:val="nil"/>
              <w:left w:val="nil"/>
              <w:bottom w:val="nil"/>
              <w:right w:val="nil"/>
            </w:tcBorders>
            <w:shd w:val="clear" w:color="auto" w:fill="auto"/>
            <w:noWrap/>
            <w:vAlign w:val="bottom"/>
            <w:hideMark/>
          </w:tcPr>
          <w:p w14:paraId="3CBCE47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595299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04F7661" w14:textId="77777777" w:rsidTr="001E04CC">
        <w:trPr>
          <w:trHeight w:val="20"/>
        </w:trPr>
        <w:tc>
          <w:tcPr>
            <w:tcW w:w="2430" w:type="dxa"/>
            <w:tcBorders>
              <w:top w:val="nil"/>
              <w:left w:val="nil"/>
              <w:bottom w:val="nil"/>
              <w:right w:val="nil"/>
            </w:tcBorders>
            <w:shd w:val="clear" w:color="auto" w:fill="auto"/>
            <w:noWrap/>
            <w:vAlign w:val="bottom"/>
            <w:hideMark/>
          </w:tcPr>
          <w:p w14:paraId="1A00DE8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cilostazol</w:t>
            </w:r>
          </w:p>
        </w:tc>
        <w:tc>
          <w:tcPr>
            <w:tcW w:w="1332" w:type="dxa"/>
            <w:tcBorders>
              <w:top w:val="nil"/>
              <w:left w:val="nil"/>
              <w:bottom w:val="nil"/>
              <w:right w:val="nil"/>
            </w:tcBorders>
            <w:shd w:val="clear" w:color="auto" w:fill="auto"/>
            <w:noWrap/>
            <w:vAlign w:val="bottom"/>
            <w:hideMark/>
          </w:tcPr>
          <w:p w14:paraId="2E66C8D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38340FD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01054D3" w14:textId="77777777" w:rsidTr="001E04CC">
        <w:trPr>
          <w:trHeight w:val="20"/>
        </w:trPr>
        <w:tc>
          <w:tcPr>
            <w:tcW w:w="2430" w:type="dxa"/>
            <w:tcBorders>
              <w:top w:val="nil"/>
              <w:left w:val="nil"/>
              <w:bottom w:val="nil"/>
              <w:right w:val="nil"/>
            </w:tcBorders>
            <w:shd w:val="clear" w:color="auto" w:fill="auto"/>
            <w:noWrap/>
            <w:vAlign w:val="bottom"/>
            <w:hideMark/>
          </w:tcPr>
          <w:p w14:paraId="437D3C9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clonidine</w:t>
            </w:r>
          </w:p>
        </w:tc>
        <w:tc>
          <w:tcPr>
            <w:tcW w:w="1332" w:type="dxa"/>
            <w:tcBorders>
              <w:top w:val="nil"/>
              <w:left w:val="nil"/>
              <w:bottom w:val="nil"/>
              <w:right w:val="nil"/>
            </w:tcBorders>
            <w:shd w:val="clear" w:color="auto" w:fill="auto"/>
            <w:noWrap/>
            <w:vAlign w:val="bottom"/>
            <w:hideMark/>
          </w:tcPr>
          <w:p w14:paraId="3689F5B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5A3982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09F28A9" w14:textId="77777777" w:rsidTr="001E04CC">
        <w:trPr>
          <w:trHeight w:val="20"/>
        </w:trPr>
        <w:tc>
          <w:tcPr>
            <w:tcW w:w="2430" w:type="dxa"/>
            <w:tcBorders>
              <w:top w:val="nil"/>
              <w:left w:val="nil"/>
              <w:bottom w:val="nil"/>
              <w:right w:val="nil"/>
            </w:tcBorders>
            <w:shd w:val="clear" w:color="auto" w:fill="auto"/>
            <w:noWrap/>
            <w:vAlign w:val="bottom"/>
            <w:hideMark/>
          </w:tcPr>
          <w:p w14:paraId="1D9301E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clonidine patch</w:t>
            </w:r>
          </w:p>
        </w:tc>
        <w:tc>
          <w:tcPr>
            <w:tcW w:w="1332" w:type="dxa"/>
            <w:tcBorders>
              <w:top w:val="nil"/>
              <w:left w:val="nil"/>
              <w:bottom w:val="nil"/>
              <w:right w:val="nil"/>
            </w:tcBorders>
            <w:shd w:val="clear" w:color="auto" w:fill="auto"/>
            <w:noWrap/>
            <w:vAlign w:val="bottom"/>
            <w:hideMark/>
          </w:tcPr>
          <w:p w14:paraId="2BBC362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E7599E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C526835" w14:textId="77777777" w:rsidTr="001E04CC">
        <w:trPr>
          <w:trHeight w:val="20"/>
        </w:trPr>
        <w:tc>
          <w:tcPr>
            <w:tcW w:w="2430" w:type="dxa"/>
            <w:tcBorders>
              <w:top w:val="nil"/>
              <w:left w:val="nil"/>
              <w:bottom w:val="nil"/>
              <w:right w:val="nil"/>
            </w:tcBorders>
            <w:shd w:val="clear" w:color="auto" w:fill="auto"/>
            <w:noWrap/>
            <w:vAlign w:val="bottom"/>
            <w:hideMark/>
          </w:tcPr>
          <w:p w14:paraId="64E7B62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clopidogrel</w:t>
            </w:r>
          </w:p>
        </w:tc>
        <w:tc>
          <w:tcPr>
            <w:tcW w:w="1332" w:type="dxa"/>
            <w:tcBorders>
              <w:top w:val="nil"/>
              <w:left w:val="nil"/>
              <w:bottom w:val="nil"/>
              <w:right w:val="nil"/>
            </w:tcBorders>
            <w:shd w:val="clear" w:color="auto" w:fill="auto"/>
            <w:noWrap/>
            <w:vAlign w:val="bottom"/>
            <w:hideMark/>
          </w:tcPr>
          <w:p w14:paraId="28430EE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2FA01BA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0A16A25" w14:textId="77777777" w:rsidTr="001E04CC">
        <w:trPr>
          <w:trHeight w:val="20"/>
        </w:trPr>
        <w:tc>
          <w:tcPr>
            <w:tcW w:w="2430" w:type="dxa"/>
            <w:tcBorders>
              <w:top w:val="nil"/>
              <w:left w:val="nil"/>
              <w:bottom w:val="nil"/>
              <w:right w:val="nil"/>
            </w:tcBorders>
            <w:shd w:val="clear" w:color="auto" w:fill="auto"/>
            <w:noWrap/>
            <w:vAlign w:val="bottom"/>
            <w:hideMark/>
          </w:tcPr>
          <w:p w14:paraId="7074811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Clorpres</w:t>
            </w:r>
            <w:proofErr w:type="spellEnd"/>
          </w:p>
        </w:tc>
        <w:tc>
          <w:tcPr>
            <w:tcW w:w="1332" w:type="dxa"/>
            <w:tcBorders>
              <w:top w:val="nil"/>
              <w:left w:val="nil"/>
              <w:bottom w:val="nil"/>
              <w:right w:val="nil"/>
            </w:tcBorders>
            <w:shd w:val="clear" w:color="auto" w:fill="auto"/>
            <w:noWrap/>
            <w:vAlign w:val="bottom"/>
            <w:hideMark/>
          </w:tcPr>
          <w:p w14:paraId="4089F06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6D97D1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2FF0EA5" w14:textId="77777777" w:rsidTr="001E04CC">
        <w:trPr>
          <w:trHeight w:val="20"/>
        </w:trPr>
        <w:tc>
          <w:tcPr>
            <w:tcW w:w="2430" w:type="dxa"/>
            <w:tcBorders>
              <w:top w:val="nil"/>
              <w:left w:val="nil"/>
              <w:bottom w:val="nil"/>
              <w:right w:val="nil"/>
            </w:tcBorders>
            <w:shd w:val="clear" w:color="auto" w:fill="auto"/>
            <w:noWrap/>
            <w:vAlign w:val="bottom"/>
            <w:hideMark/>
          </w:tcPr>
          <w:p w14:paraId="2B71F88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clozapine</w:t>
            </w:r>
          </w:p>
        </w:tc>
        <w:tc>
          <w:tcPr>
            <w:tcW w:w="1332" w:type="dxa"/>
            <w:tcBorders>
              <w:top w:val="nil"/>
              <w:left w:val="nil"/>
              <w:bottom w:val="nil"/>
              <w:right w:val="nil"/>
            </w:tcBorders>
            <w:shd w:val="clear" w:color="auto" w:fill="auto"/>
            <w:noWrap/>
            <w:vAlign w:val="bottom"/>
            <w:hideMark/>
          </w:tcPr>
          <w:p w14:paraId="4E57A91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13FE6F4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CBCBAA1" w14:textId="77777777" w:rsidTr="001E04CC">
        <w:trPr>
          <w:trHeight w:val="20"/>
        </w:trPr>
        <w:tc>
          <w:tcPr>
            <w:tcW w:w="2430" w:type="dxa"/>
            <w:tcBorders>
              <w:top w:val="nil"/>
              <w:left w:val="nil"/>
              <w:bottom w:val="nil"/>
              <w:right w:val="nil"/>
            </w:tcBorders>
            <w:shd w:val="clear" w:color="auto" w:fill="auto"/>
            <w:noWrap/>
            <w:vAlign w:val="bottom"/>
            <w:hideMark/>
          </w:tcPr>
          <w:p w14:paraId="2DE1975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Clozaril</w:t>
            </w:r>
          </w:p>
        </w:tc>
        <w:tc>
          <w:tcPr>
            <w:tcW w:w="1332" w:type="dxa"/>
            <w:tcBorders>
              <w:top w:val="nil"/>
              <w:left w:val="nil"/>
              <w:bottom w:val="nil"/>
              <w:right w:val="nil"/>
            </w:tcBorders>
            <w:shd w:val="clear" w:color="auto" w:fill="auto"/>
            <w:noWrap/>
            <w:vAlign w:val="bottom"/>
            <w:hideMark/>
          </w:tcPr>
          <w:p w14:paraId="42780F2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12E9C1C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BC7A7BB" w14:textId="77777777" w:rsidTr="001E04CC">
        <w:trPr>
          <w:trHeight w:val="20"/>
        </w:trPr>
        <w:tc>
          <w:tcPr>
            <w:tcW w:w="2430" w:type="dxa"/>
            <w:tcBorders>
              <w:top w:val="nil"/>
              <w:left w:val="nil"/>
              <w:bottom w:val="nil"/>
              <w:right w:val="nil"/>
            </w:tcBorders>
            <w:shd w:val="clear" w:color="auto" w:fill="auto"/>
            <w:noWrap/>
            <w:vAlign w:val="bottom"/>
            <w:hideMark/>
          </w:tcPr>
          <w:p w14:paraId="5F506E3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Colestid</w:t>
            </w:r>
            <w:proofErr w:type="spellEnd"/>
          </w:p>
        </w:tc>
        <w:tc>
          <w:tcPr>
            <w:tcW w:w="1332" w:type="dxa"/>
            <w:tcBorders>
              <w:top w:val="nil"/>
              <w:left w:val="nil"/>
              <w:bottom w:val="nil"/>
              <w:right w:val="nil"/>
            </w:tcBorders>
            <w:shd w:val="clear" w:color="auto" w:fill="auto"/>
            <w:noWrap/>
            <w:vAlign w:val="bottom"/>
            <w:hideMark/>
          </w:tcPr>
          <w:p w14:paraId="2BA0B82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4FC676C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63C1135" w14:textId="77777777" w:rsidTr="001E04CC">
        <w:trPr>
          <w:trHeight w:val="20"/>
        </w:trPr>
        <w:tc>
          <w:tcPr>
            <w:tcW w:w="2430" w:type="dxa"/>
            <w:tcBorders>
              <w:top w:val="nil"/>
              <w:left w:val="nil"/>
              <w:bottom w:val="nil"/>
              <w:right w:val="nil"/>
            </w:tcBorders>
            <w:shd w:val="clear" w:color="auto" w:fill="auto"/>
            <w:noWrap/>
            <w:vAlign w:val="bottom"/>
            <w:hideMark/>
          </w:tcPr>
          <w:p w14:paraId="057A78F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colestipol</w:t>
            </w:r>
          </w:p>
        </w:tc>
        <w:tc>
          <w:tcPr>
            <w:tcW w:w="1332" w:type="dxa"/>
            <w:tcBorders>
              <w:top w:val="nil"/>
              <w:left w:val="nil"/>
              <w:bottom w:val="nil"/>
              <w:right w:val="nil"/>
            </w:tcBorders>
            <w:shd w:val="clear" w:color="auto" w:fill="auto"/>
            <w:noWrap/>
            <w:vAlign w:val="bottom"/>
            <w:hideMark/>
          </w:tcPr>
          <w:p w14:paraId="467E7E6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DC33E5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4D6865A" w14:textId="77777777" w:rsidTr="001E04CC">
        <w:trPr>
          <w:trHeight w:val="20"/>
        </w:trPr>
        <w:tc>
          <w:tcPr>
            <w:tcW w:w="2430" w:type="dxa"/>
            <w:tcBorders>
              <w:top w:val="nil"/>
              <w:left w:val="nil"/>
              <w:bottom w:val="nil"/>
              <w:right w:val="nil"/>
            </w:tcBorders>
            <w:shd w:val="clear" w:color="auto" w:fill="auto"/>
            <w:noWrap/>
            <w:vAlign w:val="bottom"/>
            <w:hideMark/>
          </w:tcPr>
          <w:p w14:paraId="096D0AA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Combivent Respimat</w:t>
            </w:r>
          </w:p>
        </w:tc>
        <w:tc>
          <w:tcPr>
            <w:tcW w:w="1332" w:type="dxa"/>
            <w:tcBorders>
              <w:top w:val="nil"/>
              <w:left w:val="nil"/>
              <w:bottom w:val="nil"/>
              <w:right w:val="nil"/>
            </w:tcBorders>
            <w:shd w:val="clear" w:color="auto" w:fill="auto"/>
            <w:noWrap/>
            <w:vAlign w:val="bottom"/>
            <w:hideMark/>
          </w:tcPr>
          <w:p w14:paraId="373F625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5ABA49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9E5DE58" w14:textId="77777777" w:rsidTr="001E04CC">
        <w:trPr>
          <w:trHeight w:val="20"/>
        </w:trPr>
        <w:tc>
          <w:tcPr>
            <w:tcW w:w="2430" w:type="dxa"/>
            <w:tcBorders>
              <w:top w:val="nil"/>
              <w:left w:val="nil"/>
              <w:bottom w:val="nil"/>
              <w:right w:val="nil"/>
            </w:tcBorders>
            <w:shd w:val="clear" w:color="auto" w:fill="auto"/>
            <w:noWrap/>
            <w:vAlign w:val="bottom"/>
            <w:hideMark/>
          </w:tcPr>
          <w:p w14:paraId="64ED25C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Combivir</w:t>
            </w:r>
            <w:proofErr w:type="spellEnd"/>
          </w:p>
        </w:tc>
        <w:tc>
          <w:tcPr>
            <w:tcW w:w="1332" w:type="dxa"/>
            <w:tcBorders>
              <w:top w:val="nil"/>
              <w:left w:val="nil"/>
              <w:bottom w:val="nil"/>
              <w:right w:val="nil"/>
            </w:tcBorders>
            <w:shd w:val="clear" w:color="auto" w:fill="auto"/>
            <w:noWrap/>
            <w:vAlign w:val="bottom"/>
            <w:hideMark/>
          </w:tcPr>
          <w:p w14:paraId="78D0141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19FC8C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2CE2C65" w14:textId="77777777" w:rsidTr="001E04CC">
        <w:trPr>
          <w:trHeight w:val="20"/>
        </w:trPr>
        <w:tc>
          <w:tcPr>
            <w:tcW w:w="2430" w:type="dxa"/>
            <w:tcBorders>
              <w:top w:val="nil"/>
              <w:left w:val="nil"/>
              <w:bottom w:val="nil"/>
              <w:right w:val="nil"/>
            </w:tcBorders>
            <w:shd w:val="clear" w:color="auto" w:fill="auto"/>
            <w:noWrap/>
            <w:vAlign w:val="bottom"/>
            <w:hideMark/>
          </w:tcPr>
          <w:p w14:paraId="128FB95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Complera</w:t>
            </w:r>
            <w:proofErr w:type="spellEnd"/>
          </w:p>
        </w:tc>
        <w:tc>
          <w:tcPr>
            <w:tcW w:w="1332" w:type="dxa"/>
            <w:tcBorders>
              <w:top w:val="nil"/>
              <w:left w:val="nil"/>
              <w:bottom w:val="nil"/>
              <w:right w:val="nil"/>
            </w:tcBorders>
            <w:shd w:val="clear" w:color="auto" w:fill="auto"/>
            <w:noWrap/>
            <w:vAlign w:val="bottom"/>
            <w:hideMark/>
          </w:tcPr>
          <w:p w14:paraId="2EC5797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8D0F18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24143A0" w14:textId="77777777" w:rsidTr="001E04CC">
        <w:trPr>
          <w:trHeight w:val="20"/>
        </w:trPr>
        <w:tc>
          <w:tcPr>
            <w:tcW w:w="2430" w:type="dxa"/>
            <w:tcBorders>
              <w:top w:val="nil"/>
              <w:left w:val="nil"/>
              <w:bottom w:val="nil"/>
              <w:right w:val="nil"/>
            </w:tcBorders>
            <w:shd w:val="clear" w:color="auto" w:fill="auto"/>
            <w:noWrap/>
            <w:vAlign w:val="bottom"/>
            <w:hideMark/>
          </w:tcPr>
          <w:p w14:paraId="2A89F78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Copaxone</w:t>
            </w:r>
          </w:p>
        </w:tc>
        <w:tc>
          <w:tcPr>
            <w:tcW w:w="1332" w:type="dxa"/>
            <w:tcBorders>
              <w:top w:val="nil"/>
              <w:left w:val="nil"/>
              <w:bottom w:val="nil"/>
              <w:right w:val="nil"/>
            </w:tcBorders>
            <w:shd w:val="clear" w:color="auto" w:fill="auto"/>
            <w:noWrap/>
            <w:vAlign w:val="bottom"/>
            <w:hideMark/>
          </w:tcPr>
          <w:p w14:paraId="09EAECC3" w14:textId="09A0A47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1489B71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A9A38DC" w14:textId="77777777" w:rsidTr="001E04CC">
        <w:trPr>
          <w:trHeight w:val="20"/>
        </w:trPr>
        <w:tc>
          <w:tcPr>
            <w:tcW w:w="2430" w:type="dxa"/>
            <w:tcBorders>
              <w:top w:val="nil"/>
              <w:left w:val="nil"/>
              <w:bottom w:val="nil"/>
              <w:right w:val="nil"/>
            </w:tcBorders>
            <w:shd w:val="clear" w:color="auto" w:fill="auto"/>
            <w:noWrap/>
            <w:vAlign w:val="bottom"/>
            <w:hideMark/>
          </w:tcPr>
          <w:p w14:paraId="1CCBFDE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Coreg</w:t>
            </w:r>
          </w:p>
        </w:tc>
        <w:tc>
          <w:tcPr>
            <w:tcW w:w="1332" w:type="dxa"/>
            <w:tcBorders>
              <w:top w:val="nil"/>
              <w:left w:val="nil"/>
              <w:bottom w:val="nil"/>
              <w:right w:val="nil"/>
            </w:tcBorders>
            <w:shd w:val="clear" w:color="auto" w:fill="auto"/>
            <w:noWrap/>
            <w:vAlign w:val="bottom"/>
            <w:hideMark/>
          </w:tcPr>
          <w:p w14:paraId="58D9852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BD5228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D473229" w14:textId="77777777" w:rsidTr="001E04CC">
        <w:trPr>
          <w:trHeight w:val="20"/>
        </w:trPr>
        <w:tc>
          <w:tcPr>
            <w:tcW w:w="2430" w:type="dxa"/>
            <w:tcBorders>
              <w:top w:val="nil"/>
              <w:left w:val="nil"/>
              <w:bottom w:val="nil"/>
              <w:right w:val="nil"/>
            </w:tcBorders>
            <w:shd w:val="clear" w:color="auto" w:fill="auto"/>
            <w:noWrap/>
            <w:vAlign w:val="bottom"/>
            <w:hideMark/>
          </w:tcPr>
          <w:p w14:paraId="7984230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Coreg CR E</w:t>
            </w:r>
          </w:p>
        </w:tc>
        <w:tc>
          <w:tcPr>
            <w:tcW w:w="1332" w:type="dxa"/>
            <w:tcBorders>
              <w:top w:val="nil"/>
              <w:left w:val="nil"/>
              <w:bottom w:val="nil"/>
              <w:right w:val="nil"/>
            </w:tcBorders>
            <w:shd w:val="clear" w:color="auto" w:fill="auto"/>
            <w:noWrap/>
            <w:vAlign w:val="bottom"/>
            <w:hideMark/>
          </w:tcPr>
          <w:p w14:paraId="5D403B2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42A13D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3A7FC52" w14:textId="77777777" w:rsidTr="001E04CC">
        <w:trPr>
          <w:trHeight w:val="20"/>
        </w:trPr>
        <w:tc>
          <w:tcPr>
            <w:tcW w:w="2430" w:type="dxa"/>
            <w:tcBorders>
              <w:top w:val="nil"/>
              <w:left w:val="nil"/>
              <w:bottom w:val="nil"/>
              <w:right w:val="nil"/>
            </w:tcBorders>
            <w:shd w:val="clear" w:color="auto" w:fill="auto"/>
            <w:noWrap/>
            <w:vAlign w:val="bottom"/>
            <w:hideMark/>
          </w:tcPr>
          <w:p w14:paraId="0F5C24B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Corgard</w:t>
            </w:r>
            <w:proofErr w:type="spellEnd"/>
          </w:p>
        </w:tc>
        <w:tc>
          <w:tcPr>
            <w:tcW w:w="1332" w:type="dxa"/>
            <w:tcBorders>
              <w:top w:val="nil"/>
              <w:left w:val="nil"/>
              <w:bottom w:val="nil"/>
              <w:right w:val="nil"/>
            </w:tcBorders>
            <w:shd w:val="clear" w:color="auto" w:fill="auto"/>
            <w:noWrap/>
            <w:vAlign w:val="bottom"/>
            <w:hideMark/>
          </w:tcPr>
          <w:p w14:paraId="5CF84CF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CACFE6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1C30EFB" w14:textId="77777777" w:rsidTr="001E04CC">
        <w:trPr>
          <w:trHeight w:val="20"/>
        </w:trPr>
        <w:tc>
          <w:tcPr>
            <w:tcW w:w="2430" w:type="dxa"/>
            <w:tcBorders>
              <w:top w:val="nil"/>
              <w:left w:val="nil"/>
              <w:bottom w:val="nil"/>
              <w:right w:val="nil"/>
            </w:tcBorders>
            <w:shd w:val="clear" w:color="auto" w:fill="auto"/>
            <w:noWrap/>
            <w:vAlign w:val="bottom"/>
            <w:hideMark/>
          </w:tcPr>
          <w:p w14:paraId="6E87C64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Corzide</w:t>
            </w:r>
            <w:proofErr w:type="spellEnd"/>
          </w:p>
        </w:tc>
        <w:tc>
          <w:tcPr>
            <w:tcW w:w="1332" w:type="dxa"/>
            <w:tcBorders>
              <w:top w:val="nil"/>
              <w:left w:val="nil"/>
              <w:bottom w:val="nil"/>
              <w:right w:val="nil"/>
            </w:tcBorders>
            <w:shd w:val="clear" w:color="auto" w:fill="auto"/>
            <w:noWrap/>
            <w:vAlign w:val="bottom"/>
            <w:hideMark/>
          </w:tcPr>
          <w:p w14:paraId="69CD9E1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0373A4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0424376" w14:textId="77777777" w:rsidTr="001E04CC">
        <w:trPr>
          <w:trHeight w:val="20"/>
        </w:trPr>
        <w:tc>
          <w:tcPr>
            <w:tcW w:w="2430" w:type="dxa"/>
            <w:tcBorders>
              <w:top w:val="nil"/>
              <w:left w:val="nil"/>
              <w:bottom w:val="nil"/>
              <w:right w:val="nil"/>
            </w:tcBorders>
            <w:shd w:val="clear" w:color="auto" w:fill="auto"/>
            <w:noWrap/>
            <w:vAlign w:val="bottom"/>
            <w:hideMark/>
          </w:tcPr>
          <w:p w14:paraId="2322899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Coumadin</w:t>
            </w:r>
          </w:p>
        </w:tc>
        <w:tc>
          <w:tcPr>
            <w:tcW w:w="1332" w:type="dxa"/>
            <w:tcBorders>
              <w:top w:val="nil"/>
              <w:left w:val="nil"/>
              <w:bottom w:val="nil"/>
              <w:right w:val="nil"/>
            </w:tcBorders>
            <w:shd w:val="clear" w:color="auto" w:fill="auto"/>
            <w:noWrap/>
            <w:vAlign w:val="bottom"/>
            <w:hideMark/>
          </w:tcPr>
          <w:p w14:paraId="7F04B6C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72E5AD9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AD17E5" w14:textId="77777777" w:rsidTr="001E04CC">
        <w:trPr>
          <w:trHeight w:val="20"/>
        </w:trPr>
        <w:tc>
          <w:tcPr>
            <w:tcW w:w="2430" w:type="dxa"/>
            <w:tcBorders>
              <w:top w:val="nil"/>
              <w:left w:val="nil"/>
              <w:bottom w:val="nil"/>
              <w:right w:val="nil"/>
            </w:tcBorders>
            <w:shd w:val="clear" w:color="auto" w:fill="auto"/>
            <w:noWrap/>
            <w:vAlign w:val="bottom"/>
            <w:hideMark/>
          </w:tcPr>
          <w:p w14:paraId="3923079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lastRenderedPageBreak/>
              <w:t>Covera</w:t>
            </w:r>
            <w:proofErr w:type="spellEnd"/>
            <w:r w:rsidRPr="001A20A2">
              <w:rPr>
                <w:rFonts w:ascii="Calibri" w:eastAsia="Times New Roman" w:hAnsi="Calibri" w:cs="Times New Roman"/>
                <w:color w:val="000000"/>
                <w:sz w:val="16"/>
                <w:szCs w:val="16"/>
              </w:rPr>
              <w:t xml:space="preserve"> HS</w:t>
            </w:r>
          </w:p>
        </w:tc>
        <w:tc>
          <w:tcPr>
            <w:tcW w:w="1332" w:type="dxa"/>
            <w:tcBorders>
              <w:top w:val="nil"/>
              <w:left w:val="nil"/>
              <w:bottom w:val="nil"/>
              <w:right w:val="nil"/>
            </w:tcBorders>
            <w:shd w:val="clear" w:color="auto" w:fill="auto"/>
            <w:noWrap/>
            <w:vAlign w:val="bottom"/>
            <w:hideMark/>
          </w:tcPr>
          <w:p w14:paraId="0FE62FB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CC0C0B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BFD7D80" w14:textId="77777777" w:rsidTr="001E04CC">
        <w:trPr>
          <w:trHeight w:val="20"/>
        </w:trPr>
        <w:tc>
          <w:tcPr>
            <w:tcW w:w="2430" w:type="dxa"/>
            <w:tcBorders>
              <w:top w:val="nil"/>
              <w:left w:val="nil"/>
              <w:bottom w:val="nil"/>
              <w:right w:val="nil"/>
            </w:tcBorders>
            <w:shd w:val="clear" w:color="auto" w:fill="auto"/>
            <w:noWrap/>
            <w:vAlign w:val="bottom"/>
            <w:hideMark/>
          </w:tcPr>
          <w:p w14:paraId="607AA4F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Cozaar</w:t>
            </w:r>
          </w:p>
        </w:tc>
        <w:tc>
          <w:tcPr>
            <w:tcW w:w="1332" w:type="dxa"/>
            <w:tcBorders>
              <w:top w:val="nil"/>
              <w:left w:val="nil"/>
              <w:bottom w:val="nil"/>
              <w:right w:val="nil"/>
            </w:tcBorders>
            <w:shd w:val="clear" w:color="auto" w:fill="auto"/>
            <w:noWrap/>
            <w:vAlign w:val="bottom"/>
            <w:hideMark/>
          </w:tcPr>
          <w:p w14:paraId="5C17DD2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A8C860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7A39D4D" w14:textId="77777777" w:rsidTr="001E04CC">
        <w:trPr>
          <w:trHeight w:val="20"/>
        </w:trPr>
        <w:tc>
          <w:tcPr>
            <w:tcW w:w="2430" w:type="dxa"/>
            <w:tcBorders>
              <w:top w:val="nil"/>
              <w:left w:val="nil"/>
              <w:bottom w:val="nil"/>
              <w:right w:val="nil"/>
            </w:tcBorders>
            <w:shd w:val="clear" w:color="auto" w:fill="auto"/>
            <w:noWrap/>
            <w:vAlign w:val="bottom"/>
            <w:hideMark/>
          </w:tcPr>
          <w:p w14:paraId="66C4669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Crestor E</w:t>
            </w:r>
          </w:p>
        </w:tc>
        <w:tc>
          <w:tcPr>
            <w:tcW w:w="1332" w:type="dxa"/>
            <w:tcBorders>
              <w:top w:val="nil"/>
              <w:left w:val="nil"/>
              <w:bottom w:val="nil"/>
              <w:right w:val="nil"/>
            </w:tcBorders>
            <w:shd w:val="clear" w:color="auto" w:fill="auto"/>
            <w:noWrap/>
            <w:vAlign w:val="bottom"/>
            <w:hideMark/>
          </w:tcPr>
          <w:p w14:paraId="17A1DAC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7529ED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3C5BAB1" w14:textId="77777777" w:rsidTr="001E04CC">
        <w:trPr>
          <w:trHeight w:val="20"/>
        </w:trPr>
        <w:tc>
          <w:tcPr>
            <w:tcW w:w="2430" w:type="dxa"/>
            <w:tcBorders>
              <w:top w:val="nil"/>
              <w:left w:val="nil"/>
              <w:bottom w:val="nil"/>
              <w:right w:val="nil"/>
            </w:tcBorders>
            <w:shd w:val="clear" w:color="auto" w:fill="auto"/>
            <w:noWrap/>
            <w:vAlign w:val="bottom"/>
            <w:hideMark/>
          </w:tcPr>
          <w:p w14:paraId="5AD689F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Crixivan</w:t>
            </w:r>
            <w:proofErr w:type="spellEnd"/>
          </w:p>
        </w:tc>
        <w:tc>
          <w:tcPr>
            <w:tcW w:w="1332" w:type="dxa"/>
            <w:tcBorders>
              <w:top w:val="nil"/>
              <w:left w:val="nil"/>
              <w:bottom w:val="nil"/>
              <w:right w:val="nil"/>
            </w:tcBorders>
            <w:shd w:val="clear" w:color="auto" w:fill="auto"/>
            <w:noWrap/>
            <w:vAlign w:val="bottom"/>
            <w:hideMark/>
          </w:tcPr>
          <w:p w14:paraId="737766E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46B473A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D2EBC4B" w14:textId="77777777" w:rsidTr="001E04CC">
        <w:trPr>
          <w:trHeight w:val="20"/>
        </w:trPr>
        <w:tc>
          <w:tcPr>
            <w:tcW w:w="2430" w:type="dxa"/>
            <w:tcBorders>
              <w:top w:val="nil"/>
              <w:left w:val="nil"/>
              <w:bottom w:val="nil"/>
              <w:right w:val="nil"/>
            </w:tcBorders>
            <w:shd w:val="clear" w:color="auto" w:fill="auto"/>
            <w:noWrap/>
            <w:vAlign w:val="bottom"/>
            <w:hideMark/>
          </w:tcPr>
          <w:p w14:paraId="2397D6C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cromolyn</w:t>
            </w:r>
          </w:p>
        </w:tc>
        <w:tc>
          <w:tcPr>
            <w:tcW w:w="1332" w:type="dxa"/>
            <w:tcBorders>
              <w:top w:val="nil"/>
              <w:left w:val="nil"/>
              <w:bottom w:val="nil"/>
              <w:right w:val="nil"/>
            </w:tcBorders>
            <w:shd w:val="clear" w:color="auto" w:fill="auto"/>
            <w:noWrap/>
            <w:vAlign w:val="bottom"/>
            <w:hideMark/>
          </w:tcPr>
          <w:p w14:paraId="1317EFF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85D45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9C6996C" w14:textId="77777777" w:rsidTr="001E04CC">
        <w:trPr>
          <w:trHeight w:val="20"/>
        </w:trPr>
        <w:tc>
          <w:tcPr>
            <w:tcW w:w="2430" w:type="dxa"/>
            <w:tcBorders>
              <w:top w:val="nil"/>
              <w:left w:val="nil"/>
              <w:bottom w:val="nil"/>
              <w:right w:val="nil"/>
            </w:tcBorders>
            <w:shd w:val="clear" w:color="auto" w:fill="auto"/>
            <w:noWrap/>
            <w:vAlign w:val="bottom"/>
            <w:hideMark/>
          </w:tcPr>
          <w:p w14:paraId="14FA686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Cycloset</w:t>
            </w:r>
            <w:proofErr w:type="spellEnd"/>
          </w:p>
        </w:tc>
        <w:tc>
          <w:tcPr>
            <w:tcW w:w="1332" w:type="dxa"/>
            <w:tcBorders>
              <w:top w:val="nil"/>
              <w:left w:val="nil"/>
              <w:bottom w:val="nil"/>
              <w:right w:val="nil"/>
            </w:tcBorders>
            <w:shd w:val="clear" w:color="auto" w:fill="auto"/>
            <w:noWrap/>
            <w:vAlign w:val="bottom"/>
            <w:hideMark/>
          </w:tcPr>
          <w:p w14:paraId="65842B7B" w14:textId="160272D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A84F56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5F3E189" w14:textId="77777777" w:rsidTr="001E04CC">
        <w:trPr>
          <w:trHeight w:val="20"/>
        </w:trPr>
        <w:tc>
          <w:tcPr>
            <w:tcW w:w="2430" w:type="dxa"/>
            <w:tcBorders>
              <w:top w:val="nil"/>
              <w:left w:val="nil"/>
              <w:bottom w:val="nil"/>
              <w:right w:val="nil"/>
            </w:tcBorders>
            <w:shd w:val="clear" w:color="auto" w:fill="auto"/>
            <w:noWrap/>
            <w:vAlign w:val="bottom"/>
            <w:hideMark/>
          </w:tcPr>
          <w:p w14:paraId="52F8C8D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cyclosporine</w:t>
            </w:r>
          </w:p>
        </w:tc>
        <w:tc>
          <w:tcPr>
            <w:tcW w:w="1332" w:type="dxa"/>
            <w:tcBorders>
              <w:top w:val="nil"/>
              <w:left w:val="nil"/>
              <w:bottom w:val="nil"/>
              <w:right w:val="nil"/>
            </w:tcBorders>
            <w:shd w:val="clear" w:color="auto" w:fill="auto"/>
            <w:noWrap/>
            <w:vAlign w:val="bottom"/>
            <w:hideMark/>
          </w:tcPr>
          <w:p w14:paraId="2D3E66E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4DFDA01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7BD355D" w14:textId="77777777" w:rsidTr="001E04CC">
        <w:trPr>
          <w:trHeight w:val="20"/>
        </w:trPr>
        <w:tc>
          <w:tcPr>
            <w:tcW w:w="2430" w:type="dxa"/>
            <w:tcBorders>
              <w:top w:val="nil"/>
              <w:left w:val="nil"/>
              <w:bottom w:val="nil"/>
              <w:right w:val="nil"/>
            </w:tcBorders>
            <w:shd w:val="clear" w:color="auto" w:fill="auto"/>
            <w:noWrap/>
            <w:vAlign w:val="bottom"/>
            <w:hideMark/>
          </w:tcPr>
          <w:p w14:paraId="4820015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Daliresp</w:t>
            </w:r>
            <w:proofErr w:type="spellEnd"/>
          </w:p>
        </w:tc>
        <w:tc>
          <w:tcPr>
            <w:tcW w:w="1332" w:type="dxa"/>
            <w:tcBorders>
              <w:top w:val="nil"/>
              <w:left w:val="nil"/>
              <w:bottom w:val="nil"/>
              <w:right w:val="nil"/>
            </w:tcBorders>
            <w:shd w:val="clear" w:color="auto" w:fill="auto"/>
            <w:noWrap/>
            <w:vAlign w:val="bottom"/>
            <w:hideMark/>
          </w:tcPr>
          <w:p w14:paraId="0EDF2AE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27E061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313B745" w14:textId="77777777" w:rsidTr="001E04CC">
        <w:trPr>
          <w:trHeight w:val="20"/>
        </w:trPr>
        <w:tc>
          <w:tcPr>
            <w:tcW w:w="2430" w:type="dxa"/>
            <w:tcBorders>
              <w:top w:val="nil"/>
              <w:left w:val="nil"/>
              <w:bottom w:val="nil"/>
              <w:right w:val="nil"/>
            </w:tcBorders>
            <w:shd w:val="clear" w:color="auto" w:fill="auto"/>
            <w:noWrap/>
            <w:vAlign w:val="bottom"/>
            <w:hideMark/>
          </w:tcPr>
          <w:p w14:paraId="10B51EC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Demadex</w:t>
            </w:r>
          </w:p>
        </w:tc>
        <w:tc>
          <w:tcPr>
            <w:tcW w:w="1332" w:type="dxa"/>
            <w:tcBorders>
              <w:top w:val="nil"/>
              <w:left w:val="nil"/>
              <w:bottom w:val="nil"/>
              <w:right w:val="nil"/>
            </w:tcBorders>
            <w:shd w:val="clear" w:color="auto" w:fill="auto"/>
            <w:noWrap/>
            <w:vAlign w:val="bottom"/>
            <w:hideMark/>
          </w:tcPr>
          <w:p w14:paraId="0F6AAB0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A2F491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68A20D8" w14:textId="77777777" w:rsidTr="001E04CC">
        <w:trPr>
          <w:trHeight w:val="20"/>
        </w:trPr>
        <w:tc>
          <w:tcPr>
            <w:tcW w:w="2430" w:type="dxa"/>
            <w:tcBorders>
              <w:top w:val="nil"/>
              <w:left w:val="nil"/>
              <w:bottom w:val="nil"/>
              <w:right w:val="nil"/>
            </w:tcBorders>
            <w:shd w:val="clear" w:color="auto" w:fill="auto"/>
            <w:noWrap/>
            <w:vAlign w:val="bottom"/>
            <w:hideMark/>
          </w:tcPr>
          <w:p w14:paraId="366AA99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Diabeta</w:t>
            </w:r>
            <w:proofErr w:type="spellEnd"/>
          </w:p>
        </w:tc>
        <w:tc>
          <w:tcPr>
            <w:tcW w:w="1332" w:type="dxa"/>
            <w:tcBorders>
              <w:top w:val="nil"/>
              <w:left w:val="nil"/>
              <w:bottom w:val="nil"/>
              <w:right w:val="nil"/>
            </w:tcBorders>
            <w:shd w:val="clear" w:color="auto" w:fill="auto"/>
            <w:noWrap/>
            <w:vAlign w:val="bottom"/>
            <w:hideMark/>
          </w:tcPr>
          <w:p w14:paraId="34F898F7" w14:textId="3EA482F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010FB6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0D6EED2" w14:textId="77777777" w:rsidTr="001E04CC">
        <w:trPr>
          <w:trHeight w:val="20"/>
        </w:trPr>
        <w:tc>
          <w:tcPr>
            <w:tcW w:w="2430" w:type="dxa"/>
            <w:tcBorders>
              <w:top w:val="nil"/>
              <w:left w:val="nil"/>
              <w:bottom w:val="nil"/>
              <w:right w:val="nil"/>
            </w:tcBorders>
            <w:shd w:val="clear" w:color="auto" w:fill="auto"/>
            <w:noWrap/>
            <w:vAlign w:val="bottom"/>
            <w:hideMark/>
          </w:tcPr>
          <w:p w14:paraId="5C1AEAA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diabetic meters</w:t>
            </w:r>
            <w:r>
              <w:rPr>
                <w:rFonts w:ascii="Calibri" w:eastAsia="Times New Roman" w:hAnsi="Calibri" w:cs="Times New Roman"/>
                <w:color w:val="000000"/>
                <w:sz w:val="16"/>
                <w:szCs w:val="16"/>
              </w:rPr>
              <w:t xml:space="preserve">, </w:t>
            </w:r>
            <w:r w:rsidRPr="001A20A2">
              <w:rPr>
                <w:rFonts w:ascii="Calibri" w:eastAsia="Times New Roman" w:hAnsi="Calibri" w:cs="Times New Roman"/>
                <w:color w:val="000000"/>
                <w:sz w:val="16"/>
                <w:szCs w:val="16"/>
              </w:rPr>
              <w:t>solutions</w:t>
            </w:r>
          </w:p>
        </w:tc>
        <w:tc>
          <w:tcPr>
            <w:tcW w:w="1332" w:type="dxa"/>
            <w:tcBorders>
              <w:top w:val="nil"/>
              <w:left w:val="nil"/>
              <w:bottom w:val="nil"/>
              <w:right w:val="nil"/>
            </w:tcBorders>
            <w:shd w:val="clear" w:color="auto" w:fill="auto"/>
            <w:noWrap/>
            <w:vAlign w:val="bottom"/>
            <w:hideMark/>
          </w:tcPr>
          <w:p w14:paraId="0FA960B1" w14:textId="739F4C9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Supplies</w:t>
            </w:r>
          </w:p>
        </w:tc>
        <w:tc>
          <w:tcPr>
            <w:tcW w:w="900" w:type="dxa"/>
            <w:tcBorders>
              <w:top w:val="nil"/>
              <w:left w:val="nil"/>
              <w:bottom w:val="nil"/>
              <w:right w:val="nil"/>
            </w:tcBorders>
            <w:shd w:val="clear" w:color="auto" w:fill="auto"/>
            <w:noWrap/>
            <w:vAlign w:val="bottom"/>
            <w:hideMark/>
          </w:tcPr>
          <w:p w14:paraId="6FEF0D1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8B11B40" w14:textId="77777777" w:rsidTr="001E04CC">
        <w:trPr>
          <w:trHeight w:val="20"/>
        </w:trPr>
        <w:tc>
          <w:tcPr>
            <w:tcW w:w="2430" w:type="dxa"/>
            <w:tcBorders>
              <w:top w:val="nil"/>
              <w:left w:val="nil"/>
              <w:bottom w:val="nil"/>
              <w:right w:val="nil"/>
            </w:tcBorders>
            <w:shd w:val="clear" w:color="auto" w:fill="auto"/>
            <w:noWrap/>
            <w:vAlign w:val="bottom"/>
            <w:hideMark/>
          </w:tcPr>
          <w:p w14:paraId="1094CDA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diabetic test strips</w:t>
            </w:r>
          </w:p>
        </w:tc>
        <w:tc>
          <w:tcPr>
            <w:tcW w:w="1332" w:type="dxa"/>
            <w:tcBorders>
              <w:top w:val="nil"/>
              <w:left w:val="nil"/>
              <w:bottom w:val="nil"/>
              <w:right w:val="nil"/>
            </w:tcBorders>
            <w:shd w:val="clear" w:color="auto" w:fill="auto"/>
            <w:noWrap/>
            <w:vAlign w:val="bottom"/>
            <w:hideMark/>
          </w:tcPr>
          <w:p w14:paraId="37A32217" w14:textId="5B34563E"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Supplies</w:t>
            </w:r>
          </w:p>
        </w:tc>
        <w:tc>
          <w:tcPr>
            <w:tcW w:w="900" w:type="dxa"/>
            <w:tcBorders>
              <w:top w:val="nil"/>
              <w:left w:val="nil"/>
              <w:bottom w:val="nil"/>
              <w:right w:val="nil"/>
            </w:tcBorders>
            <w:shd w:val="clear" w:color="auto" w:fill="auto"/>
            <w:noWrap/>
            <w:vAlign w:val="bottom"/>
            <w:hideMark/>
          </w:tcPr>
          <w:p w14:paraId="085FA7B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BEEC36D" w14:textId="77777777" w:rsidTr="001E04CC">
        <w:trPr>
          <w:trHeight w:val="20"/>
        </w:trPr>
        <w:tc>
          <w:tcPr>
            <w:tcW w:w="2430" w:type="dxa"/>
            <w:tcBorders>
              <w:top w:val="nil"/>
              <w:left w:val="nil"/>
              <w:bottom w:val="nil"/>
              <w:right w:val="nil"/>
            </w:tcBorders>
            <w:shd w:val="clear" w:color="auto" w:fill="auto"/>
            <w:noWrap/>
            <w:vAlign w:val="bottom"/>
            <w:hideMark/>
          </w:tcPr>
          <w:p w14:paraId="1D6F39F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diabetic lancets</w:t>
            </w:r>
          </w:p>
        </w:tc>
        <w:tc>
          <w:tcPr>
            <w:tcW w:w="1332" w:type="dxa"/>
            <w:tcBorders>
              <w:top w:val="nil"/>
              <w:left w:val="nil"/>
              <w:bottom w:val="nil"/>
              <w:right w:val="nil"/>
            </w:tcBorders>
            <w:shd w:val="clear" w:color="auto" w:fill="auto"/>
            <w:noWrap/>
            <w:vAlign w:val="bottom"/>
            <w:hideMark/>
          </w:tcPr>
          <w:p w14:paraId="4F0ECEA2" w14:textId="26D6A72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Supplies</w:t>
            </w:r>
          </w:p>
        </w:tc>
        <w:tc>
          <w:tcPr>
            <w:tcW w:w="900" w:type="dxa"/>
            <w:tcBorders>
              <w:top w:val="nil"/>
              <w:left w:val="nil"/>
              <w:bottom w:val="nil"/>
              <w:right w:val="nil"/>
            </w:tcBorders>
            <w:shd w:val="clear" w:color="auto" w:fill="auto"/>
            <w:noWrap/>
            <w:vAlign w:val="bottom"/>
            <w:hideMark/>
          </w:tcPr>
          <w:p w14:paraId="0619EEE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8523B97" w14:textId="77777777" w:rsidTr="001E04CC">
        <w:trPr>
          <w:trHeight w:val="20"/>
        </w:trPr>
        <w:tc>
          <w:tcPr>
            <w:tcW w:w="2430" w:type="dxa"/>
            <w:tcBorders>
              <w:top w:val="nil"/>
              <w:left w:val="nil"/>
              <w:bottom w:val="nil"/>
              <w:right w:val="nil"/>
            </w:tcBorders>
            <w:shd w:val="clear" w:color="auto" w:fill="auto"/>
            <w:noWrap/>
            <w:vAlign w:val="bottom"/>
            <w:hideMark/>
          </w:tcPr>
          <w:p w14:paraId="01CBE63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didanosine</w:t>
            </w:r>
            <w:proofErr w:type="spellEnd"/>
          </w:p>
        </w:tc>
        <w:tc>
          <w:tcPr>
            <w:tcW w:w="1332" w:type="dxa"/>
            <w:tcBorders>
              <w:top w:val="nil"/>
              <w:left w:val="nil"/>
              <w:bottom w:val="nil"/>
              <w:right w:val="nil"/>
            </w:tcBorders>
            <w:shd w:val="clear" w:color="auto" w:fill="auto"/>
            <w:noWrap/>
            <w:vAlign w:val="bottom"/>
            <w:hideMark/>
          </w:tcPr>
          <w:p w14:paraId="064BBFF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3106DD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2EFB9FE" w14:textId="77777777" w:rsidTr="001E04CC">
        <w:trPr>
          <w:trHeight w:val="20"/>
        </w:trPr>
        <w:tc>
          <w:tcPr>
            <w:tcW w:w="2430" w:type="dxa"/>
            <w:tcBorders>
              <w:top w:val="nil"/>
              <w:left w:val="nil"/>
              <w:bottom w:val="nil"/>
              <w:right w:val="nil"/>
            </w:tcBorders>
            <w:shd w:val="clear" w:color="auto" w:fill="auto"/>
            <w:noWrap/>
            <w:vAlign w:val="bottom"/>
            <w:hideMark/>
          </w:tcPr>
          <w:p w14:paraId="15C4FBC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Didronel</w:t>
            </w:r>
            <w:proofErr w:type="spellEnd"/>
          </w:p>
        </w:tc>
        <w:tc>
          <w:tcPr>
            <w:tcW w:w="1332" w:type="dxa"/>
            <w:tcBorders>
              <w:top w:val="nil"/>
              <w:left w:val="nil"/>
              <w:bottom w:val="nil"/>
              <w:right w:val="nil"/>
            </w:tcBorders>
            <w:shd w:val="clear" w:color="auto" w:fill="auto"/>
            <w:noWrap/>
            <w:vAlign w:val="bottom"/>
            <w:hideMark/>
          </w:tcPr>
          <w:p w14:paraId="40FC542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2B34C82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094818" w14:textId="77777777" w:rsidTr="001E04CC">
        <w:trPr>
          <w:trHeight w:val="20"/>
        </w:trPr>
        <w:tc>
          <w:tcPr>
            <w:tcW w:w="2430" w:type="dxa"/>
            <w:tcBorders>
              <w:top w:val="nil"/>
              <w:left w:val="nil"/>
              <w:bottom w:val="nil"/>
              <w:right w:val="nil"/>
            </w:tcBorders>
            <w:shd w:val="clear" w:color="auto" w:fill="auto"/>
            <w:noWrap/>
            <w:vAlign w:val="bottom"/>
            <w:hideMark/>
          </w:tcPr>
          <w:p w14:paraId="61BF0AB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Dilacor</w:t>
            </w:r>
            <w:proofErr w:type="spellEnd"/>
            <w:r w:rsidRPr="001A20A2">
              <w:rPr>
                <w:rFonts w:ascii="Calibri" w:eastAsia="Times New Roman" w:hAnsi="Calibri" w:cs="Times New Roman"/>
                <w:color w:val="000000"/>
                <w:sz w:val="16"/>
                <w:szCs w:val="16"/>
              </w:rPr>
              <w:t xml:space="preserve"> XR</w:t>
            </w:r>
          </w:p>
        </w:tc>
        <w:tc>
          <w:tcPr>
            <w:tcW w:w="1332" w:type="dxa"/>
            <w:tcBorders>
              <w:top w:val="nil"/>
              <w:left w:val="nil"/>
              <w:bottom w:val="nil"/>
              <w:right w:val="nil"/>
            </w:tcBorders>
            <w:shd w:val="clear" w:color="auto" w:fill="auto"/>
            <w:noWrap/>
            <w:vAlign w:val="bottom"/>
            <w:hideMark/>
          </w:tcPr>
          <w:p w14:paraId="790B906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BAEE16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2B3A9F1" w14:textId="77777777" w:rsidTr="001E04CC">
        <w:trPr>
          <w:trHeight w:val="20"/>
        </w:trPr>
        <w:tc>
          <w:tcPr>
            <w:tcW w:w="2430" w:type="dxa"/>
            <w:tcBorders>
              <w:top w:val="nil"/>
              <w:left w:val="nil"/>
              <w:bottom w:val="nil"/>
              <w:right w:val="nil"/>
            </w:tcBorders>
            <w:shd w:val="clear" w:color="auto" w:fill="auto"/>
            <w:noWrap/>
            <w:vAlign w:val="bottom"/>
            <w:hideMark/>
          </w:tcPr>
          <w:p w14:paraId="721F6BE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Dilt</w:t>
            </w:r>
            <w:proofErr w:type="spellEnd"/>
            <w:r w:rsidRPr="001A20A2">
              <w:rPr>
                <w:rFonts w:ascii="Calibri" w:eastAsia="Times New Roman" w:hAnsi="Calibri" w:cs="Times New Roman"/>
                <w:color w:val="000000"/>
                <w:sz w:val="16"/>
                <w:szCs w:val="16"/>
              </w:rPr>
              <w:t xml:space="preserve"> CD</w:t>
            </w:r>
          </w:p>
        </w:tc>
        <w:tc>
          <w:tcPr>
            <w:tcW w:w="1332" w:type="dxa"/>
            <w:tcBorders>
              <w:top w:val="nil"/>
              <w:left w:val="nil"/>
              <w:bottom w:val="nil"/>
              <w:right w:val="nil"/>
            </w:tcBorders>
            <w:shd w:val="clear" w:color="auto" w:fill="auto"/>
            <w:noWrap/>
            <w:vAlign w:val="bottom"/>
            <w:hideMark/>
          </w:tcPr>
          <w:p w14:paraId="3A7A623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415C85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2FA6BF3" w14:textId="77777777" w:rsidTr="001E04CC">
        <w:trPr>
          <w:trHeight w:val="20"/>
        </w:trPr>
        <w:tc>
          <w:tcPr>
            <w:tcW w:w="2430" w:type="dxa"/>
            <w:tcBorders>
              <w:top w:val="nil"/>
              <w:left w:val="nil"/>
              <w:bottom w:val="nil"/>
              <w:right w:val="nil"/>
            </w:tcBorders>
            <w:shd w:val="clear" w:color="auto" w:fill="auto"/>
            <w:noWrap/>
            <w:vAlign w:val="bottom"/>
            <w:hideMark/>
          </w:tcPr>
          <w:p w14:paraId="518B517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Dilt</w:t>
            </w:r>
            <w:proofErr w:type="spellEnd"/>
            <w:r w:rsidRPr="001A20A2">
              <w:rPr>
                <w:rFonts w:ascii="Calibri" w:eastAsia="Times New Roman" w:hAnsi="Calibri" w:cs="Times New Roman"/>
                <w:color w:val="000000"/>
                <w:sz w:val="16"/>
                <w:szCs w:val="16"/>
              </w:rPr>
              <w:t xml:space="preserve"> XR</w:t>
            </w:r>
          </w:p>
        </w:tc>
        <w:tc>
          <w:tcPr>
            <w:tcW w:w="1332" w:type="dxa"/>
            <w:tcBorders>
              <w:top w:val="nil"/>
              <w:left w:val="nil"/>
              <w:bottom w:val="nil"/>
              <w:right w:val="nil"/>
            </w:tcBorders>
            <w:shd w:val="clear" w:color="auto" w:fill="auto"/>
            <w:noWrap/>
            <w:vAlign w:val="bottom"/>
            <w:hideMark/>
          </w:tcPr>
          <w:p w14:paraId="68C08CE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DE9875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2F0FED5" w14:textId="77777777" w:rsidTr="001E04CC">
        <w:trPr>
          <w:trHeight w:val="20"/>
        </w:trPr>
        <w:tc>
          <w:tcPr>
            <w:tcW w:w="2430" w:type="dxa"/>
            <w:tcBorders>
              <w:top w:val="nil"/>
              <w:left w:val="nil"/>
              <w:bottom w:val="nil"/>
              <w:right w:val="nil"/>
            </w:tcBorders>
            <w:shd w:val="clear" w:color="auto" w:fill="auto"/>
            <w:noWrap/>
            <w:vAlign w:val="bottom"/>
            <w:hideMark/>
          </w:tcPr>
          <w:p w14:paraId="1C0C247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Diltia</w:t>
            </w:r>
            <w:proofErr w:type="spellEnd"/>
            <w:r w:rsidRPr="001A20A2">
              <w:rPr>
                <w:rFonts w:ascii="Calibri" w:eastAsia="Times New Roman" w:hAnsi="Calibri" w:cs="Times New Roman"/>
                <w:color w:val="000000"/>
                <w:sz w:val="16"/>
                <w:szCs w:val="16"/>
              </w:rPr>
              <w:t xml:space="preserve"> XT</w:t>
            </w:r>
          </w:p>
        </w:tc>
        <w:tc>
          <w:tcPr>
            <w:tcW w:w="1332" w:type="dxa"/>
            <w:tcBorders>
              <w:top w:val="nil"/>
              <w:left w:val="nil"/>
              <w:bottom w:val="nil"/>
              <w:right w:val="nil"/>
            </w:tcBorders>
            <w:shd w:val="clear" w:color="auto" w:fill="auto"/>
            <w:noWrap/>
            <w:vAlign w:val="bottom"/>
            <w:hideMark/>
          </w:tcPr>
          <w:p w14:paraId="18DFC53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B9EB77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825E35F" w14:textId="77777777" w:rsidTr="001E04CC">
        <w:trPr>
          <w:trHeight w:val="20"/>
        </w:trPr>
        <w:tc>
          <w:tcPr>
            <w:tcW w:w="2430" w:type="dxa"/>
            <w:tcBorders>
              <w:top w:val="nil"/>
              <w:left w:val="nil"/>
              <w:bottom w:val="nil"/>
              <w:right w:val="nil"/>
            </w:tcBorders>
            <w:shd w:val="clear" w:color="auto" w:fill="auto"/>
            <w:noWrap/>
            <w:vAlign w:val="bottom"/>
            <w:hideMark/>
          </w:tcPr>
          <w:p w14:paraId="226D30D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diltiazem</w:t>
            </w:r>
          </w:p>
        </w:tc>
        <w:tc>
          <w:tcPr>
            <w:tcW w:w="1332" w:type="dxa"/>
            <w:tcBorders>
              <w:top w:val="nil"/>
              <w:left w:val="nil"/>
              <w:bottom w:val="nil"/>
              <w:right w:val="nil"/>
            </w:tcBorders>
            <w:shd w:val="clear" w:color="auto" w:fill="auto"/>
            <w:noWrap/>
            <w:vAlign w:val="bottom"/>
            <w:hideMark/>
          </w:tcPr>
          <w:p w14:paraId="51F7342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39938D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FB70C55" w14:textId="77777777" w:rsidTr="001E04CC">
        <w:trPr>
          <w:trHeight w:val="20"/>
        </w:trPr>
        <w:tc>
          <w:tcPr>
            <w:tcW w:w="2430" w:type="dxa"/>
            <w:tcBorders>
              <w:top w:val="nil"/>
              <w:left w:val="nil"/>
              <w:bottom w:val="nil"/>
              <w:right w:val="nil"/>
            </w:tcBorders>
            <w:shd w:val="clear" w:color="auto" w:fill="auto"/>
            <w:noWrap/>
            <w:vAlign w:val="bottom"/>
            <w:hideMark/>
          </w:tcPr>
          <w:p w14:paraId="6090A2D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diltiazem ER</w:t>
            </w:r>
          </w:p>
        </w:tc>
        <w:tc>
          <w:tcPr>
            <w:tcW w:w="1332" w:type="dxa"/>
            <w:tcBorders>
              <w:top w:val="nil"/>
              <w:left w:val="nil"/>
              <w:bottom w:val="nil"/>
              <w:right w:val="nil"/>
            </w:tcBorders>
            <w:shd w:val="clear" w:color="auto" w:fill="auto"/>
            <w:noWrap/>
            <w:vAlign w:val="bottom"/>
            <w:hideMark/>
          </w:tcPr>
          <w:p w14:paraId="27C4826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8CB70E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526E908" w14:textId="77777777" w:rsidTr="001E04CC">
        <w:trPr>
          <w:trHeight w:val="20"/>
        </w:trPr>
        <w:tc>
          <w:tcPr>
            <w:tcW w:w="2430" w:type="dxa"/>
            <w:tcBorders>
              <w:top w:val="nil"/>
              <w:left w:val="nil"/>
              <w:bottom w:val="nil"/>
              <w:right w:val="nil"/>
            </w:tcBorders>
            <w:shd w:val="clear" w:color="auto" w:fill="auto"/>
            <w:noWrap/>
            <w:vAlign w:val="bottom"/>
            <w:hideMark/>
          </w:tcPr>
          <w:p w14:paraId="5C60FE7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Diltzac</w:t>
            </w:r>
            <w:proofErr w:type="spellEnd"/>
            <w:r w:rsidRPr="001A20A2">
              <w:rPr>
                <w:rFonts w:ascii="Calibri" w:eastAsia="Times New Roman" w:hAnsi="Calibri" w:cs="Times New Roman"/>
                <w:color w:val="000000"/>
                <w:sz w:val="16"/>
                <w:szCs w:val="16"/>
              </w:rPr>
              <w:t xml:space="preserve"> ER</w:t>
            </w:r>
          </w:p>
        </w:tc>
        <w:tc>
          <w:tcPr>
            <w:tcW w:w="1332" w:type="dxa"/>
            <w:tcBorders>
              <w:top w:val="nil"/>
              <w:left w:val="nil"/>
              <w:bottom w:val="nil"/>
              <w:right w:val="nil"/>
            </w:tcBorders>
            <w:shd w:val="clear" w:color="auto" w:fill="auto"/>
            <w:noWrap/>
            <w:vAlign w:val="bottom"/>
            <w:hideMark/>
          </w:tcPr>
          <w:p w14:paraId="100F9A3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19BE82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567EB6E" w14:textId="77777777" w:rsidTr="001E04CC">
        <w:trPr>
          <w:trHeight w:val="20"/>
        </w:trPr>
        <w:tc>
          <w:tcPr>
            <w:tcW w:w="2430" w:type="dxa"/>
            <w:tcBorders>
              <w:top w:val="nil"/>
              <w:left w:val="nil"/>
              <w:bottom w:val="nil"/>
              <w:right w:val="nil"/>
            </w:tcBorders>
            <w:shd w:val="clear" w:color="auto" w:fill="auto"/>
            <w:noWrap/>
            <w:vAlign w:val="bottom"/>
            <w:hideMark/>
          </w:tcPr>
          <w:p w14:paraId="10C693D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Diovan E</w:t>
            </w:r>
          </w:p>
        </w:tc>
        <w:tc>
          <w:tcPr>
            <w:tcW w:w="1332" w:type="dxa"/>
            <w:tcBorders>
              <w:top w:val="nil"/>
              <w:left w:val="nil"/>
              <w:bottom w:val="nil"/>
              <w:right w:val="nil"/>
            </w:tcBorders>
            <w:shd w:val="clear" w:color="auto" w:fill="auto"/>
            <w:noWrap/>
            <w:vAlign w:val="bottom"/>
            <w:hideMark/>
          </w:tcPr>
          <w:p w14:paraId="2D22D1A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BD2147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42B0EA1" w14:textId="77777777" w:rsidTr="001E04CC">
        <w:trPr>
          <w:trHeight w:val="20"/>
        </w:trPr>
        <w:tc>
          <w:tcPr>
            <w:tcW w:w="2430" w:type="dxa"/>
            <w:tcBorders>
              <w:top w:val="nil"/>
              <w:left w:val="nil"/>
              <w:bottom w:val="nil"/>
              <w:right w:val="nil"/>
            </w:tcBorders>
            <w:shd w:val="clear" w:color="auto" w:fill="auto"/>
            <w:noWrap/>
            <w:vAlign w:val="bottom"/>
            <w:hideMark/>
          </w:tcPr>
          <w:p w14:paraId="6EBF986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Diovan HCT E</w:t>
            </w:r>
          </w:p>
        </w:tc>
        <w:tc>
          <w:tcPr>
            <w:tcW w:w="1332" w:type="dxa"/>
            <w:tcBorders>
              <w:top w:val="nil"/>
              <w:left w:val="nil"/>
              <w:bottom w:val="nil"/>
              <w:right w:val="nil"/>
            </w:tcBorders>
            <w:shd w:val="clear" w:color="auto" w:fill="auto"/>
            <w:noWrap/>
            <w:vAlign w:val="bottom"/>
            <w:hideMark/>
          </w:tcPr>
          <w:p w14:paraId="47467F2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689165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2BF3DAF" w14:textId="77777777" w:rsidTr="001E04CC">
        <w:trPr>
          <w:trHeight w:val="20"/>
        </w:trPr>
        <w:tc>
          <w:tcPr>
            <w:tcW w:w="2430" w:type="dxa"/>
            <w:tcBorders>
              <w:top w:val="nil"/>
              <w:left w:val="nil"/>
              <w:bottom w:val="nil"/>
              <w:right w:val="nil"/>
            </w:tcBorders>
            <w:shd w:val="clear" w:color="auto" w:fill="auto"/>
            <w:noWrap/>
            <w:vAlign w:val="bottom"/>
            <w:hideMark/>
          </w:tcPr>
          <w:p w14:paraId="02DCF64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dipyridamole</w:t>
            </w:r>
          </w:p>
        </w:tc>
        <w:tc>
          <w:tcPr>
            <w:tcW w:w="1332" w:type="dxa"/>
            <w:tcBorders>
              <w:top w:val="nil"/>
              <w:left w:val="nil"/>
              <w:bottom w:val="nil"/>
              <w:right w:val="nil"/>
            </w:tcBorders>
            <w:shd w:val="clear" w:color="auto" w:fill="auto"/>
            <w:noWrap/>
            <w:vAlign w:val="bottom"/>
            <w:hideMark/>
          </w:tcPr>
          <w:p w14:paraId="71DFE53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356870E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221DA2" w14:textId="77777777" w:rsidTr="001E04CC">
        <w:trPr>
          <w:trHeight w:val="20"/>
        </w:trPr>
        <w:tc>
          <w:tcPr>
            <w:tcW w:w="2430" w:type="dxa"/>
            <w:tcBorders>
              <w:top w:val="nil"/>
              <w:left w:val="nil"/>
              <w:bottom w:val="nil"/>
              <w:right w:val="nil"/>
            </w:tcBorders>
            <w:shd w:val="clear" w:color="auto" w:fill="auto"/>
            <w:noWrap/>
            <w:vAlign w:val="bottom"/>
            <w:hideMark/>
          </w:tcPr>
          <w:p w14:paraId="7DAE232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Diuril</w:t>
            </w:r>
            <w:proofErr w:type="spellEnd"/>
          </w:p>
        </w:tc>
        <w:tc>
          <w:tcPr>
            <w:tcW w:w="1332" w:type="dxa"/>
            <w:tcBorders>
              <w:top w:val="nil"/>
              <w:left w:val="nil"/>
              <w:bottom w:val="nil"/>
              <w:right w:val="nil"/>
            </w:tcBorders>
            <w:shd w:val="clear" w:color="auto" w:fill="auto"/>
            <w:noWrap/>
            <w:vAlign w:val="bottom"/>
            <w:hideMark/>
          </w:tcPr>
          <w:p w14:paraId="1C87CBC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0A0EFF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FDF714B" w14:textId="77777777" w:rsidTr="001E04CC">
        <w:trPr>
          <w:trHeight w:val="20"/>
        </w:trPr>
        <w:tc>
          <w:tcPr>
            <w:tcW w:w="2430" w:type="dxa"/>
            <w:tcBorders>
              <w:top w:val="nil"/>
              <w:left w:val="nil"/>
              <w:bottom w:val="nil"/>
              <w:right w:val="nil"/>
            </w:tcBorders>
            <w:shd w:val="clear" w:color="auto" w:fill="auto"/>
            <w:noWrap/>
            <w:vAlign w:val="bottom"/>
            <w:hideMark/>
          </w:tcPr>
          <w:p w14:paraId="0CD7C05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doxazosin</w:t>
            </w:r>
          </w:p>
        </w:tc>
        <w:tc>
          <w:tcPr>
            <w:tcW w:w="1332" w:type="dxa"/>
            <w:tcBorders>
              <w:top w:val="nil"/>
              <w:left w:val="nil"/>
              <w:bottom w:val="nil"/>
              <w:right w:val="nil"/>
            </w:tcBorders>
            <w:shd w:val="clear" w:color="auto" w:fill="auto"/>
            <w:noWrap/>
            <w:vAlign w:val="bottom"/>
            <w:hideMark/>
          </w:tcPr>
          <w:p w14:paraId="4BF9D5E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A9060D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FCB6B4" w14:textId="77777777" w:rsidTr="001E04CC">
        <w:trPr>
          <w:trHeight w:val="20"/>
        </w:trPr>
        <w:tc>
          <w:tcPr>
            <w:tcW w:w="2430" w:type="dxa"/>
            <w:tcBorders>
              <w:top w:val="nil"/>
              <w:left w:val="nil"/>
              <w:bottom w:val="nil"/>
              <w:right w:val="nil"/>
            </w:tcBorders>
            <w:shd w:val="clear" w:color="auto" w:fill="auto"/>
            <w:noWrap/>
            <w:vAlign w:val="bottom"/>
            <w:hideMark/>
          </w:tcPr>
          <w:p w14:paraId="5A0A20A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Duetact</w:t>
            </w:r>
            <w:proofErr w:type="spellEnd"/>
          </w:p>
        </w:tc>
        <w:tc>
          <w:tcPr>
            <w:tcW w:w="1332" w:type="dxa"/>
            <w:tcBorders>
              <w:top w:val="nil"/>
              <w:left w:val="nil"/>
              <w:bottom w:val="nil"/>
              <w:right w:val="nil"/>
            </w:tcBorders>
            <w:shd w:val="clear" w:color="auto" w:fill="auto"/>
            <w:noWrap/>
            <w:vAlign w:val="bottom"/>
            <w:hideMark/>
          </w:tcPr>
          <w:p w14:paraId="5192F79D" w14:textId="48CD1641"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E32192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216DABF" w14:textId="77777777" w:rsidTr="001E04CC">
        <w:trPr>
          <w:trHeight w:val="20"/>
        </w:trPr>
        <w:tc>
          <w:tcPr>
            <w:tcW w:w="2430" w:type="dxa"/>
            <w:tcBorders>
              <w:top w:val="nil"/>
              <w:left w:val="nil"/>
              <w:bottom w:val="nil"/>
              <w:right w:val="nil"/>
            </w:tcBorders>
            <w:shd w:val="clear" w:color="auto" w:fill="auto"/>
            <w:noWrap/>
            <w:vAlign w:val="bottom"/>
            <w:hideMark/>
          </w:tcPr>
          <w:p w14:paraId="23F9EBB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Dulera</w:t>
            </w:r>
            <w:proofErr w:type="spellEnd"/>
          </w:p>
        </w:tc>
        <w:tc>
          <w:tcPr>
            <w:tcW w:w="1332" w:type="dxa"/>
            <w:tcBorders>
              <w:top w:val="nil"/>
              <w:left w:val="nil"/>
              <w:bottom w:val="nil"/>
              <w:right w:val="nil"/>
            </w:tcBorders>
            <w:shd w:val="clear" w:color="auto" w:fill="auto"/>
            <w:noWrap/>
            <w:vAlign w:val="bottom"/>
            <w:hideMark/>
          </w:tcPr>
          <w:p w14:paraId="45D37FA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5DD5E74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B2379B3" w14:textId="77777777" w:rsidTr="001E04CC">
        <w:trPr>
          <w:trHeight w:val="20"/>
        </w:trPr>
        <w:tc>
          <w:tcPr>
            <w:tcW w:w="2430" w:type="dxa"/>
            <w:tcBorders>
              <w:top w:val="nil"/>
              <w:left w:val="nil"/>
              <w:bottom w:val="nil"/>
              <w:right w:val="nil"/>
            </w:tcBorders>
            <w:shd w:val="clear" w:color="auto" w:fill="auto"/>
            <w:noWrap/>
            <w:vAlign w:val="bottom"/>
            <w:hideMark/>
          </w:tcPr>
          <w:p w14:paraId="71D2BB8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Duoneb</w:t>
            </w:r>
            <w:proofErr w:type="spellEnd"/>
          </w:p>
        </w:tc>
        <w:tc>
          <w:tcPr>
            <w:tcW w:w="1332" w:type="dxa"/>
            <w:tcBorders>
              <w:top w:val="nil"/>
              <w:left w:val="nil"/>
              <w:bottom w:val="nil"/>
              <w:right w:val="nil"/>
            </w:tcBorders>
            <w:shd w:val="clear" w:color="auto" w:fill="auto"/>
            <w:noWrap/>
            <w:vAlign w:val="bottom"/>
            <w:hideMark/>
          </w:tcPr>
          <w:p w14:paraId="3C7245A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6E5DB8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8E36376" w14:textId="77777777" w:rsidTr="001E04CC">
        <w:trPr>
          <w:trHeight w:val="20"/>
        </w:trPr>
        <w:tc>
          <w:tcPr>
            <w:tcW w:w="2430" w:type="dxa"/>
            <w:tcBorders>
              <w:top w:val="nil"/>
              <w:left w:val="nil"/>
              <w:bottom w:val="nil"/>
              <w:right w:val="nil"/>
            </w:tcBorders>
            <w:shd w:val="clear" w:color="auto" w:fill="auto"/>
            <w:noWrap/>
            <w:vAlign w:val="bottom"/>
            <w:hideMark/>
          </w:tcPr>
          <w:p w14:paraId="5B008F9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Dutoprol</w:t>
            </w:r>
            <w:proofErr w:type="spellEnd"/>
          </w:p>
        </w:tc>
        <w:tc>
          <w:tcPr>
            <w:tcW w:w="1332" w:type="dxa"/>
            <w:tcBorders>
              <w:top w:val="nil"/>
              <w:left w:val="nil"/>
              <w:bottom w:val="nil"/>
              <w:right w:val="nil"/>
            </w:tcBorders>
            <w:shd w:val="clear" w:color="auto" w:fill="auto"/>
            <w:noWrap/>
            <w:vAlign w:val="bottom"/>
            <w:hideMark/>
          </w:tcPr>
          <w:p w14:paraId="3F9132E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599CD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5002574" w14:textId="77777777" w:rsidTr="001E04CC">
        <w:trPr>
          <w:trHeight w:val="20"/>
        </w:trPr>
        <w:tc>
          <w:tcPr>
            <w:tcW w:w="2430" w:type="dxa"/>
            <w:tcBorders>
              <w:top w:val="nil"/>
              <w:left w:val="nil"/>
              <w:bottom w:val="nil"/>
              <w:right w:val="nil"/>
            </w:tcBorders>
            <w:shd w:val="clear" w:color="auto" w:fill="auto"/>
            <w:noWrap/>
            <w:vAlign w:val="bottom"/>
            <w:hideMark/>
          </w:tcPr>
          <w:p w14:paraId="566B80E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Dyazide</w:t>
            </w:r>
            <w:proofErr w:type="spellEnd"/>
          </w:p>
        </w:tc>
        <w:tc>
          <w:tcPr>
            <w:tcW w:w="1332" w:type="dxa"/>
            <w:tcBorders>
              <w:top w:val="nil"/>
              <w:left w:val="nil"/>
              <w:bottom w:val="nil"/>
              <w:right w:val="nil"/>
            </w:tcBorders>
            <w:shd w:val="clear" w:color="auto" w:fill="auto"/>
            <w:noWrap/>
            <w:vAlign w:val="bottom"/>
            <w:hideMark/>
          </w:tcPr>
          <w:p w14:paraId="753D125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2F6113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C462865" w14:textId="77777777" w:rsidTr="001E04CC">
        <w:trPr>
          <w:trHeight w:val="20"/>
        </w:trPr>
        <w:tc>
          <w:tcPr>
            <w:tcW w:w="2430" w:type="dxa"/>
            <w:tcBorders>
              <w:top w:val="nil"/>
              <w:left w:val="nil"/>
              <w:bottom w:val="nil"/>
              <w:right w:val="nil"/>
            </w:tcBorders>
            <w:shd w:val="clear" w:color="auto" w:fill="auto"/>
            <w:noWrap/>
            <w:vAlign w:val="bottom"/>
            <w:hideMark/>
          </w:tcPr>
          <w:p w14:paraId="21A9BA3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Dynacirc</w:t>
            </w:r>
            <w:proofErr w:type="spellEnd"/>
            <w:r w:rsidRPr="001A20A2">
              <w:rPr>
                <w:rFonts w:ascii="Calibri" w:eastAsia="Times New Roman" w:hAnsi="Calibri" w:cs="Times New Roman"/>
                <w:color w:val="000000"/>
                <w:sz w:val="16"/>
                <w:szCs w:val="16"/>
              </w:rPr>
              <w:t xml:space="preserve"> CR</w:t>
            </w:r>
          </w:p>
        </w:tc>
        <w:tc>
          <w:tcPr>
            <w:tcW w:w="1332" w:type="dxa"/>
            <w:tcBorders>
              <w:top w:val="nil"/>
              <w:left w:val="nil"/>
              <w:bottom w:val="nil"/>
              <w:right w:val="nil"/>
            </w:tcBorders>
            <w:shd w:val="clear" w:color="auto" w:fill="auto"/>
            <w:noWrap/>
            <w:vAlign w:val="bottom"/>
            <w:hideMark/>
          </w:tcPr>
          <w:p w14:paraId="075AB3F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DB6E39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93628A" w14:textId="77777777" w:rsidTr="001E04CC">
        <w:trPr>
          <w:trHeight w:val="20"/>
        </w:trPr>
        <w:tc>
          <w:tcPr>
            <w:tcW w:w="2430" w:type="dxa"/>
            <w:tcBorders>
              <w:top w:val="nil"/>
              <w:left w:val="nil"/>
              <w:bottom w:val="nil"/>
              <w:right w:val="nil"/>
            </w:tcBorders>
            <w:shd w:val="clear" w:color="auto" w:fill="auto"/>
            <w:noWrap/>
            <w:vAlign w:val="bottom"/>
            <w:hideMark/>
          </w:tcPr>
          <w:p w14:paraId="1A886CE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Dyrenium</w:t>
            </w:r>
            <w:proofErr w:type="spellEnd"/>
          </w:p>
        </w:tc>
        <w:tc>
          <w:tcPr>
            <w:tcW w:w="1332" w:type="dxa"/>
            <w:tcBorders>
              <w:top w:val="nil"/>
              <w:left w:val="nil"/>
              <w:bottom w:val="nil"/>
              <w:right w:val="nil"/>
            </w:tcBorders>
            <w:shd w:val="clear" w:color="auto" w:fill="auto"/>
            <w:noWrap/>
            <w:vAlign w:val="bottom"/>
            <w:hideMark/>
          </w:tcPr>
          <w:p w14:paraId="7EC7AFD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DB0B81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500EC85" w14:textId="77777777" w:rsidTr="001E04CC">
        <w:trPr>
          <w:trHeight w:val="20"/>
        </w:trPr>
        <w:tc>
          <w:tcPr>
            <w:tcW w:w="2430" w:type="dxa"/>
            <w:tcBorders>
              <w:top w:val="nil"/>
              <w:left w:val="nil"/>
              <w:bottom w:val="nil"/>
              <w:right w:val="nil"/>
            </w:tcBorders>
            <w:shd w:val="clear" w:color="auto" w:fill="auto"/>
            <w:noWrap/>
            <w:vAlign w:val="bottom"/>
            <w:hideMark/>
          </w:tcPr>
          <w:p w14:paraId="2437F83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Edarbi</w:t>
            </w:r>
            <w:proofErr w:type="spellEnd"/>
          </w:p>
        </w:tc>
        <w:tc>
          <w:tcPr>
            <w:tcW w:w="1332" w:type="dxa"/>
            <w:tcBorders>
              <w:top w:val="nil"/>
              <w:left w:val="nil"/>
              <w:bottom w:val="nil"/>
              <w:right w:val="nil"/>
            </w:tcBorders>
            <w:shd w:val="clear" w:color="auto" w:fill="auto"/>
            <w:noWrap/>
            <w:vAlign w:val="bottom"/>
            <w:hideMark/>
          </w:tcPr>
          <w:p w14:paraId="123B072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D8EA94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BD9F9C" w14:textId="77777777" w:rsidTr="001E04CC">
        <w:trPr>
          <w:trHeight w:val="20"/>
        </w:trPr>
        <w:tc>
          <w:tcPr>
            <w:tcW w:w="2430" w:type="dxa"/>
            <w:tcBorders>
              <w:top w:val="nil"/>
              <w:left w:val="nil"/>
              <w:bottom w:val="nil"/>
              <w:right w:val="nil"/>
            </w:tcBorders>
            <w:shd w:val="clear" w:color="auto" w:fill="auto"/>
            <w:noWrap/>
            <w:vAlign w:val="bottom"/>
            <w:hideMark/>
          </w:tcPr>
          <w:p w14:paraId="6F7EA18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Edarbyclor</w:t>
            </w:r>
            <w:proofErr w:type="spellEnd"/>
          </w:p>
        </w:tc>
        <w:tc>
          <w:tcPr>
            <w:tcW w:w="1332" w:type="dxa"/>
            <w:tcBorders>
              <w:top w:val="nil"/>
              <w:left w:val="nil"/>
              <w:bottom w:val="nil"/>
              <w:right w:val="nil"/>
            </w:tcBorders>
            <w:shd w:val="clear" w:color="auto" w:fill="auto"/>
            <w:noWrap/>
            <w:vAlign w:val="bottom"/>
            <w:hideMark/>
          </w:tcPr>
          <w:p w14:paraId="6807918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565FD9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E6AC5C" w14:textId="77777777" w:rsidTr="001E04CC">
        <w:trPr>
          <w:trHeight w:val="20"/>
        </w:trPr>
        <w:tc>
          <w:tcPr>
            <w:tcW w:w="2430" w:type="dxa"/>
            <w:tcBorders>
              <w:top w:val="nil"/>
              <w:left w:val="nil"/>
              <w:bottom w:val="nil"/>
              <w:right w:val="nil"/>
            </w:tcBorders>
            <w:shd w:val="clear" w:color="auto" w:fill="auto"/>
            <w:noWrap/>
            <w:vAlign w:val="bottom"/>
            <w:hideMark/>
          </w:tcPr>
          <w:p w14:paraId="69A0E7C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Edecrin</w:t>
            </w:r>
            <w:proofErr w:type="spellEnd"/>
          </w:p>
        </w:tc>
        <w:tc>
          <w:tcPr>
            <w:tcW w:w="1332" w:type="dxa"/>
            <w:tcBorders>
              <w:top w:val="nil"/>
              <w:left w:val="nil"/>
              <w:bottom w:val="nil"/>
              <w:right w:val="nil"/>
            </w:tcBorders>
            <w:shd w:val="clear" w:color="auto" w:fill="auto"/>
            <w:noWrap/>
            <w:vAlign w:val="bottom"/>
            <w:hideMark/>
          </w:tcPr>
          <w:p w14:paraId="5CE8C1C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85E5B6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71E8286" w14:textId="77777777" w:rsidTr="001E04CC">
        <w:trPr>
          <w:trHeight w:val="20"/>
        </w:trPr>
        <w:tc>
          <w:tcPr>
            <w:tcW w:w="2430" w:type="dxa"/>
            <w:tcBorders>
              <w:top w:val="nil"/>
              <w:left w:val="nil"/>
              <w:bottom w:val="nil"/>
              <w:right w:val="nil"/>
            </w:tcBorders>
            <w:shd w:val="clear" w:color="auto" w:fill="auto"/>
            <w:noWrap/>
            <w:vAlign w:val="bottom"/>
            <w:hideMark/>
          </w:tcPr>
          <w:p w14:paraId="5A6F02A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Edurant</w:t>
            </w:r>
            <w:proofErr w:type="spellEnd"/>
          </w:p>
        </w:tc>
        <w:tc>
          <w:tcPr>
            <w:tcW w:w="1332" w:type="dxa"/>
            <w:tcBorders>
              <w:top w:val="nil"/>
              <w:left w:val="nil"/>
              <w:bottom w:val="nil"/>
              <w:right w:val="nil"/>
            </w:tcBorders>
            <w:shd w:val="clear" w:color="auto" w:fill="auto"/>
            <w:noWrap/>
            <w:vAlign w:val="bottom"/>
            <w:hideMark/>
          </w:tcPr>
          <w:p w14:paraId="6FC5106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6138D3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4BC89D8" w14:textId="77777777" w:rsidTr="001E04CC">
        <w:trPr>
          <w:trHeight w:val="20"/>
        </w:trPr>
        <w:tc>
          <w:tcPr>
            <w:tcW w:w="2430" w:type="dxa"/>
            <w:tcBorders>
              <w:top w:val="nil"/>
              <w:left w:val="nil"/>
              <w:bottom w:val="nil"/>
              <w:right w:val="nil"/>
            </w:tcBorders>
            <w:shd w:val="clear" w:color="auto" w:fill="auto"/>
            <w:noWrap/>
            <w:vAlign w:val="bottom"/>
            <w:hideMark/>
          </w:tcPr>
          <w:p w14:paraId="18824A6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Effient</w:t>
            </w:r>
            <w:proofErr w:type="spellEnd"/>
          </w:p>
        </w:tc>
        <w:tc>
          <w:tcPr>
            <w:tcW w:w="1332" w:type="dxa"/>
            <w:tcBorders>
              <w:top w:val="nil"/>
              <w:left w:val="nil"/>
              <w:bottom w:val="nil"/>
              <w:right w:val="nil"/>
            </w:tcBorders>
            <w:shd w:val="clear" w:color="auto" w:fill="auto"/>
            <w:noWrap/>
            <w:vAlign w:val="bottom"/>
            <w:hideMark/>
          </w:tcPr>
          <w:p w14:paraId="596C8D8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347E84E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C925451" w14:textId="77777777" w:rsidTr="001E04CC">
        <w:trPr>
          <w:trHeight w:val="20"/>
        </w:trPr>
        <w:tc>
          <w:tcPr>
            <w:tcW w:w="2430" w:type="dxa"/>
            <w:tcBorders>
              <w:top w:val="nil"/>
              <w:left w:val="nil"/>
              <w:bottom w:val="nil"/>
              <w:right w:val="nil"/>
            </w:tcBorders>
            <w:shd w:val="clear" w:color="auto" w:fill="auto"/>
            <w:noWrap/>
            <w:vAlign w:val="bottom"/>
            <w:hideMark/>
          </w:tcPr>
          <w:p w14:paraId="0001291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Eliquis</w:t>
            </w:r>
          </w:p>
        </w:tc>
        <w:tc>
          <w:tcPr>
            <w:tcW w:w="1332" w:type="dxa"/>
            <w:tcBorders>
              <w:top w:val="nil"/>
              <w:left w:val="nil"/>
              <w:bottom w:val="nil"/>
              <w:right w:val="nil"/>
            </w:tcBorders>
            <w:shd w:val="clear" w:color="auto" w:fill="auto"/>
            <w:noWrap/>
            <w:vAlign w:val="bottom"/>
            <w:hideMark/>
          </w:tcPr>
          <w:p w14:paraId="479145E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2B3432E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7C33465" w14:textId="77777777" w:rsidTr="001E04CC">
        <w:trPr>
          <w:trHeight w:val="20"/>
        </w:trPr>
        <w:tc>
          <w:tcPr>
            <w:tcW w:w="2430" w:type="dxa"/>
            <w:tcBorders>
              <w:top w:val="nil"/>
              <w:left w:val="nil"/>
              <w:bottom w:val="nil"/>
              <w:right w:val="nil"/>
            </w:tcBorders>
            <w:shd w:val="clear" w:color="auto" w:fill="auto"/>
            <w:noWrap/>
            <w:vAlign w:val="bottom"/>
            <w:hideMark/>
          </w:tcPr>
          <w:p w14:paraId="64B94CF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Elixophyllin</w:t>
            </w:r>
            <w:proofErr w:type="spellEnd"/>
          </w:p>
        </w:tc>
        <w:tc>
          <w:tcPr>
            <w:tcW w:w="1332" w:type="dxa"/>
            <w:tcBorders>
              <w:top w:val="nil"/>
              <w:left w:val="nil"/>
              <w:bottom w:val="nil"/>
              <w:right w:val="nil"/>
            </w:tcBorders>
            <w:shd w:val="clear" w:color="auto" w:fill="auto"/>
            <w:noWrap/>
            <w:vAlign w:val="bottom"/>
            <w:hideMark/>
          </w:tcPr>
          <w:p w14:paraId="33CA79A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9A9879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E2D51F5" w14:textId="77777777" w:rsidTr="001E04CC">
        <w:trPr>
          <w:trHeight w:val="20"/>
        </w:trPr>
        <w:tc>
          <w:tcPr>
            <w:tcW w:w="2430" w:type="dxa"/>
            <w:tcBorders>
              <w:top w:val="nil"/>
              <w:left w:val="nil"/>
              <w:bottom w:val="nil"/>
              <w:right w:val="nil"/>
            </w:tcBorders>
            <w:shd w:val="clear" w:color="auto" w:fill="auto"/>
            <w:noWrap/>
            <w:vAlign w:val="bottom"/>
            <w:hideMark/>
          </w:tcPr>
          <w:p w14:paraId="16BDFBC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Emtriva</w:t>
            </w:r>
            <w:proofErr w:type="spellEnd"/>
          </w:p>
        </w:tc>
        <w:tc>
          <w:tcPr>
            <w:tcW w:w="1332" w:type="dxa"/>
            <w:tcBorders>
              <w:top w:val="nil"/>
              <w:left w:val="nil"/>
              <w:bottom w:val="nil"/>
              <w:right w:val="nil"/>
            </w:tcBorders>
            <w:shd w:val="clear" w:color="auto" w:fill="auto"/>
            <w:noWrap/>
            <w:vAlign w:val="bottom"/>
            <w:hideMark/>
          </w:tcPr>
          <w:p w14:paraId="1171E41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5947AFB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12C30E1" w14:textId="77777777" w:rsidTr="001E04CC">
        <w:trPr>
          <w:trHeight w:val="20"/>
        </w:trPr>
        <w:tc>
          <w:tcPr>
            <w:tcW w:w="2430" w:type="dxa"/>
            <w:tcBorders>
              <w:top w:val="nil"/>
              <w:left w:val="nil"/>
              <w:bottom w:val="nil"/>
              <w:right w:val="nil"/>
            </w:tcBorders>
            <w:shd w:val="clear" w:color="auto" w:fill="auto"/>
            <w:noWrap/>
            <w:vAlign w:val="bottom"/>
            <w:hideMark/>
          </w:tcPr>
          <w:p w14:paraId="1BADE04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enalapril</w:t>
            </w:r>
          </w:p>
        </w:tc>
        <w:tc>
          <w:tcPr>
            <w:tcW w:w="1332" w:type="dxa"/>
            <w:tcBorders>
              <w:top w:val="nil"/>
              <w:left w:val="nil"/>
              <w:bottom w:val="nil"/>
              <w:right w:val="nil"/>
            </w:tcBorders>
            <w:shd w:val="clear" w:color="auto" w:fill="auto"/>
            <w:noWrap/>
            <w:vAlign w:val="bottom"/>
            <w:hideMark/>
          </w:tcPr>
          <w:p w14:paraId="7880AC3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B5BF0A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3E9D671" w14:textId="77777777" w:rsidTr="001E04CC">
        <w:trPr>
          <w:trHeight w:val="20"/>
        </w:trPr>
        <w:tc>
          <w:tcPr>
            <w:tcW w:w="2430" w:type="dxa"/>
            <w:tcBorders>
              <w:top w:val="nil"/>
              <w:left w:val="nil"/>
              <w:bottom w:val="nil"/>
              <w:right w:val="nil"/>
            </w:tcBorders>
            <w:shd w:val="clear" w:color="auto" w:fill="auto"/>
            <w:noWrap/>
            <w:vAlign w:val="bottom"/>
            <w:hideMark/>
          </w:tcPr>
          <w:p w14:paraId="675BE51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enalapril-hydrochlorothiazide</w:t>
            </w:r>
          </w:p>
        </w:tc>
        <w:tc>
          <w:tcPr>
            <w:tcW w:w="1332" w:type="dxa"/>
            <w:tcBorders>
              <w:top w:val="nil"/>
              <w:left w:val="nil"/>
              <w:bottom w:val="nil"/>
              <w:right w:val="nil"/>
            </w:tcBorders>
            <w:shd w:val="clear" w:color="auto" w:fill="auto"/>
            <w:noWrap/>
            <w:vAlign w:val="bottom"/>
            <w:hideMark/>
          </w:tcPr>
          <w:p w14:paraId="4B710D9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B22DFA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BB44BC4" w14:textId="77777777" w:rsidTr="001E04CC">
        <w:trPr>
          <w:trHeight w:val="20"/>
        </w:trPr>
        <w:tc>
          <w:tcPr>
            <w:tcW w:w="2430" w:type="dxa"/>
            <w:tcBorders>
              <w:top w:val="nil"/>
              <w:left w:val="nil"/>
              <w:bottom w:val="nil"/>
              <w:right w:val="nil"/>
            </w:tcBorders>
            <w:shd w:val="clear" w:color="auto" w:fill="auto"/>
            <w:noWrap/>
            <w:vAlign w:val="bottom"/>
            <w:hideMark/>
          </w:tcPr>
          <w:p w14:paraId="0CD4745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enoxaparin</w:t>
            </w:r>
          </w:p>
        </w:tc>
        <w:tc>
          <w:tcPr>
            <w:tcW w:w="1332" w:type="dxa"/>
            <w:tcBorders>
              <w:top w:val="nil"/>
              <w:left w:val="nil"/>
              <w:bottom w:val="nil"/>
              <w:right w:val="nil"/>
            </w:tcBorders>
            <w:shd w:val="clear" w:color="auto" w:fill="auto"/>
            <w:noWrap/>
            <w:vAlign w:val="bottom"/>
            <w:hideMark/>
          </w:tcPr>
          <w:p w14:paraId="4D7ECA9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142E350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BD0152E" w14:textId="77777777" w:rsidTr="001E04CC">
        <w:trPr>
          <w:trHeight w:val="20"/>
        </w:trPr>
        <w:tc>
          <w:tcPr>
            <w:tcW w:w="2430" w:type="dxa"/>
            <w:tcBorders>
              <w:top w:val="nil"/>
              <w:left w:val="nil"/>
              <w:bottom w:val="nil"/>
              <w:right w:val="nil"/>
            </w:tcBorders>
            <w:shd w:val="clear" w:color="auto" w:fill="auto"/>
            <w:noWrap/>
            <w:vAlign w:val="bottom"/>
            <w:hideMark/>
          </w:tcPr>
          <w:p w14:paraId="5ECB875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Epaned</w:t>
            </w:r>
            <w:proofErr w:type="spellEnd"/>
            <w:r w:rsidRPr="001A20A2">
              <w:rPr>
                <w:rFonts w:ascii="Calibri" w:eastAsia="Times New Roman" w:hAnsi="Calibri" w:cs="Times New Roman"/>
                <w:color w:val="000000"/>
                <w:sz w:val="16"/>
                <w:szCs w:val="16"/>
              </w:rPr>
              <w:t xml:space="preserve"> E</w:t>
            </w:r>
          </w:p>
        </w:tc>
        <w:tc>
          <w:tcPr>
            <w:tcW w:w="1332" w:type="dxa"/>
            <w:tcBorders>
              <w:top w:val="nil"/>
              <w:left w:val="nil"/>
              <w:bottom w:val="nil"/>
              <w:right w:val="nil"/>
            </w:tcBorders>
            <w:shd w:val="clear" w:color="auto" w:fill="auto"/>
            <w:noWrap/>
            <w:vAlign w:val="bottom"/>
            <w:hideMark/>
          </w:tcPr>
          <w:p w14:paraId="4113754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2874E3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3AA37A0" w14:textId="77777777" w:rsidTr="001E04CC">
        <w:trPr>
          <w:trHeight w:val="20"/>
        </w:trPr>
        <w:tc>
          <w:tcPr>
            <w:tcW w:w="2430" w:type="dxa"/>
            <w:tcBorders>
              <w:top w:val="nil"/>
              <w:left w:val="nil"/>
              <w:bottom w:val="nil"/>
              <w:right w:val="nil"/>
            </w:tcBorders>
            <w:shd w:val="clear" w:color="auto" w:fill="auto"/>
            <w:noWrap/>
            <w:vAlign w:val="bottom"/>
            <w:hideMark/>
          </w:tcPr>
          <w:p w14:paraId="38C95BF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Epivir</w:t>
            </w:r>
            <w:proofErr w:type="spellEnd"/>
          </w:p>
        </w:tc>
        <w:tc>
          <w:tcPr>
            <w:tcW w:w="1332" w:type="dxa"/>
            <w:tcBorders>
              <w:top w:val="nil"/>
              <w:left w:val="nil"/>
              <w:bottom w:val="nil"/>
              <w:right w:val="nil"/>
            </w:tcBorders>
            <w:shd w:val="clear" w:color="auto" w:fill="auto"/>
            <w:noWrap/>
            <w:vAlign w:val="bottom"/>
            <w:hideMark/>
          </w:tcPr>
          <w:p w14:paraId="1FD97C1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57AD0D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F811ABC" w14:textId="77777777" w:rsidTr="001E04CC">
        <w:trPr>
          <w:trHeight w:val="20"/>
        </w:trPr>
        <w:tc>
          <w:tcPr>
            <w:tcW w:w="2430" w:type="dxa"/>
            <w:tcBorders>
              <w:top w:val="nil"/>
              <w:left w:val="nil"/>
              <w:bottom w:val="nil"/>
              <w:right w:val="nil"/>
            </w:tcBorders>
            <w:shd w:val="clear" w:color="auto" w:fill="auto"/>
            <w:noWrap/>
            <w:vAlign w:val="bottom"/>
            <w:hideMark/>
          </w:tcPr>
          <w:p w14:paraId="3424AA1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eplerenone</w:t>
            </w:r>
          </w:p>
        </w:tc>
        <w:tc>
          <w:tcPr>
            <w:tcW w:w="1332" w:type="dxa"/>
            <w:tcBorders>
              <w:top w:val="nil"/>
              <w:left w:val="nil"/>
              <w:bottom w:val="nil"/>
              <w:right w:val="nil"/>
            </w:tcBorders>
            <w:shd w:val="clear" w:color="auto" w:fill="auto"/>
            <w:noWrap/>
            <w:vAlign w:val="bottom"/>
            <w:hideMark/>
          </w:tcPr>
          <w:p w14:paraId="7D9E6B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17CE59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BD3E1DF" w14:textId="77777777" w:rsidTr="001E04CC">
        <w:trPr>
          <w:trHeight w:val="20"/>
        </w:trPr>
        <w:tc>
          <w:tcPr>
            <w:tcW w:w="2430" w:type="dxa"/>
            <w:tcBorders>
              <w:top w:val="nil"/>
              <w:left w:val="nil"/>
              <w:bottom w:val="nil"/>
              <w:right w:val="nil"/>
            </w:tcBorders>
            <w:shd w:val="clear" w:color="auto" w:fill="auto"/>
            <w:noWrap/>
            <w:vAlign w:val="bottom"/>
            <w:hideMark/>
          </w:tcPr>
          <w:p w14:paraId="46EB9DA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eprosartan</w:t>
            </w:r>
            <w:proofErr w:type="spellEnd"/>
          </w:p>
        </w:tc>
        <w:tc>
          <w:tcPr>
            <w:tcW w:w="1332" w:type="dxa"/>
            <w:tcBorders>
              <w:top w:val="nil"/>
              <w:left w:val="nil"/>
              <w:bottom w:val="nil"/>
              <w:right w:val="nil"/>
            </w:tcBorders>
            <w:shd w:val="clear" w:color="auto" w:fill="auto"/>
            <w:noWrap/>
            <w:vAlign w:val="bottom"/>
            <w:hideMark/>
          </w:tcPr>
          <w:p w14:paraId="580CC79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D51F29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ACD8FF4" w14:textId="77777777" w:rsidTr="001E04CC">
        <w:trPr>
          <w:trHeight w:val="20"/>
        </w:trPr>
        <w:tc>
          <w:tcPr>
            <w:tcW w:w="2430" w:type="dxa"/>
            <w:tcBorders>
              <w:top w:val="nil"/>
              <w:left w:val="nil"/>
              <w:bottom w:val="nil"/>
              <w:right w:val="nil"/>
            </w:tcBorders>
            <w:shd w:val="clear" w:color="auto" w:fill="auto"/>
            <w:noWrap/>
            <w:vAlign w:val="bottom"/>
            <w:hideMark/>
          </w:tcPr>
          <w:p w14:paraId="1A8CF43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Epzicom</w:t>
            </w:r>
            <w:proofErr w:type="spellEnd"/>
          </w:p>
        </w:tc>
        <w:tc>
          <w:tcPr>
            <w:tcW w:w="1332" w:type="dxa"/>
            <w:tcBorders>
              <w:top w:val="nil"/>
              <w:left w:val="nil"/>
              <w:bottom w:val="nil"/>
              <w:right w:val="nil"/>
            </w:tcBorders>
            <w:shd w:val="clear" w:color="auto" w:fill="auto"/>
            <w:noWrap/>
            <w:vAlign w:val="bottom"/>
            <w:hideMark/>
          </w:tcPr>
          <w:p w14:paraId="2C81B16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067FAAF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337F40B" w14:textId="77777777" w:rsidTr="001E04CC">
        <w:trPr>
          <w:trHeight w:val="20"/>
        </w:trPr>
        <w:tc>
          <w:tcPr>
            <w:tcW w:w="2430" w:type="dxa"/>
            <w:tcBorders>
              <w:top w:val="nil"/>
              <w:left w:val="nil"/>
              <w:bottom w:val="nil"/>
              <w:right w:val="nil"/>
            </w:tcBorders>
            <w:shd w:val="clear" w:color="auto" w:fill="auto"/>
            <w:noWrap/>
            <w:vAlign w:val="bottom"/>
            <w:hideMark/>
          </w:tcPr>
          <w:p w14:paraId="6B186A8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etidronate</w:t>
            </w:r>
          </w:p>
        </w:tc>
        <w:tc>
          <w:tcPr>
            <w:tcW w:w="1332" w:type="dxa"/>
            <w:tcBorders>
              <w:top w:val="nil"/>
              <w:left w:val="nil"/>
              <w:bottom w:val="nil"/>
              <w:right w:val="nil"/>
            </w:tcBorders>
            <w:shd w:val="clear" w:color="auto" w:fill="auto"/>
            <w:noWrap/>
            <w:vAlign w:val="bottom"/>
            <w:hideMark/>
          </w:tcPr>
          <w:p w14:paraId="22BB32E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029D9A6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EDC559D" w14:textId="77777777" w:rsidTr="001E04CC">
        <w:trPr>
          <w:trHeight w:val="20"/>
        </w:trPr>
        <w:tc>
          <w:tcPr>
            <w:tcW w:w="2430" w:type="dxa"/>
            <w:tcBorders>
              <w:top w:val="nil"/>
              <w:left w:val="nil"/>
              <w:bottom w:val="nil"/>
              <w:right w:val="nil"/>
            </w:tcBorders>
            <w:shd w:val="clear" w:color="auto" w:fill="auto"/>
            <w:noWrap/>
            <w:vAlign w:val="bottom"/>
            <w:hideMark/>
          </w:tcPr>
          <w:p w14:paraId="449A396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Evista</w:t>
            </w:r>
            <w:proofErr w:type="spellEnd"/>
          </w:p>
        </w:tc>
        <w:tc>
          <w:tcPr>
            <w:tcW w:w="1332" w:type="dxa"/>
            <w:tcBorders>
              <w:top w:val="nil"/>
              <w:left w:val="nil"/>
              <w:bottom w:val="nil"/>
              <w:right w:val="nil"/>
            </w:tcBorders>
            <w:shd w:val="clear" w:color="auto" w:fill="auto"/>
            <w:noWrap/>
            <w:vAlign w:val="bottom"/>
            <w:hideMark/>
          </w:tcPr>
          <w:p w14:paraId="6B998C2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7CA346B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B75716F" w14:textId="77777777" w:rsidTr="001E04CC">
        <w:trPr>
          <w:trHeight w:val="20"/>
        </w:trPr>
        <w:tc>
          <w:tcPr>
            <w:tcW w:w="2430" w:type="dxa"/>
            <w:tcBorders>
              <w:top w:val="nil"/>
              <w:left w:val="nil"/>
              <w:bottom w:val="nil"/>
              <w:right w:val="nil"/>
            </w:tcBorders>
            <w:shd w:val="clear" w:color="auto" w:fill="auto"/>
            <w:noWrap/>
            <w:vAlign w:val="bottom"/>
            <w:hideMark/>
          </w:tcPr>
          <w:p w14:paraId="05CD230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exemestane</w:t>
            </w:r>
          </w:p>
        </w:tc>
        <w:tc>
          <w:tcPr>
            <w:tcW w:w="1332" w:type="dxa"/>
            <w:tcBorders>
              <w:top w:val="nil"/>
              <w:left w:val="nil"/>
              <w:bottom w:val="nil"/>
              <w:right w:val="nil"/>
            </w:tcBorders>
            <w:shd w:val="clear" w:color="auto" w:fill="auto"/>
            <w:noWrap/>
            <w:vAlign w:val="bottom"/>
            <w:hideMark/>
          </w:tcPr>
          <w:p w14:paraId="29C4B55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7A6D3AC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DE62834" w14:textId="77777777" w:rsidTr="001E04CC">
        <w:trPr>
          <w:trHeight w:val="20"/>
        </w:trPr>
        <w:tc>
          <w:tcPr>
            <w:tcW w:w="2430" w:type="dxa"/>
            <w:tcBorders>
              <w:top w:val="nil"/>
              <w:left w:val="nil"/>
              <w:bottom w:val="nil"/>
              <w:right w:val="nil"/>
            </w:tcBorders>
            <w:shd w:val="clear" w:color="auto" w:fill="auto"/>
            <w:noWrap/>
            <w:vAlign w:val="bottom"/>
            <w:hideMark/>
          </w:tcPr>
          <w:p w14:paraId="738D9A8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Exforge</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A6EC3E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65F37A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7E19FD2" w14:textId="77777777" w:rsidTr="001E04CC">
        <w:trPr>
          <w:trHeight w:val="20"/>
        </w:trPr>
        <w:tc>
          <w:tcPr>
            <w:tcW w:w="2430" w:type="dxa"/>
            <w:tcBorders>
              <w:top w:val="nil"/>
              <w:left w:val="nil"/>
              <w:bottom w:val="nil"/>
              <w:right w:val="nil"/>
            </w:tcBorders>
            <w:shd w:val="clear" w:color="auto" w:fill="auto"/>
            <w:noWrap/>
            <w:vAlign w:val="bottom"/>
            <w:hideMark/>
          </w:tcPr>
          <w:p w14:paraId="71A1315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Exforge</w:t>
            </w:r>
            <w:proofErr w:type="spellEnd"/>
            <w:r w:rsidRPr="001A20A2">
              <w:rPr>
                <w:rFonts w:ascii="Calibri" w:eastAsia="Times New Roman" w:hAnsi="Calibri" w:cs="Times New Roman"/>
                <w:color w:val="000000"/>
                <w:sz w:val="16"/>
                <w:szCs w:val="16"/>
              </w:rPr>
              <w:t xml:space="preserve"> HCT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4FF00B9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6F95FE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7426EFA" w14:textId="77777777" w:rsidTr="001E04CC">
        <w:trPr>
          <w:trHeight w:val="20"/>
        </w:trPr>
        <w:tc>
          <w:tcPr>
            <w:tcW w:w="2430" w:type="dxa"/>
            <w:tcBorders>
              <w:top w:val="nil"/>
              <w:left w:val="nil"/>
              <w:bottom w:val="nil"/>
              <w:right w:val="nil"/>
            </w:tcBorders>
            <w:shd w:val="clear" w:color="auto" w:fill="auto"/>
            <w:noWrap/>
            <w:vAlign w:val="bottom"/>
            <w:hideMark/>
          </w:tcPr>
          <w:p w14:paraId="55BD393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Extavia</w:t>
            </w:r>
            <w:proofErr w:type="spellEnd"/>
            <w:r w:rsidRPr="001A20A2">
              <w:rPr>
                <w:rFonts w:ascii="Calibri" w:eastAsia="Times New Roman" w:hAnsi="Calibri" w:cs="Times New Roman"/>
                <w:color w:val="000000"/>
                <w:sz w:val="16"/>
                <w:szCs w:val="16"/>
              </w:rPr>
              <w:t xml:space="preserve"> E</w:t>
            </w:r>
          </w:p>
        </w:tc>
        <w:tc>
          <w:tcPr>
            <w:tcW w:w="1332" w:type="dxa"/>
            <w:tcBorders>
              <w:top w:val="nil"/>
              <w:left w:val="nil"/>
              <w:bottom w:val="nil"/>
              <w:right w:val="nil"/>
            </w:tcBorders>
            <w:shd w:val="clear" w:color="auto" w:fill="auto"/>
            <w:noWrap/>
            <w:vAlign w:val="bottom"/>
            <w:hideMark/>
          </w:tcPr>
          <w:p w14:paraId="5749E653" w14:textId="48EA55D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4915E01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8FBAD0C" w14:textId="77777777" w:rsidTr="001E04CC">
        <w:trPr>
          <w:trHeight w:val="20"/>
        </w:trPr>
        <w:tc>
          <w:tcPr>
            <w:tcW w:w="2430" w:type="dxa"/>
            <w:tcBorders>
              <w:top w:val="nil"/>
              <w:left w:val="nil"/>
              <w:bottom w:val="nil"/>
              <w:right w:val="nil"/>
            </w:tcBorders>
            <w:shd w:val="clear" w:color="auto" w:fill="auto"/>
            <w:noWrap/>
            <w:vAlign w:val="bottom"/>
            <w:hideMark/>
          </w:tcPr>
          <w:p w14:paraId="7AA8557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Fanapt</w:t>
            </w:r>
            <w:proofErr w:type="spellEnd"/>
          </w:p>
        </w:tc>
        <w:tc>
          <w:tcPr>
            <w:tcW w:w="1332" w:type="dxa"/>
            <w:tcBorders>
              <w:top w:val="nil"/>
              <w:left w:val="nil"/>
              <w:bottom w:val="nil"/>
              <w:right w:val="nil"/>
            </w:tcBorders>
            <w:shd w:val="clear" w:color="auto" w:fill="auto"/>
            <w:noWrap/>
            <w:vAlign w:val="bottom"/>
            <w:hideMark/>
          </w:tcPr>
          <w:p w14:paraId="26E4B97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2FABB2E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B2BDF1E" w14:textId="77777777" w:rsidTr="001E04CC">
        <w:trPr>
          <w:trHeight w:val="20"/>
        </w:trPr>
        <w:tc>
          <w:tcPr>
            <w:tcW w:w="2430" w:type="dxa"/>
            <w:tcBorders>
              <w:top w:val="nil"/>
              <w:left w:val="nil"/>
              <w:bottom w:val="nil"/>
              <w:right w:val="nil"/>
            </w:tcBorders>
            <w:shd w:val="clear" w:color="auto" w:fill="auto"/>
            <w:noWrap/>
            <w:vAlign w:val="bottom"/>
            <w:hideMark/>
          </w:tcPr>
          <w:p w14:paraId="1A2A90B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Fareston</w:t>
            </w:r>
            <w:proofErr w:type="spellEnd"/>
          </w:p>
        </w:tc>
        <w:tc>
          <w:tcPr>
            <w:tcW w:w="1332" w:type="dxa"/>
            <w:tcBorders>
              <w:top w:val="nil"/>
              <w:left w:val="nil"/>
              <w:bottom w:val="nil"/>
              <w:right w:val="nil"/>
            </w:tcBorders>
            <w:shd w:val="clear" w:color="auto" w:fill="auto"/>
            <w:noWrap/>
            <w:vAlign w:val="bottom"/>
            <w:hideMark/>
          </w:tcPr>
          <w:p w14:paraId="6DFF3AE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7384DD5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77450EA" w14:textId="77777777" w:rsidTr="001E04CC">
        <w:trPr>
          <w:trHeight w:val="20"/>
        </w:trPr>
        <w:tc>
          <w:tcPr>
            <w:tcW w:w="2430" w:type="dxa"/>
            <w:tcBorders>
              <w:top w:val="nil"/>
              <w:left w:val="nil"/>
              <w:bottom w:val="nil"/>
              <w:right w:val="nil"/>
            </w:tcBorders>
            <w:shd w:val="clear" w:color="auto" w:fill="auto"/>
            <w:noWrap/>
            <w:vAlign w:val="bottom"/>
            <w:hideMark/>
          </w:tcPr>
          <w:p w14:paraId="6D1B689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Farxiga</w:t>
            </w:r>
            <w:proofErr w:type="spellEnd"/>
          </w:p>
        </w:tc>
        <w:tc>
          <w:tcPr>
            <w:tcW w:w="1332" w:type="dxa"/>
            <w:tcBorders>
              <w:top w:val="nil"/>
              <w:left w:val="nil"/>
              <w:bottom w:val="nil"/>
              <w:right w:val="nil"/>
            </w:tcBorders>
            <w:shd w:val="clear" w:color="auto" w:fill="auto"/>
            <w:noWrap/>
            <w:vAlign w:val="bottom"/>
            <w:hideMark/>
          </w:tcPr>
          <w:p w14:paraId="4F899D16" w14:textId="617904FC"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D5C429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7EB5BFA" w14:textId="77777777" w:rsidTr="001E04CC">
        <w:trPr>
          <w:trHeight w:val="20"/>
        </w:trPr>
        <w:tc>
          <w:tcPr>
            <w:tcW w:w="2430" w:type="dxa"/>
            <w:tcBorders>
              <w:top w:val="nil"/>
              <w:left w:val="nil"/>
              <w:bottom w:val="nil"/>
              <w:right w:val="nil"/>
            </w:tcBorders>
            <w:shd w:val="clear" w:color="auto" w:fill="auto"/>
            <w:noWrap/>
            <w:vAlign w:val="bottom"/>
            <w:hideMark/>
          </w:tcPr>
          <w:p w14:paraId="1450C66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FazaClo</w:t>
            </w:r>
            <w:proofErr w:type="spellEnd"/>
          </w:p>
        </w:tc>
        <w:tc>
          <w:tcPr>
            <w:tcW w:w="1332" w:type="dxa"/>
            <w:tcBorders>
              <w:top w:val="nil"/>
              <w:left w:val="nil"/>
              <w:bottom w:val="nil"/>
              <w:right w:val="nil"/>
            </w:tcBorders>
            <w:shd w:val="clear" w:color="auto" w:fill="auto"/>
            <w:noWrap/>
            <w:vAlign w:val="bottom"/>
            <w:hideMark/>
          </w:tcPr>
          <w:p w14:paraId="79D803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6EF92AC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A8E099A" w14:textId="77777777" w:rsidTr="001E04CC">
        <w:trPr>
          <w:trHeight w:val="20"/>
        </w:trPr>
        <w:tc>
          <w:tcPr>
            <w:tcW w:w="2430" w:type="dxa"/>
            <w:tcBorders>
              <w:top w:val="nil"/>
              <w:left w:val="nil"/>
              <w:bottom w:val="nil"/>
              <w:right w:val="nil"/>
            </w:tcBorders>
            <w:shd w:val="clear" w:color="auto" w:fill="auto"/>
            <w:noWrap/>
            <w:vAlign w:val="bottom"/>
            <w:hideMark/>
          </w:tcPr>
          <w:p w14:paraId="4B34628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felodipine ER</w:t>
            </w:r>
          </w:p>
        </w:tc>
        <w:tc>
          <w:tcPr>
            <w:tcW w:w="1332" w:type="dxa"/>
            <w:tcBorders>
              <w:top w:val="nil"/>
              <w:left w:val="nil"/>
              <w:bottom w:val="nil"/>
              <w:right w:val="nil"/>
            </w:tcBorders>
            <w:shd w:val="clear" w:color="auto" w:fill="auto"/>
            <w:noWrap/>
            <w:vAlign w:val="bottom"/>
            <w:hideMark/>
          </w:tcPr>
          <w:p w14:paraId="33B3E32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71E256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DB423D" w14:textId="77777777" w:rsidTr="001E04CC">
        <w:trPr>
          <w:trHeight w:val="20"/>
        </w:trPr>
        <w:tc>
          <w:tcPr>
            <w:tcW w:w="2430" w:type="dxa"/>
            <w:tcBorders>
              <w:top w:val="nil"/>
              <w:left w:val="nil"/>
              <w:bottom w:val="nil"/>
              <w:right w:val="nil"/>
            </w:tcBorders>
            <w:shd w:val="clear" w:color="auto" w:fill="auto"/>
            <w:noWrap/>
            <w:vAlign w:val="bottom"/>
            <w:hideMark/>
          </w:tcPr>
          <w:p w14:paraId="36135EB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Femara</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20248EF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358E157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A5F3FD" w14:textId="77777777" w:rsidTr="001E04CC">
        <w:trPr>
          <w:trHeight w:val="20"/>
        </w:trPr>
        <w:tc>
          <w:tcPr>
            <w:tcW w:w="2430" w:type="dxa"/>
            <w:tcBorders>
              <w:top w:val="nil"/>
              <w:left w:val="nil"/>
              <w:bottom w:val="nil"/>
              <w:right w:val="nil"/>
            </w:tcBorders>
            <w:shd w:val="clear" w:color="auto" w:fill="auto"/>
            <w:noWrap/>
            <w:vAlign w:val="bottom"/>
            <w:hideMark/>
          </w:tcPr>
          <w:p w14:paraId="4488F23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fenofibrate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4C193A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1496B4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9FD8254" w14:textId="77777777" w:rsidTr="001E04CC">
        <w:trPr>
          <w:trHeight w:val="20"/>
        </w:trPr>
        <w:tc>
          <w:tcPr>
            <w:tcW w:w="2430" w:type="dxa"/>
            <w:tcBorders>
              <w:top w:val="nil"/>
              <w:left w:val="nil"/>
              <w:bottom w:val="nil"/>
              <w:right w:val="nil"/>
            </w:tcBorders>
            <w:shd w:val="clear" w:color="auto" w:fill="auto"/>
            <w:noWrap/>
            <w:vAlign w:val="bottom"/>
            <w:hideMark/>
          </w:tcPr>
          <w:p w14:paraId="318DFF4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fenofibric</w:t>
            </w:r>
            <w:proofErr w:type="spellEnd"/>
            <w:r w:rsidRPr="001A20A2">
              <w:rPr>
                <w:rFonts w:ascii="Calibri" w:eastAsia="Times New Roman" w:hAnsi="Calibri" w:cs="Times New Roman"/>
                <w:color w:val="000000"/>
                <w:sz w:val="16"/>
                <w:szCs w:val="16"/>
              </w:rPr>
              <w:t xml:space="preserve"> acid</w:t>
            </w:r>
          </w:p>
        </w:tc>
        <w:tc>
          <w:tcPr>
            <w:tcW w:w="1332" w:type="dxa"/>
            <w:tcBorders>
              <w:top w:val="nil"/>
              <w:left w:val="nil"/>
              <w:bottom w:val="nil"/>
              <w:right w:val="nil"/>
            </w:tcBorders>
            <w:shd w:val="clear" w:color="auto" w:fill="auto"/>
            <w:noWrap/>
            <w:vAlign w:val="bottom"/>
            <w:hideMark/>
          </w:tcPr>
          <w:p w14:paraId="2F876D3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975745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DC05DE" w14:textId="77777777" w:rsidTr="001E04CC">
        <w:trPr>
          <w:trHeight w:val="20"/>
        </w:trPr>
        <w:tc>
          <w:tcPr>
            <w:tcW w:w="2430" w:type="dxa"/>
            <w:tcBorders>
              <w:top w:val="nil"/>
              <w:left w:val="nil"/>
              <w:bottom w:val="nil"/>
              <w:right w:val="nil"/>
            </w:tcBorders>
            <w:shd w:val="clear" w:color="auto" w:fill="auto"/>
            <w:noWrap/>
            <w:vAlign w:val="bottom"/>
            <w:hideMark/>
          </w:tcPr>
          <w:p w14:paraId="7D7D9E1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Fenoglide</w:t>
            </w:r>
            <w:proofErr w:type="spellEnd"/>
          </w:p>
        </w:tc>
        <w:tc>
          <w:tcPr>
            <w:tcW w:w="1332" w:type="dxa"/>
            <w:tcBorders>
              <w:top w:val="nil"/>
              <w:left w:val="nil"/>
              <w:bottom w:val="nil"/>
              <w:right w:val="nil"/>
            </w:tcBorders>
            <w:shd w:val="clear" w:color="auto" w:fill="auto"/>
            <w:noWrap/>
            <w:vAlign w:val="bottom"/>
            <w:hideMark/>
          </w:tcPr>
          <w:p w14:paraId="5725CBF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600DA76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812FA4C" w14:textId="77777777" w:rsidTr="001E04CC">
        <w:trPr>
          <w:trHeight w:val="20"/>
        </w:trPr>
        <w:tc>
          <w:tcPr>
            <w:tcW w:w="2430" w:type="dxa"/>
            <w:tcBorders>
              <w:top w:val="nil"/>
              <w:left w:val="nil"/>
              <w:bottom w:val="nil"/>
              <w:right w:val="nil"/>
            </w:tcBorders>
            <w:shd w:val="clear" w:color="auto" w:fill="auto"/>
            <w:noWrap/>
            <w:vAlign w:val="bottom"/>
            <w:hideMark/>
          </w:tcPr>
          <w:p w14:paraId="41D9DB4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Fibricor</w:t>
            </w:r>
            <w:proofErr w:type="spellEnd"/>
          </w:p>
        </w:tc>
        <w:tc>
          <w:tcPr>
            <w:tcW w:w="1332" w:type="dxa"/>
            <w:tcBorders>
              <w:top w:val="nil"/>
              <w:left w:val="nil"/>
              <w:bottom w:val="nil"/>
              <w:right w:val="nil"/>
            </w:tcBorders>
            <w:shd w:val="clear" w:color="auto" w:fill="auto"/>
            <w:noWrap/>
            <w:vAlign w:val="bottom"/>
            <w:hideMark/>
          </w:tcPr>
          <w:p w14:paraId="5DBD430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40C0308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AB0046D" w14:textId="77777777" w:rsidTr="001E04CC">
        <w:trPr>
          <w:trHeight w:val="20"/>
        </w:trPr>
        <w:tc>
          <w:tcPr>
            <w:tcW w:w="2430" w:type="dxa"/>
            <w:tcBorders>
              <w:top w:val="nil"/>
              <w:left w:val="nil"/>
              <w:bottom w:val="nil"/>
              <w:right w:val="nil"/>
            </w:tcBorders>
            <w:shd w:val="clear" w:color="auto" w:fill="auto"/>
            <w:noWrap/>
            <w:vAlign w:val="bottom"/>
            <w:hideMark/>
          </w:tcPr>
          <w:p w14:paraId="7B18F91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Flovent </w:t>
            </w:r>
            <w:proofErr w:type="spellStart"/>
            <w:r w:rsidRPr="001A20A2">
              <w:rPr>
                <w:rFonts w:ascii="Calibri" w:eastAsia="Times New Roman" w:hAnsi="Calibri" w:cs="Times New Roman"/>
                <w:color w:val="000000"/>
                <w:sz w:val="16"/>
                <w:szCs w:val="16"/>
              </w:rPr>
              <w:t>Diskus</w:t>
            </w:r>
            <w:proofErr w:type="spellEnd"/>
          </w:p>
        </w:tc>
        <w:tc>
          <w:tcPr>
            <w:tcW w:w="1332" w:type="dxa"/>
            <w:tcBorders>
              <w:top w:val="nil"/>
              <w:left w:val="nil"/>
              <w:bottom w:val="nil"/>
              <w:right w:val="nil"/>
            </w:tcBorders>
            <w:shd w:val="clear" w:color="auto" w:fill="auto"/>
            <w:noWrap/>
            <w:vAlign w:val="bottom"/>
            <w:hideMark/>
          </w:tcPr>
          <w:p w14:paraId="0819E6F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4BF51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303A3C0" w14:textId="77777777" w:rsidTr="001E04CC">
        <w:trPr>
          <w:trHeight w:val="20"/>
        </w:trPr>
        <w:tc>
          <w:tcPr>
            <w:tcW w:w="2430" w:type="dxa"/>
            <w:tcBorders>
              <w:top w:val="nil"/>
              <w:left w:val="nil"/>
              <w:bottom w:val="nil"/>
              <w:right w:val="nil"/>
            </w:tcBorders>
            <w:shd w:val="clear" w:color="auto" w:fill="auto"/>
            <w:noWrap/>
            <w:vAlign w:val="bottom"/>
            <w:hideMark/>
          </w:tcPr>
          <w:p w14:paraId="6DA67C9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Flovent HFA</w:t>
            </w:r>
          </w:p>
        </w:tc>
        <w:tc>
          <w:tcPr>
            <w:tcW w:w="1332" w:type="dxa"/>
            <w:tcBorders>
              <w:top w:val="nil"/>
              <w:left w:val="nil"/>
              <w:bottom w:val="nil"/>
              <w:right w:val="nil"/>
            </w:tcBorders>
            <w:shd w:val="clear" w:color="auto" w:fill="auto"/>
            <w:noWrap/>
            <w:vAlign w:val="bottom"/>
            <w:hideMark/>
          </w:tcPr>
          <w:p w14:paraId="2707D45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26A4C7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0352999" w14:textId="77777777" w:rsidTr="001E04CC">
        <w:trPr>
          <w:trHeight w:val="20"/>
        </w:trPr>
        <w:tc>
          <w:tcPr>
            <w:tcW w:w="2430" w:type="dxa"/>
            <w:tcBorders>
              <w:top w:val="nil"/>
              <w:left w:val="nil"/>
              <w:bottom w:val="nil"/>
              <w:right w:val="nil"/>
            </w:tcBorders>
            <w:shd w:val="clear" w:color="auto" w:fill="auto"/>
            <w:noWrap/>
            <w:vAlign w:val="bottom"/>
            <w:hideMark/>
          </w:tcPr>
          <w:p w14:paraId="6DAE042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fluphenazine</w:t>
            </w:r>
          </w:p>
        </w:tc>
        <w:tc>
          <w:tcPr>
            <w:tcW w:w="1332" w:type="dxa"/>
            <w:tcBorders>
              <w:top w:val="nil"/>
              <w:left w:val="nil"/>
              <w:bottom w:val="nil"/>
              <w:right w:val="nil"/>
            </w:tcBorders>
            <w:shd w:val="clear" w:color="auto" w:fill="auto"/>
            <w:noWrap/>
            <w:vAlign w:val="bottom"/>
            <w:hideMark/>
          </w:tcPr>
          <w:p w14:paraId="47E1E1F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3FA6E1E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3C84453" w14:textId="77777777" w:rsidTr="001E04CC">
        <w:trPr>
          <w:trHeight w:val="20"/>
        </w:trPr>
        <w:tc>
          <w:tcPr>
            <w:tcW w:w="2430" w:type="dxa"/>
            <w:tcBorders>
              <w:top w:val="nil"/>
              <w:left w:val="nil"/>
              <w:bottom w:val="nil"/>
              <w:right w:val="nil"/>
            </w:tcBorders>
            <w:shd w:val="clear" w:color="auto" w:fill="auto"/>
            <w:noWrap/>
            <w:vAlign w:val="bottom"/>
            <w:hideMark/>
          </w:tcPr>
          <w:p w14:paraId="12897B6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fluvastatin</w:t>
            </w:r>
            <w:proofErr w:type="spellEnd"/>
          </w:p>
        </w:tc>
        <w:tc>
          <w:tcPr>
            <w:tcW w:w="1332" w:type="dxa"/>
            <w:tcBorders>
              <w:top w:val="nil"/>
              <w:left w:val="nil"/>
              <w:bottom w:val="nil"/>
              <w:right w:val="nil"/>
            </w:tcBorders>
            <w:shd w:val="clear" w:color="auto" w:fill="auto"/>
            <w:noWrap/>
            <w:vAlign w:val="bottom"/>
            <w:hideMark/>
          </w:tcPr>
          <w:p w14:paraId="3F50917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10EA338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7A5B5B5" w14:textId="77777777" w:rsidTr="001E04CC">
        <w:trPr>
          <w:trHeight w:val="20"/>
        </w:trPr>
        <w:tc>
          <w:tcPr>
            <w:tcW w:w="2430" w:type="dxa"/>
            <w:tcBorders>
              <w:top w:val="nil"/>
              <w:left w:val="nil"/>
              <w:bottom w:val="nil"/>
              <w:right w:val="nil"/>
            </w:tcBorders>
            <w:shd w:val="clear" w:color="auto" w:fill="auto"/>
            <w:noWrap/>
            <w:vAlign w:val="bottom"/>
            <w:hideMark/>
          </w:tcPr>
          <w:p w14:paraId="34F1DC0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fondaparinux</w:t>
            </w:r>
          </w:p>
        </w:tc>
        <w:tc>
          <w:tcPr>
            <w:tcW w:w="1332" w:type="dxa"/>
            <w:tcBorders>
              <w:top w:val="nil"/>
              <w:left w:val="nil"/>
              <w:bottom w:val="nil"/>
              <w:right w:val="nil"/>
            </w:tcBorders>
            <w:shd w:val="clear" w:color="auto" w:fill="auto"/>
            <w:noWrap/>
            <w:vAlign w:val="bottom"/>
            <w:hideMark/>
          </w:tcPr>
          <w:p w14:paraId="3D93A58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64421ED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96E6714" w14:textId="77777777" w:rsidTr="001E04CC">
        <w:trPr>
          <w:trHeight w:val="20"/>
        </w:trPr>
        <w:tc>
          <w:tcPr>
            <w:tcW w:w="2430" w:type="dxa"/>
            <w:tcBorders>
              <w:top w:val="nil"/>
              <w:left w:val="nil"/>
              <w:bottom w:val="nil"/>
              <w:right w:val="nil"/>
            </w:tcBorders>
            <w:shd w:val="clear" w:color="auto" w:fill="auto"/>
            <w:noWrap/>
            <w:vAlign w:val="bottom"/>
            <w:hideMark/>
          </w:tcPr>
          <w:p w14:paraId="0B38C2E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Foradil</w:t>
            </w:r>
            <w:proofErr w:type="spellEnd"/>
          </w:p>
        </w:tc>
        <w:tc>
          <w:tcPr>
            <w:tcW w:w="1332" w:type="dxa"/>
            <w:tcBorders>
              <w:top w:val="nil"/>
              <w:left w:val="nil"/>
              <w:bottom w:val="nil"/>
              <w:right w:val="nil"/>
            </w:tcBorders>
            <w:shd w:val="clear" w:color="auto" w:fill="auto"/>
            <w:noWrap/>
            <w:vAlign w:val="bottom"/>
            <w:hideMark/>
          </w:tcPr>
          <w:p w14:paraId="1B9A3C8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711301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6F85E56" w14:textId="77777777" w:rsidTr="001E04CC">
        <w:trPr>
          <w:trHeight w:val="20"/>
        </w:trPr>
        <w:tc>
          <w:tcPr>
            <w:tcW w:w="2430" w:type="dxa"/>
            <w:tcBorders>
              <w:top w:val="nil"/>
              <w:left w:val="nil"/>
              <w:bottom w:val="nil"/>
              <w:right w:val="nil"/>
            </w:tcBorders>
            <w:shd w:val="clear" w:color="auto" w:fill="auto"/>
            <w:noWrap/>
            <w:vAlign w:val="bottom"/>
            <w:hideMark/>
          </w:tcPr>
          <w:p w14:paraId="5B752EC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Fortamet</w:t>
            </w:r>
            <w:proofErr w:type="spellEnd"/>
          </w:p>
        </w:tc>
        <w:tc>
          <w:tcPr>
            <w:tcW w:w="1332" w:type="dxa"/>
            <w:tcBorders>
              <w:top w:val="nil"/>
              <w:left w:val="nil"/>
              <w:bottom w:val="nil"/>
              <w:right w:val="nil"/>
            </w:tcBorders>
            <w:shd w:val="clear" w:color="auto" w:fill="auto"/>
            <w:noWrap/>
            <w:vAlign w:val="bottom"/>
            <w:hideMark/>
          </w:tcPr>
          <w:p w14:paraId="398F5657" w14:textId="5CA50A8C"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AF0123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72C6952" w14:textId="77777777" w:rsidTr="001E04CC">
        <w:trPr>
          <w:trHeight w:val="20"/>
        </w:trPr>
        <w:tc>
          <w:tcPr>
            <w:tcW w:w="2430" w:type="dxa"/>
            <w:tcBorders>
              <w:top w:val="nil"/>
              <w:left w:val="nil"/>
              <w:bottom w:val="nil"/>
              <w:right w:val="nil"/>
            </w:tcBorders>
            <w:shd w:val="clear" w:color="auto" w:fill="auto"/>
            <w:noWrap/>
            <w:vAlign w:val="bottom"/>
            <w:hideMark/>
          </w:tcPr>
          <w:p w14:paraId="3148019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Forteo</w:t>
            </w:r>
            <w:proofErr w:type="spellEnd"/>
          </w:p>
        </w:tc>
        <w:tc>
          <w:tcPr>
            <w:tcW w:w="1332" w:type="dxa"/>
            <w:tcBorders>
              <w:top w:val="nil"/>
              <w:left w:val="nil"/>
              <w:bottom w:val="nil"/>
              <w:right w:val="nil"/>
            </w:tcBorders>
            <w:shd w:val="clear" w:color="auto" w:fill="auto"/>
            <w:noWrap/>
            <w:vAlign w:val="bottom"/>
            <w:hideMark/>
          </w:tcPr>
          <w:p w14:paraId="327159D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418F729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77EB524" w14:textId="77777777" w:rsidTr="001E04CC">
        <w:trPr>
          <w:trHeight w:val="20"/>
        </w:trPr>
        <w:tc>
          <w:tcPr>
            <w:tcW w:w="2430" w:type="dxa"/>
            <w:tcBorders>
              <w:top w:val="nil"/>
              <w:left w:val="nil"/>
              <w:bottom w:val="nil"/>
              <w:right w:val="nil"/>
            </w:tcBorders>
            <w:shd w:val="clear" w:color="auto" w:fill="auto"/>
            <w:noWrap/>
            <w:vAlign w:val="bottom"/>
            <w:hideMark/>
          </w:tcPr>
          <w:p w14:paraId="3DD12D6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Fortical</w:t>
            </w:r>
            <w:proofErr w:type="spellEnd"/>
          </w:p>
        </w:tc>
        <w:tc>
          <w:tcPr>
            <w:tcW w:w="1332" w:type="dxa"/>
            <w:tcBorders>
              <w:top w:val="nil"/>
              <w:left w:val="nil"/>
              <w:bottom w:val="nil"/>
              <w:right w:val="nil"/>
            </w:tcBorders>
            <w:shd w:val="clear" w:color="auto" w:fill="auto"/>
            <w:noWrap/>
            <w:vAlign w:val="bottom"/>
            <w:hideMark/>
          </w:tcPr>
          <w:p w14:paraId="1CC8A91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590C49F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BCA9E87" w14:textId="77777777" w:rsidTr="001E04CC">
        <w:trPr>
          <w:trHeight w:val="20"/>
        </w:trPr>
        <w:tc>
          <w:tcPr>
            <w:tcW w:w="2430" w:type="dxa"/>
            <w:tcBorders>
              <w:top w:val="nil"/>
              <w:left w:val="nil"/>
              <w:bottom w:val="nil"/>
              <w:right w:val="nil"/>
            </w:tcBorders>
            <w:shd w:val="clear" w:color="auto" w:fill="auto"/>
            <w:noWrap/>
            <w:vAlign w:val="bottom"/>
            <w:hideMark/>
          </w:tcPr>
          <w:p w14:paraId="62F7FE3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Fosamax</w:t>
            </w:r>
          </w:p>
        </w:tc>
        <w:tc>
          <w:tcPr>
            <w:tcW w:w="1332" w:type="dxa"/>
            <w:tcBorders>
              <w:top w:val="nil"/>
              <w:left w:val="nil"/>
              <w:bottom w:val="nil"/>
              <w:right w:val="nil"/>
            </w:tcBorders>
            <w:shd w:val="clear" w:color="auto" w:fill="auto"/>
            <w:noWrap/>
            <w:vAlign w:val="bottom"/>
            <w:hideMark/>
          </w:tcPr>
          <w:p w14:paraId="5EDF8F0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417E77E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A592773" w14:textId="77777777" w:rsidTr="001E04CC">
        <w:trPr>
          <w:trHeight w:val="20"/>
        </w:trPr>
        <w:tc>
          <w:tcPr>
            <w:tcW w:w="2430" w:type="dxa"/>
            <w:tcBorders>
              <w:top w:val="nil"/>
              <w:left w:val="nil"/>
              <w:bottom w:val="nil"/>
              <w:right w:val="nil"/>
            </w:tcBorders>
            <w:shd w:val="clear" w:color="auto" w:fill="auto"/>
            <w:noWrap/>
            <w:vAlign w:val="bottom"/>
            <w:hideMark/>
          </w:tcPr>
          <w:p w14:paraId="1730711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Fosamax plus D</w:t>
            </w:r>
          </w:p>
        </w:tc>
        <w:tc>
          <w:tcPr>
            <w:tcW w:w="1332" w:type="dxa"/>
            <w:tcBorders>
              <w:top w:val="nil"/>
              <w:left w:val="nil"/>
              <w:bottom w:val="nil"/>
              <w:right w:val="nil"/>
            </w:tcBorders>
            <w:shd w:val="clear" w:color="auto" w:fill="auto"/>
            <w:noWrap/>
            <w:vAlign w:val="bottom"/>
            <w:hideMark/>
          </w:tcPr>
          <w:p w14:paraId="386E72B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0033B2A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59FEE07" w14:textId="77777777" w:rsidTr="001E04CC">
        <w:trPr>
          <w:trHeight w:val="20"/>
        </w:trPr>
        <w:tc>
          <w:tcPr>
            <w:tcW w:w="2430" w:type="dxa"/>
            <w:tcBorders>
              <w:top w:val="nil"/>
              <w:left w:val="nil"/>
              <w:bottom w:val="nil"/>
              <w:right w:val="nil"/>
            </w:tcBorders>
            <w:shd w:val="clear" w:color="auto" w:fill="auto"/>
            <w:noWrap/>
            <w:vAlign w:val="bottom"/>
            <w:hideMark/>
          </w:tcPr>
          <w:p w14:paraId="294B59D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fosinopril</w:t>
            </w:r>
            <w:proofErr w:type="spellEnd"/>
          </w:p>
        </w:tc>
        <w:tc>
          <w:tcPr>
            <w:tcW w:w="1332" w:type="dxa"/>
            <w:tcBorders>
              <w:top w:val="nil"/>
              <w:left w:val="nil"/>
              <w:bottom w:val="nil"/>
              <w:right w:val="nil"/>
            </w:tcBorders>
            <w:shd w:val="clear" w:color="auto" w:fill="auto"/>
            <w:noWrap/>
            <w:vAlign w:val="bottom"/>
            <w:hideMark/>
          </w:tcPr>
          <w:p w14:paraId="4AC381E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95A3B4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3FFD1C" w14:textId="77777777" w:rsidTr="001E04CC">
        <w:trPr>
          <w:trHeight w:val="20"/>
        </w:trPr>
        <w:tc>
          <w:tcPr>
            <w:tcW w:w="2430" w:type="dxa"/>
            <w:tcBorders>
              <w:top w:val="nil"/>
              <w:left w:val="nil"/>
              <w:bottom w:val="nil"/>
              <w:right w:val="nil"/>
            </w:tcBorders>
            <w:shd w:val="clear" w:color="auto" w:fill="auto"/>
            <w:noWrap/>
            <w:vAlign w:val="bottom"/>
            <w:hideMark/>
          </w:tcPr>
          <w:p w14:paraId="037B4BF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fosinopril</w:t>
            </w:r>
            <w:proofErr w:type="spellEnd"/>
            <w:r w:rsidRPr="001A20A2">
              <w:rPr>
                <w:rFonts w:ascii="Calibri" w:eastAsia="Times New Roman" w:hAnsi="Calibri" w:cs="Times New Roman"/>
                <w:color w:val="000000"/>
                <w:sz w:val="16"/>
                <w:szCs w:val="16"/>
              </w:rPr>
              <w:t>-hydrochlorothiazide</w:t>
            </w:r>
          </w:p>
        </w:tc>
        <w:tc>
          <w:tcPr>
            <w:tcW w:w="1332" w:type="dxa"/>
            <w:tcBorders>
              <w:top w:val="nil"/>
              <w:left w:val="nil"/>
              <w:bottom w:val="nil"/>
              <w:right w:val="nil"/>
            </w:tcBorders>
            <w:shd w:val="clear" w:color="auto" w:fill="auto"/>
            <w:noWrap/>
            <w:vAlign w:val="bottom"/>
            <w:hideMark/>
          </w:tcPr>
          <w:p w14:paraId="2C1E699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5C5D9C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128116F" w14:textId="77777777" w:rsidTr="001E04CC">
        <w:trPr>
          <w:trHeight w:val="20"/>
        </w:trPr>
        <w:tc>
          <w:tcPr>
            <w:tcW w:w="2430" w:type="dxa"/>
            <w:tcBorders>
              <w:top w:val="nil"/>
              <w:left w:val="nil"/>
              <w:bottom w:val="nil"/>
              <w:right w:val="nil"/>
            </w:tcBorders>
            <w:shd w:val="clear" w:color="auto" w:fill="auto"/>
            <w:noWrap/>
            <w:vAlign w:val="bottom"/>
            <w:hideMark/>
          </w:tcPr>
          <w:p w14:paraId="5BDDEAE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Fragmin</w:t>
            </w:r>
            <w:proofErr w:type="spellEnd"/>
          </w:p>
        </w:tc>
        <w:tc>
          <w:tcPr>
            <w:tcW w:w="1332" w:type="dxa"/>
            <w:tcBorders>
              <w:top w:val="nil"/>
              <w:left w:val="nil"/>
              <w:bottom w:val="nil"/>
              <w:right w:val="nil"/>
            </w:tcBorders>
            <w:shd w:val="clear" w:color="auto" w:fill="auto"/>
            <w:noWrap/>
            <w:vAlign w:val="bottom"/>
            <w:hideMark/>
          </w:tcPr>
          <w:p w14:paraId="6B89373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0A184BF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63EB1C5" w14:textId="77777777" w:rsidTr="001E04CC">
        <w:trPr>
          <w:trHeight w:val="20"/>
        </w:trPr>
        <w:tc>
          <w:tcPr>
            <w:tcW w:w="2430" w:type="dxa"/>
            <w:tcBorders>
              <w:top w:val="nil"/>
              <w:left w:val="nil"/>
              <w:bottom w:val="nil"/>
              <w:right w:val="nil"/>
            </w:tcBorders>
            <w:shd w:val="clear" w:color="auto" w:fill="auto"/>
            <w:noWrap/>
            <w:vAlign w:val="bottom"/>
            <w:hideMark/>
          </w:tcPr>
          <w:p w14:paraId="5931B81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furosemide</w:t>
            </w:r>
          </w:p>
        </w:tc>
        <w:tc>
          <w:tcPr>
            <w:tcW w:w="1332" w:type="dxa"/>
            <w:tcBorders>
              <w:top w:val="nil"/>
              <w:left w:val="nil"/>
              <w:bottom w:val="nil"/>
              <w:right w:val="nil"/>
            </w:tcBorders>
            <w:shd w:val="clear" w:color="auto" w:fill="auto"/>
            <w:noWrap/>
            <w:vAlign w:val="bottom"/>
            <w:hideMark/>
          </w:tcPr>
          <w:p w14:paraId="636F883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8C8B11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666F8D" w14:textId="77777777" w:rsidTr="001E04CC">
        <w:trPr>
          <w:trHeight w:val="20"/>
        </w:trPr>
        <w:tc>
          <w:tcPr>
            <w:tcW w:w="2430" w:type="dxa"/>
            <w:tcBorders>
              <w:top w:val="nil"/>
              <w:left w:val="nil"/>
              <w:bottom w:val="nil"/>
              <w:right w:val="nil"/>
            </w:tcBorders>
            <w:shd w:val="clear" w:color="auto" w:fill="auto"/>
            <w:noWrap/>
            <w:vAlign w:val="bottom"/>
            <w:hideMark/>
          </w:tcPr>
          <w:p w14:paraId="3E36BA6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Fuzeon</w:t>
            </w:r>
            <w:proofErr w:type="spellEnd"/>
          </w:p>
        </w:tc>
        <w:tc>
          <w:tcPr>
            <w:tcW w:w="1332" w:type="dxa"/>
            <w:tcBorders>
              <w:top w:val="nil"/>
              <w:left w:val="nil"/>
              <w:bottom w:val="nil"/>
              <w:right w:val="nil"/>
            </w:tcBorders>
            <w:shd w:val="clear" w:color="auto" w:fill="auto"/>
            <w:noWrap/>
            <w:vAlign w:val="bottom"/>
            <w:hideMark/>
          </w:tcPr>
          <w:p w14:paraId="549A6B4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43120C1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413BA90" w14:textId="77777777" w:rsidTr="001E04CC">
        <w:trPr>
          <w:trHeight w:val="20"/>
        </w:trPr>
        <w:tc>
          <w:tcPr>
            <w:tcW w:w="2430" w:type="dxa"/>
            <w:tcBorders>
              <w:top w:val="nil"/>
              <w:left w:val="nil"/>
              <w:bottom w:val="nil"/>
              <w:right w:val="nil"/>
            </w:tcBorders>
            <w:shd w:val="clear" w:color="auto" w:fill="auto"/>
            <w:noWrap/>
            <w:vAlign w:val="bottom"/>
            <w:hideMark/>
          </w:tcPr>
          <w:p w14:paraId="42D2399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Gastrocrom</w:t>
            </w:r>
            <w:proofErr w:type="spellEnd"/>
          </w:p>
        </w:tc>
        <w:tc>
          <w:tcPr>
            <w:tcW w:w="1332" w:type="dxa"/>
            <w:tcBorders>
              <w:top w:val="nil"/>
              <w:left w:val="nil"/>
              <w:bottom w:val="nil"/>
              <w:right w:val="nil"/>
            </w:tcBorders>
            <w:shd w:val="clear" w:color="auto" w:fill="auto"/>
            <w:noWrap/>
            <w:vAlign w:val="bottom"/>
            <w:hideMark/>
          </w:tcPr>
          <w:p w14:paraId="15F8D0C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56EBB4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7901CB6" w14:textId="77777777" w:rsidTr="001E04CC">
        <w:trPr>
          <w:trHeight w:val="20"/>
        </w:trPr>
        <w:tc>
          <w:tcPr>
            <w:tcW w:w="2430" w:type="dxa"/>
            <w:tcBorders>
              <w:top w:val="nil"/>
              <w:left w:val="nil"/>
              <w:bottom w:val="nil"/>
              <w:right w:val="nil"/>
            </w:tcBorders>
            <w:shd w:val="clear" w:color="auto" w:fill="auto"/>
            <w:noWrap/>
            <w:vAlign w:val="bottom"/>
            <w:hideMark/>
          </w:tcPr>
          <w:p w14:paraId="03E8CE0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gemfibrozil</w:t>
            </w:r>
          </w:p>
        </w:tc>
        <w:tc>
          <w:tcPr>
            <w:tcW w:w="1332" w:type="dxa"/>
            <w:tcBorders>
              <w:top w:val="nil"/>
              <w:left w:val="nil"/>
              <w:bottom w:val="nil"/>
              <w:right w:val="nil"/>
            </w:tcBorders>
            <w:shd w:val="clear" w:color="auto" w:fill="auto"/>
            <w:noWrap/>
            <w:vAlign w:val="bottom"/>
            <w:hideMark/>
          </w:tcPr>
          <w:p w14:paraId="1534A05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1EF8BDA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DA533EC" w14:textId="77777777" w:rsidTr="001E04CC">
        <w:trPr>
          <w:trHeight w:val="20"/>
        </w:trPr>
        <w:tc>
          <w:tcPr>
            <w:tcW w:w="2430" w:type="dxa"/>
            <w:tcBorders>
              <w:top w:val="nil"/>
              <w:left w:val="nil"/>
              <w:bottom w:val="nil"/>
              <w:right w:val="nil"/>
            </w:tcBorders>
            <w:shd w:val="clear" w:color="auto" w:fill="auto"/>
            <w:noWrap/>
            <w:vAlign w:val="bottom"/>
            <w:hideMark/>
          </w:tcPr>
          <w:p w14:paraId="7EAA4DA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Gengraf</w:t>
            </w:r>
            <w:proofErr w:type="spellEnd"/>
          </w:p>
        </w:tc>
        <w:tc>
          <w:tcPr>
            <w:tcW w:w="1332" w:type="dxa"/>
            <w:tcBorders>
              <w:top w:val="nil"/>
              <w:left w:val="nil"/>
              <w:bottom w:val="nil"/>
              <w:right w:val="nil"/>
            </w:tcBorders>
            <w:shd w:val="clear" w:color="auto" w:fill="auto"/>
            <w:noWrap/>
            <w:vAlign w:val="bottom"/>
            <w:hideMark/>
          </w:tcPr>
          <w:p w14:paraId="6672E4B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60BC94C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9A7CFA5" w14:textId="77777777" w:rsidTr="001E04CC">
        <w:trPr>
          <w:trHeight w:val="20"/>
        </w:trPr>
        <w:tc>
          <w:tcPr>
            <w:tcW w:w="2430" w:type="dxa"/>
            <w:tcBorders>
              <w:top w:val="nil"/>
              <w:left w:val="nil"/>
              <w:bottom w:val="nil"/>
              <w:right w:val="nil"/>
            </w:tcBorders>
            <w:shd w:val="clear" w:color="auto" w:fill="auto"/>
            <w:noWrap/>
            <w:vAlign w:val="bottom"/>
            <w:hideMark/>
          </w:tcPr>
          <w:p w14:paraId="05C5A81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Geodon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0ACE85E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2FF29E1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719879C" w14:textId="77777777" w:rsidTr="001E04CC">
        <w:trPr>
          <w:trHeight w:val="20"/>
        </w:trPr>
        <w:tc>
          <w:tcPr>
            <w:tcW w:w="2430" w:type="dxa"/>
            <w:tcBorders>
              <w:top w:val="nil"/>
              <w:left w:val="nil"/>
              <w:bottom w:val="nil"/>
              <w:right w:val="nil"/>
            </w:tcBorders>
            <w:shd w:val="clear" w:color="auto" w:fill="auto"/>
            <w:noWrap/>
            <w:vAlign w:val="bottom"/>
            <w:hideMark/>
          </w:tcPr>
          <w:p w14:paraId="05D5A70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Gilenya</w:t>
            </w:r>
            <w:proofErr w:type="spellEnd"/>
          </w:p>
        </w:tc>
        <w:tc>
          <w:tcPr>
            <w:tcW w:w="1332" w:type="dxa"/>
            <w:tcBorders>
              <w:top w:val="nil"/>
              <w:left w:val="nil"/>
              <w:bottom w:val="nil"/>
              <w:right w:val="nil"/>
            </w:tcBorders>
            <w:shd w:val="clear" w:color="auto" w:fill="auto"/>
            <w:noWrap/>
            <w:vAlign w:val="bottom"/>
            <w:hideMark/>
          </w:tcPr>
          <w:p w14:paraId="7074EF29" w14:textId="0B615A5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5107E64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D7BA3C8" w14:textId="77777777" w:rsidTr="001E04CC">
        <w:trPr>
          <w:trHeight w:val="20"/>
        </w:trPr>
        <w:tc>
          <w:tcPr>
            <w:tcW w:w="2430" w:type="dxa"/>
            <w:tcBorders>
              <w:top w:val="nil"/>
              <w:left w:val="nil"/>
              <w:bottom w:val="nil"/>
              <w:right w:val="nil"/>
            </w:tcBorders>
            <w:shd w:val="clear" w:color="auto" w:fill="auto"/>
            <w:noWrap/>
            <w:vAlign w:val="bottom"/>
            <w:hideMark/>
          </w:tcPr>
          <w:p w14:paraId="69743B6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glimepiride</w:t>
            </w:r>
          </w:p>
        </w:tc>
        <w:tc>
          <w:tcPr>
            <w:tcW w:w="1332" w:type="dxa"/>
            <w:tcBorders>
              <w:top w:val="nil"/>
              <w:left w:val="nil"/>
              <w:bottom w:val="nil"/>
              <w:right w:val="nil"/>
            </w:tcBorders>
            <w:shd w:val="clear" w:color="auto" w:fill="auto"/>
            <w:noWrap/>
            <w:vAlign w:val="bottom"/>
            <w:hideMark/>
          </w:tcPr>
          <w:p w14:paraId="2B1775B9" w14:textId="4E50245C"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E0C007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9291D89" w14:textId="77777777" w:rsidTr="001E04CC">
        <w:trPr>
          <w:trHeight w:val="20"/>
        </w:trPr>
        <w:tc>
          <w:tcPr>
            <w:tcW w:w="2430" w:type="dxa"/>
            <w:tcBorders>
              <w:top w:val="nil"/>
              <w:left w:val="nil"/>
              <w:bottom w:val="nil"/>
              <w:right w:val="nil"/>
            </w:tcBorders>
            <w:shd w:val="clear" w:color="auto" w:fill="auto"/>
            <w:noWrap/>
            <w:vAlign w:val="bottom"/>
            <w:hideMark/>
          </w:tcPr>
          <w:p w14:paraId="3B4730D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glipizide</w:t>
            </w:r>
          </w:p>
        </w:tc>
        <w:tc>
          <w:tcPr>
            <w:tcW w:w="1332" w:type="dxa"/>
            <w:tcBorders>
              <w:top w:val="nil"/>
              <w:left w:val="nil"/>
              <w:bottom w:val="nil"/>
              <w:right w:val="nil"/>
            </w:tcBorders>
            <w:shd w:val="clear" w:color="auto" w:fill="auto"/>
            <w:noWrap/>
            <w:vAlign w:val="bottom"/>
            <w:hideMark/>
          </w:tcPr>
          <w:p w14:paraId="35293AEA" w14:textId="6B6AD78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9C5ED3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857C674" w14:textId="77777777" w:rsidTr="001E04CC">
        <w:trPr>
          <w:trHeight w:val="20"/>
        </w:trPr>
        <w:tc>
          <w:tcPr>
            <w:tcW w:w="2430" w:type="dxa"/>
            <w:tcBorders>
              <w:top w:val="nil"/>
              <w:left w:val="nil"/>
              <w:bottom w:val="nil"/>
              <w:right w:val="nil"/>
            </w:tcBorders>
            <w:shd w:val="clear" w:color="auto" w:fill="auto"/>
            <w:noWrap/>
            <w:vAlign w:val="bottom"/>
            <w:hideMark/>
          </w:tcPr>
          <w:p w14:paraId="095ED51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glipizide ER</w:t>
            </w:r>
          </w:p>
        </w:tc>
        <w:tc>
          <w:tcPr>
            <w:tcW w:w="1332" w:type="dxa"/>
            <w:tcBorders>
              <w:top w:val="nil"/>
              <w:left w:val="nil"/>
              <w:bottom w:val="nil"/>
              <w:right w:val="nil"/>
            </w:tcBorders>
            <w:shd w:val="clear" w:color="auto" w:fill="auto"/>
            <w:noWrap/>
            <w:vAlign w:val="bottom"/>
            <w:hideMark/>
          </w:tcPr>
          <w:p w14:paraId="16223977" w14:textId="0235A6EB"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A0336B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C8CB347" w14:textId="77777777" w:rsidTr="001E04CC">
        <w:trPr>
          <w:trHeight w:val="20"/>
        </w:trPr>
        <w:tc>
          <w:tcPr>
            <w:tcW w:w="2430" w:type="dxa"/>
            <w:tcBorders>
              <w:top w:val="nil"/>
              <w:left w:val="nil"/>
              <w:bottom w:val="nil"/>
              <w:right w:val="nil"/>
            </w:tcBorders>
            <w:shd w:val="clear" w:color="auto" w:fill="auto"/>
            <w:noWrap/>
            <w:vAlign w:val="bottom"/>
            <w:hideMark/>
          </w:tcPr>
          <w:p w14:paraId="4A65292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glipizide-metformin</w:t>
            </w:r>
          </w:p>
        </w:tc>
        <w:tc>
          <w:tcPr>
            <w:tcW w:w="1332" w:type="dxa"/>
            <w:tcBorders>
              <w:top w:val="nil"/>
              <w:left w:val="nil"/>
              <w:bottom w:val="nil"/>
              <w:right w:val="nil"/>
            </w:tcBorders>
            <w:shd w:val="clear" w:color="auto" w:fill="auto"/>
            <w:noWrap/>
            <w:vAlign w:val="bottom"/>
            <w:hideMark/>
          </w:tcPr>
          <w:p w14:paraId="25E8B548" w14:textId="49D0B09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B7F452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650F60C" w14:textId="77777777" w:rsidTr="001E04CC">
        <w:trPr>
          <w:trHeight w:val="20"/>
        </w:trPr>
        <w:tc>
          <w:tcPr>
            <w:tcW w:w="2430" w:type="dxa"/>
            <w:tcBorders>
              <w:top w:val="nil"/>
              <w:left w:val="nil"/>
              <w:bottom w:val="nil"/>
              <w:right w:val="nil"/>
            </w:tcBorders>
            <w:shd w:val="clear" w:color="auto" w:fill="auto"/>
            <w:noWrap/>
            <w:vAlign w:val="bottom"/>
            <w:hideMark/>
          </w:tcPr>
          <w:p w14:paraId="0CC650A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Glucophage</w:t>
            </w:r>
          </w:p>
        </w:tc>
        <w:tc>
          <w:tcPr>
            <w:tcW w:w="1332" w:type="dxa"/>
            <w:tcBorders>
              <w:top w:val="nil"/>
              <w:left w:val="nil"/>
              <w:bottom w:val="nil"/>
              <w:right w:val="nil"/>
            </w:tcBorders>
            <w:shd w:val="clear" w:color="auto" w:fill="auto"/>
            <w:noWrap/>
            <w:vAlign w:val="bottom"/>
            <w:hideMark/>
          </w:tcPr>
          <w:p w14:paraId="2F102647" w14:textId="7CB554E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99939F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FA84422" w14:textId="77777777" w:rsidTr="001E04CC">
        <w:trPr>
          <w:trHeight w:val="20"/>
        </w:trPr>
        <w:tc>
          <w:tcPr>
            <w:tcW w:w="2430" w:type="dxa"/>
            <w:tcBorders>
              <w:top w:val="nil"/>
              <w:left w:val="nil"/>
              <w:bottom w:val="nil"/>
              <w:right w:val="nil"/>
            </w:tcBorders>
            <w:shd w:val="clear" w:color="auto" w:fill="auto"/>
            <w:noWrap/>
            <w:vAlign w:val="bottom"/>
            <w:hideMark/>
          </w:tcPr>
          <w:p w14:paraId="0AFBEAE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Glucophage XR</w:t>
            </w:r>
          </w:p>
        </w:tc>
        <w:tc>
          <w:tcPr>
            <w:tcW w:w="1332" w:type="dxa"/>
            <w:tcBorders>
              <w:top w:val="nil"/>
              <w:left w:val="nil"/>
              <w:bottom w:val="nil"/>
              <w:right w:val="nil"/>
            </w:tcBorders>
            <w:shd w:val="clear" w:color="auto" w:fill="auto"/>
            <w:noWrap/>
            <w:vAlign w:val="bottom"/>
            <w:hideMark/>
          </w:tcPr>
          <w:p w14:paraId="7D6E55E8" w14:textId="6BEAF1CB"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CE2B0E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2E39DBC" w14:textId="77777777" w:rsidTr="001E04CC">
        <w:trPr>
          <w:trHeight w:val="20"/>
        </w:trPr>
        <w:tc>
          <w:tcPr>
            <w:tcW w:w="2430" w:type="dxa"/>
            <w:tcBorders>
              <w:top w:val="nil"/>
              <w:left w:val="nil"/>
              <w:bottom w:val="nil"/>
              <w:right w:val="nil"/>
            </w:tcBorders>
            <w:shd w:val="clear" w:color="auto" w:fill="auto"/>
            <w:noWrap/>
            <w:vAlign w:val="bottom"/>
            <w:hideMark/>
          </w:tcPr>
          <w:p w14:paraId="254AC67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Glucotrol</w:t>
            </w:r>
          </w:p>
        </w:tc>
        <w:tc>
          <w:tcPr>
            <w:tcW w:w="1332" w:type="dxa"/>
            <w:tcBorders>
              <w:top w:val="nil"/>
              <w:left w:val="nil"/>
              <w:bottom w:val="nil"/>
              <w:right w:val="nil"/>
            </w:tcBorders>
            <w:shd w:val="clear" w:color="auto" w:fill="auto"/>
            <w:noWrap/>
            <w:vAlign w:val="bottom"/>
            <w:hideMark/>
          </w:tcPr>
          <w:p w14:paraId="40AD5FE2" w14:textId="67D90FA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56443CF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9669098" w14:textId="77777777" w:rsidTr="001E04CC">
        <w:trPr>
          <w:trHeight w:val="20"/>
        </w:trPr>
        <w:tc>
          <w:tcPr>
            <w:tcW w:w="2430" w:type="dxa"/>
            <w:tcBorders>
              <w:top w:val="nil"/>
              <w:left w:val="nil"/>
              <w:bottom w:val="nil"/>
              <w:right w:val="nil"/>
            </w:tcBorders>
            <w:shd w:val="clear" w:color="auto" w:fill="auto"/>
            <w:noWrap/>
            <w:vAlign w:val="bottom"/>
            <w:hideMark/>
          </w:tcPr>
          <w:p w14:paraId="4126EC2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Glucotrol XL</w:t>
            </w:r>
          </w:p>
        </w:tc>
        <w:tc>
          <w:tcPr>
            <w:tcW w:w="1332" w:type="dxa"/>
            <w:tcBorders>
              <w:top w:val="nil"/>
              <w:left w:val="nil"/>
              <w:bottom w:val="nil"/>
              <w:right w:val="nil"/>
            </w:tcBorders>
            <w:shd w:val="clear" w:color="auto" w:fill="auto"/>
            <w:noWrap/>
            <w:vAlign w:val="bottom"/>
            <w:hideMark/>
          </w:tcPr>
          <w:p w14:paraId="0D3E1FC9" w14:textId="077908F1"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3561B6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EB7C556" w14:textId="77777777" w:rsidTr="001E04CC">
        <w:trPr>
          <w:trHeight w:val="20"/>
        </w:trPr>
        <w:tc>
          <w:tcPr>
            <w:tcW w:w="2430" w:type="dxa"/>
            <w:tcBorders>
              <w:top w:val="nil"/>
              <w:left w:val="nil"/>
              <w:bottom w:val="nil"/>
              <w:right w:val="nil"/>
            </w:tcBorders>
            <w:shd w:val="clear" w:color="auto" w:fill="auto"/>
            <w:noWrap/>
            <w:vAlign w:val="bottom"/>
            <w:hideMark/>
          </w:tcPr>
          <w:p w14:paraId="2EC5DDF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Glucovance</w:t>
            </w:r>
            <w:proofErr w:type="spellEnd"/>
          </w:p>
        </w:tc>
        <w:tc>
          <w:tcPr>
            <w:tcW w:w="1332" w:type="dxa"/>
            <w:tcBorders>
              <w:top w:val="nil"/>
              <w:left w:val="nil"/>
              <w:bottom w:val="nil"/>
              <w:right w:val="nil"/>
            </w:tcBorders>
            <w:shd w:val="clear" w:color="auto" w:fill="auto"/>
            <w:noWrap/>
            <w:vAlign w:val="bottom"/>
            <w:hideMark/>
          </w:tcPr>
          <w:p w14:paraId="77E09F19" w14:textId="6CECE5A2"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7F446A8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E4A9E05" w14:textId="77777777" w:rsidTr="001E04CC">
        <w:trPr>
          <w:trHeight w:val="20"/>
        </w:trPr>
        <w:tc>
          <w:tcPr>
            <w:tcW w:w="2430" w:type="dxa"/>
            <w:tcBorders>
              <w:top w:val="nil"/>
              <w:left w:val="nil"/>
              <w:bottom w:val="nil"/>
              <w:right w:val="nil"/>
            </w:tcBorders>
            <w:shd w:val="clear" w:color="auto" w:fill="auto"/>
            <w:noWrap/>
            <w:vAlign w:val="bottom"/>
            <w:hideMark/>
          </w:tcPr>
          <w:p w14:paraId="6B1A5DA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Glumetza</w:t>
            </w:r>
            <w:proofErr w:type="spellEnd"/>
          </w:p>
        </w:tc>
        <w:tc>
          <w:tcPr>
            <w:tcW w:w="1332" w:type="dxa"/>
            <w:tcBorders>
              <w:top w:val="nil"/>
              <w:left w:val="nil"/>
              <w:bottom w:val="nil"/>
              <w:right w:val="nil"/>
            </w:tcBorders>
            <w:shd w:val="clear" w:color="auto" w:fill="auto"/>
            <w:noWrap/>
            <w:vAlign w:val="bottom"/>
            <w:hideMark/>
          </w:tcPr>
          <w:p w14:paraId="6D883279" w14:textId="4488362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D05459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C163E58" w14:textId="77777777" w:rsidTr="001E04CC">
        <w:trPr>
          <w:trHeight w:val="20"/>
        </w:trPr>
        <w:tc>
          <w:tcPr>
            <w:tcW w:w="2430" w:type="dxa"/>
            <w:tcBorders>
              <w:top w:val="nil"/>
              <w:left w:val="nil"/>
              <w:bottom w:val="nil"/>
              <w:right w:val="nil"/>
            </w:tcBorders>
            <w:shd w:val="clear" w:color="auto" w:fill="auto"/>
            <w:noWrap/>
            <w:vAlign w:val="bottom"/>
            <w:hideMark/>
          </w:tcPr>
          <w:p w14:paraId="3F9D178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glyburide</w:t>
            </w:r>
          </w:p>
        </w:tc>
        <w:tc>
          <w:tcPr>
            <w:tcW w:w="1332" w:type="dxa"/>
            <w:tcBorders>
              <w:top w:val="nil"/>
              <w:left w:val="nil"/>
              <w:bottom w:val="nil"/>
              <w:right w:val="nil"/>
            </w:tcBorders>
            <w:shd w:val="clear" w:color="auto" w:fill="auto"/>
            <w:noWrap/>
            <w:vAlign w:val="bottom"/>
            <w:hideMark/>
          </w:tcPr>
          <w:p w14:paraId="089D989A" w14:textId="04A0A972"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0F402A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F67F8F7" w14:textId="77777777" w:rsidTr="001E04CC">
        <w:trPr>
          <w:trHeight w:val="20"/>
        </w:trPr>
        <w:tc>
          <w:tcPr>
            <w:tcW w:w="2430" w:type="dxa"/>
            <w:tcBorders>
              <w:top w:val="nil"/>
              <w:left w:val="nil"/>
              <w:bottom w:val="nil"/>
              <w:right w:val="nil"/>
            </w:tcBorders>
            <w:shd w:val="clear" w:color="auto" w:fill="auto"/>
            <w:noWrap/>
            <w:vAlign w:val="bottom"/>
            <w:hideMark/>
          </w:tcPr>
          <w:p w14:paraId="0C629DF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glyburide micronized</w:t>
            </w:r>
          </w:p>
        </w:tc>
        <w:tc>
          <w:tcPr>
            <w:tcW w:w="1332" w:type="dxa"/>
            <w:tcBorders>
              <w:top w:val="nil"/>
              <w:left w:val="nil"/>
              <w:bottom w:val="nil"/>
              <w:right w:val="nil"/>
            </w:tcBorders>
            <w:shd w:val="clear" w:color="auto" w:fill="auto"/>
            <w:noWrap/>
            <w:vAlign w:val="bottom"/>
            <w:hideMark/>
          </w:tcPr>
          <w:p w14:paraId="3E53116E" w14:textId="38801FA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3D076B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1798501" w14:textId="77777777" w:rsidTr="001E04CC">
        <w:trPr>
          <w:trHeight w:val="20"/>
        </w:trPr>
        <w:tc>
          <w:tcPr>
            <w:tcW w:w="2430" w:type="dxa"/>
            <w:tcBorders>
              <w:top w:val="nil"/>
              <w:left w:val="nil"/>
              <w:bottom w:val="nil"/>
              <w:right w:val="nil"/>
            </w:tcBorders>
            <w:shd w:val="clear" w:color="auto" w:fill="auto"/>
            <w:noWrap/>
            <w:vAlign w:val="bottom"/>
            <w:hideMark/>
          </w:tcPr>
          <w:p w14:paraId="12C7007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glyburide-metformin</w:t>
            </w:r>
          </w:p>
        </w:tc>
        <w:tc>
          <w:tcPr>
            <w:tcW w:w="1332" w:type="dxa"/>
            <w:tcBorders>
              <w:top w:val="nil"/>
              <w:left w:val="nil"/>
              <w:bottom w:val="nil"/>
              <w:right w:val="nil"/>
            </w:tcBorders>
            <w:shd w:val="clear" w:color="auto" w:fill="auto"/>
            <w:noWrap/>
            <w:vAlign w:val="bottom"/>
            <w:hideMark/>
          </w:tcPr>
          <w:p w14:paraId="776880F5" w14:textId="1F2A335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7F2820A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97F10EB" w14:textId="77777777" w:rsidTr="001E04CC">
        <w:trPr>
          <w:trHeight w:val="20"/>
        </w:trPr>
        <w:tc>
          <w:tcPr>
            <w:tcW w:w="2430" w:type="dxa"/>
            <w:tcBorders>
              <w:top w:val="nil"/>
              <w:left w:val="nil"/>
              <w:bottom w:val="nil"/>
              <w:right w:val="nil"/>
            </w:tcBorders>
            <w:shd w:val="clear" w:color="auto" w:fill="auto"/>
            <w:noWrap/>
            <w:vAlign w:val="bottom"/>
            <w:hideMark/>
          </w:tcPr>
          <w:p w14:paraId="6DF0453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Glynase</w:t>
            </w:r>
            <w:proofErr w:type="spellEnd"/>
          </w:p>
        </w:tc>
        <w:tc>
          <w:tcPr>
            <w:tcW w:w="1332" w:type="dxa"/>
            <w:tcBorders>
              <w:top w:val="nil"/>
              <w:left w:val="nil"/>
              <w:bottom w:val="nil"/>
              <w:right w:val="nil"/>
            </w:tcBorders>
            <w:shd w:val="clear" w:color="auto" w:fill="auto"/>
            <w:noWrap/>
            <w:vAlign w:val="bottom"/>
            <w:hideMark/>
          </w:tcPr>
          <w:p w14:paraId="359C1E41" w14:textId="5BF10C4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141845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CB654CA" w14:textId="77777777" w:rsidTr="001E04CC">
        <w:trPr>
          <w:trHeight w:val="20"/>
        </w:trPr>
        <w:tc>
          <w:tcPr>
            <w:tcW w:w="2430" w:type="dxa"/>
            <w:tcBorders>
              <w:top w:val="nil"/>
              <w:left w:val="nil"/>
              <w:bottom w:val="nil"/>
              <w:right w:val="nil"/>
            </w:tcBorders>
            <w:shd w:val="clear" w:color="auto" w:fill="auto"/>
            <w:noWrap/>
            <w:vAlign w:val="bottom"/>
            <w:hideMark/>
          </w:tcPr>
          <w:p w14:paraId="6AB8BEE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Glyset</w:t>
            </w:r>
            <w:proofErr w:type="spellEnd"/>
          </w:p>
        </w:tc>
        <w:tc>
          <w:tcPr>
            <w:tcW w:w="1332" w:type="dxa"/>
            <w:tcBorders>
              <w:top w:val="nil"/>
              <w:left w:val="nil"/>
              <w:bottom w:val="nil"/>
              <w:right w:val="nil"/>
            </w:tcBorders>
            <w:shd w:val="clear" w:color="auto" w:fill="auto"/>
            <w:noWrap/>
            <w:vAlign w:val="bottom"/>
            <w:hideMark/>
          </w:tcPr>
          <w:p w14:paraId="4C802185" w14:textId="005B751E"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A92CC5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F8EF20E" w14:textId="77777777" w:rsidTr="001E04CC">
        <w:trPr>
          <w:trHeight w:val="20"/>
        </w:trPr>
        <w:tc>
          <w:tcPr>
            <w:tcW w:w="2430" w:type="dxa"/>
            <w:tcBorders>
              <w:top w:val="nil"/>
              <w:left w:val="nil"/>
              <w:bottom w:val="nil"/>
              <w:right w:val="nil"/>
            </w:tcBorders>
            <w:shd w:val="clear" w:color="auto" w:fill="auto"/>
            <w:noWrap/>
            <w:vAlign w:val="bottom"/>
            <w:hideMark/>
          </w:tcPr>
          <w:p w14:paraId="19DF96C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guanfacine</w:t>
            </w:r>
          </w:p>
        </w:tc>
        <w:tc>
          <w:tcPr>
            <w:tcW w:w="1332" w:type="dxa"/>
            <w:tcBorders>
              <w:top w:val="nil"/>
              <w:left w:val="nil"/>
              <w:bottom w:val="nil"/>
              <w:right w:val="nil"/>
            </w:tcBorders>
            <w:shd w:val="clear" w:color="auto" w:fill="auto"/>
            <w:noWrap/>
            <w:vAlign w:val="bottom"/>
            <w:hideMark/>
          </w:tcPr>
          <w:p w14:paraId="31A868D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4CB1FC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DFD06DA" w14:textId="77777777" w:rsidTr="001E04CC">
        <w:trPr>
          <w:trHeight w:val="20"/>
        </w:trPr>
        <w:tc>
          <w:tcPr>
            <w:tcW w:w="2430" w:type="dxa"/>
            <w:tcBorders>
              <w:top w:val="nil"/>
              <w:left w:val="nil"/>
              <w:bottom w:val="nil"/>
              <w:right w:val="nil"/>
            </w:tcBorders>
            <w:shd w:val="clear" w:color="auto" w:fill="auto"/>
            <w:noWrap/>
            <w:vAlign w:val="bottom"/>
            <w:hideMark/>
          </w:tcPr>
          <w:p w14:paraId="49E8D7F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haloperidol</w:t>
            </w:r>
          </w:p>
        </w:tc>
        <w:tc>
          <w:tcPr>
            <w:tcW w:w="1332" w:type="dxa"/>
            <w:tcBorders>
              <w:top w:val="nil"/>
              <w:left w:val="nil"/>
              <w:bottom w:val="nil"/>
              <w:right w:val="nil"/>
            </w:tcBorders>
            <w:shd w:val="clear" w:color="auto" w:fill="auto"/>
            <w:noWrap/>
            <w:vAlign w:val="bottom"/>
            <w:hideMark/>
          </w:tcPr>
          <w:p w14:paraId="04B28A4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070AF2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7ACDAFF" w14:textId="77777777" w:rsidTr="001E04CC">
        <w:trPr>
          <w:trHeight w:val="20"/>
        </w:trPr>
        <w:tc>
          <w:tcPr>
            <w:tcW w:w="2430" w:type="dxa"/>
            <w:tcBorders>
              <w:top w:val="nil"/>
              <w:left w:val="nil"/>
              <w:bottom w:val="nil"/>
              <w:right w:val="nil"/>
            </w:tcBorders>
            <w:shd w:val="clear" w:color="auto" w:fill="auto"/>
            <w:noWrap/>
            <w:vAlign w:val="bottom"/>
            <w:hideMark/>
          </w:tcPr>
          <w:p w14:paraId="3EFC80D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Hecoria</w:t>
            </w:r>
            <w:proofErr w:type="spellEnd"/>
          </w:p>
        </w:tc>
        <w:tc>
          <w:tcPr>
            <w:tcW w:w="1332" w:type="dxa"/>
            <w:tcBorders>
              <w:top w:val="nil"/>
              <w:left w:val="nil"/>
              <w:bottom w:val="nil"/>
              <w:right w:val="nil"/>
            </w:tcBorders>
            <w:shd w:val="clear" w:color="auto" w:fill="auto"/>
            <w:noWrap/>
            <w:vAlign w:val="bottom"/>
            <w:hideMark/>
          </w:tcPr>
          <w:p w14:paraId="77E7489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7ED8A13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C51393D" w14:textId="77777777" w:rsidTr="001E04CC">
        <w:trPr>
          <w:trHeight w:val="20"/>
        </w:trPr>
        <w:tc>
          <w:tcPr>
            <w:tcW w:w="2430" w:type="dxa"/>
            <w:tcBorders>
              <w:top w:val="nil"/>
              <w:left w:val="nil"/>
              <w:bottom w:val="nil"/>
              <w:right w:val="nil"/>
            </w:tcBorders>
            <w:shd w:val="clear" w:color="auto" w:fill="auto"/>
            <w:noWrap/>
            <w:vAlign w:val="bottom"/>
            <w:hideMark/>
          </w:tcPr>
          <w:p w14:paraId="1D5A4EC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heparin</w:t>
            </w:r>
          </w:p>
        </w:tc>
        <w:tc>
          <w:tcPr>
            <w:tcW w:w="1332" w:type="dxa"/>
            <w:tcBorders>
              <w:top w:val="nil"/>
              <w:left w:val="nil"/>
              <w:bottom w:val="nil"/>
              <w:right w:val="nil"/>
            </w:tcBorders>
            <w:shd w:val="clear" w:color="auto" w:fill="auto"/>
            <w:noWrap/>
            <w:vAlign w:val="bottom"/>
            <w:hideMark/>
          </w:tcPr>
          <w:p w14:paraId="2C8C7EC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24E8A6B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9E60ECD" w14:textId="77777777" w:rsidTr="001E04CC">
        <w:trPr>
          <w:trHeight w:val="20"/>
        </w:trPr>
        <w:tc>
          <w:tcPr>
            <w:tcW w:w="2430" w:type="dxa"/>
            <w:tcBorders>
              <w:top w:val="nil"/>
              <w:left w:val="nil"/>
              <w:bottom w:val="nil"/>
              <w:right w:val="nil"/>
            </w:tcBorders>
            <w:shd w:val="clear" w:color="auto" w:fill="auto"/>
            <w:noWrap/>
            <w:vAlign w:val="bottom"/>
            <w:hideMark/>
          </w:tcPr>
          <w:p w14:paraId="230DA2D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Humalog</w:t>
            </w:r>
          </w:p>
        </w:tc>
        <w:tc>
          <w:tcPr>
            <w:tcW w:w="1332" w:type="dxa"/>
            <w:tcBorders>
              <w:top w:val="nil"/>
              <w:left w:val="nil"/>
              <w:bottom w:val="nil"/>
              <w:right w:val="nil"/>
            </w:tcBorders>
            <w:shd w:val="clear" w:color="auto" w:fill="auto"/>
            <w:noWrap/>
            <w:vAlign w:val="bottom"/>
            <w:hideMark/>
          </w:tcPr>
          <w:p w14:paraId="5D2BF49B" w14:textId="1627195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7A53BF7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D595F0F" w14:textId="77777777" w:rsidTr="001E04CC">
        <w:trPr>
          <w:trHeight w:val="20"/>
        </w:trPr>
        <w:tc>
          <w:tcPr>
            <w:tcW w:w="2430" w:type="dxa"/>
            <w:tcBorders>
              <w:top w:val="nil"/>
              <w:left w:val="nil"/>
              <w:bottom w:val="nil"/>
              <w:right w:val="nil"/>
            </w:tcBorders>
            <w:shd w:val="clear" w:color="auto" w:fill="auto"/>
            <w:noWrap/>
            <w:vAlign w:val="bottom"/>
            <w:hideMark/>
          </w:tcPr>
          <w:p w14:paraId="09D2BA0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Humalog Mix 50/50</w:t>
            </w:r>
          </w:p>
        </w:tc>
        <w:tc>
          <w:tcPr>
            <w:tcW w:w="1332" w:type="dxa"/>
            <w:tcBorders>
              <w:top w:val="nil"/>
              <w:left w:val="nil"/>
              <w:bottom w:val="nil"/>
              <w:right w:val="nil"/>
            </w:tcBorders>
            <w:shd w:val="clear" w:color="auto" w:fill="auto"/>
            <w:noWrap/>
            <w:vAlign w:val="bottom"/>
            <w:hideMark/>
          </w:tcPr>
          <w:p w14:paraId="74363849" w14:textId="42F4F71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5F1A41C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CF284B7" w14:textId="77777777" w:rsidTr="001E04CC">
        <w:trPr>
          <w:trHeight w:val="20"/>
        </w:trPr>
        <w:tc>
          <w:tcPr>
            <w:tcW w:w="2430" w:type="dxa"/>
            <w:tcBorders>
              <w:top w:val="nil"/>
              <w:left w:val="nil"/>
              <w:bottom w:val="nil"/>
              <w:right w:val="nil"/>
            </w:tcBorders>
            <w:shd w:val="clear" w:color="auto" w:fill="auto"/>
            <w:noWrap/>
            <w:vAlign w:val="bottom"/>
            <w:hideMark/>
          </w:tcPr>
          <w:p w14:paraId="38A0830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Humalog Mix 75/25</w:t>
            </w:r>
          </w:p>
        </w:tc>
        <w:tc>
          <w:tcPr>
            <w:tcW w:w="1332" w:type="dxa"/>
            <w:tcBorders>
              <w:top w:val="nil"/>
              <w:left w:val="nil"/>
              <w:bottom w:val="nil"/>
              <w:right w:val="nil"/>
            </w:tcBorders>
            <w:shd w:val="clear" w:color="auto" w:fill="auto"/>
            <w:noWrap/>
            <w:vAlign w:val="bottom"/>
            <w:hideMark/>
          </w:tcPr>
          <w:p w14:paraId="00CFE024" w14:textId="138DFD1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41D67FD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751217D" w14:textId="77777777" w:rsidTr="001E04CC">
        <w:trPr>
          <w:trHeight w:val="20"/>
        </w:trPr>
        <w:tc>
          <w:tcPr>
            <w:tcW w:w="2430" w:type="dxa"/>
            <w:tcBorders>
              <w:top w:val="nil"/>
              <w:left w:val="nil"/>
              <w:bottom w:val="nil"/>
              <w:right w:val="nil"/>
            </w:tcBorders>
            <w:shd w:val="clear" w:color="auto" w:fill="auto"/>
            <w:noWrap/>
            <w:vAlign w:val="bottom"/>
            <w:hideMark/>
          </w:tcPr>
          <w:p w14:paraId="5EDA353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Humulin 50/50</w:t>
            </w:r>
          </w:p>
        </w:tc>
        <w:tc>
          <w:tcPr>
            <w:tcW w:w="1332" w:type="dxa"/>
            <w:tcBorders>
              <w:top w:val="nil"/>
              <w:left w:val="nil"/>
              <w:bottom w:val="nil"/>
              <w:right w:val="nil"/>
            </w:tcBorders>
            <w:shd w:val="clear" w:color="auto" w:fill="auto"/>
            <w:noWrap/>
            <w:vAlign w:val="bottom"/>
            <w:hideMark/>
          </w:tcPr>
          <w:p w14:paraId="7438B641" w14:textId="4E2A7E36"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3EB4C0B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B4D2CBB" w14:textId="77777777" w:rsidTr="001E04CC">
        <w:trPr>
          <w:trHeight w:val="20"/>
        </w:trPr>
        <w:tc>
          <w:tcPr>
            <w:tcW w:w="2430" w:type="dxa"/>
            <w:tcBorders>
              <w:top w:val="nil"/>
              <w:left w:val="nil"/>
              <w:bottom w:val="nil"/>
              <w:right w:val="nil"/>
            </w:tcBorders>
            <w:shd w:val="clear" w:color="auto" w:fill="auto"/>
            <w:noWrap/>
            <w:vAlign w:val="bottom"/>
            <w:hideMark/>
          </w:tcPr>
          <w:p w14:paraId="3E7E946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Humulin 70/30</w:t>
            </w:r>
          </w:p>
        </w:tc>
        <w:tc>
          <w:tcPr>
            <w:tcW w:w="1332" w:type="dxa"/>
            <w:tcBorders>
              <w:top w:val="nil"/>
              <w:left w:val="nil"/>
              <w:bottom w:val="nil"/>
              <w:right w:val="nil"/>
            </w:tcBorders>
            <w:shd w:val="clear" w:color="auto" w:fill="auto"/>
            <w:noWrap/>
            <w:vAlign w:val="bottom"/>
            <w:hideMark/>
          </w:tcPr>
          <w:p w14:paraId="1910CF2D" w14:textId="50DF72C6"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34E89FF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A3A836C" w14:textId="77777777" w:rsidTr="001E04CC">
        <w:trPr>
          <w:trHeight w:val="20"/>
        </w:trPr>
        <w:tc>
          <w:tcPr>
            <w:tcW w:w="2430" w:type="dxa"/>
            <w:tcBorders>
              <w:top w:val="nil"/>
              <w:left w:val="nil"/>
              <w:bottom w:val="nil"/>
              <w:right w:val="nil"/>
            </w:tcBorders>
            <w:shd w:val="clear" w:color="auto" w:fill="auto"/>
            <w:noWrap/>
            <w:vAlign w:val="bottom"/>
            <w:hideMark/>
          </w:tcPr>
          <w:p w14:paraId="3AB9DAA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Humulin N</w:t>
            </w:r>
          </w:p>
        </w:tc>
        <w:tc>
          <w:tcPr>
            <w:tcW w:w="1332" w:type="dxa"/>
            <w:tcBorders>
              <w:top w:val="nil"/>
              <w:left w:val="nil"/>
              <w:bottom w:val="nil"/>
              <w:right w:val="nil"/>
            </w:tcBorders>
            <w:shd w:val="clear" w:color="auto" w:fill="auto"/>
            <w:noWrap/>
            <w:vAlign w:val="bottom"/>
            <w:hideMark/>
          </w:tcPr>
          <w:p w14:paraId="0705EE8C" w14:textId="50568ED2"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099D14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9162CCD" w14:textId="77777777" w:rsidTr="001E04CC">
        <w:trPr>
          <w:trHeight w:val="20"/>
        </w:trPr>
        <w:tc>
          <w:tcPr>
            <w:tcW w:w="2430" w:type="dxa"/>
            <w:tcBorders>
              <w:top w:val="nil"/>
              <w:left w:val="nil"/>
              <w:bottom w:val="nil"/>
              <w:right w:val="nil"/>
            </w:tcBorders>
            <w:shd w:val="clear" w:color="auto" w:fill="auto"/>
            <w:noWrap/>
            <w:vAlign w:val="bottom"/>
            <w:hideMark/>
          </w:tcPr>
          <w:p w14:paraId="61D0C6C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Humulin R</w:t>
            </w:r>
          </w:p>
        </w:tc>
        <w:tc>
          <w:tcPr>
            <w:tcW w:w="1332" w:type="dxa"/>
            <w:tcBorders>
              <w:top w:val="nil"/>
              <w:left w:val="nil"/>
              <w:bottom w:val="nil"/>
              <w:right w:val="nil"/>
            </w:tcBorders>
            <w:shd w:val="clear" w:color="auto" w:fill="auto"/>
            <w:noWrap/>
            <w:vAlign w:val="bottom"/>
            <w:hideMark/>
          </w:tcPr>
          <w:p w14:paraId="2167E7B7" w14:textId="7C5F3D6E"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2A311C4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C9B655B" w14:textId="77777777" w:rsidTr="001E04CC">
        <w:trPr>
          <w:trHeight w:val="20"/>
        </w:trPr>
        <w:tc>
          <w:tcPr>
            <w:tcW w:w="2430" w:type="dxa"/>
            <w:tcBorders>
              <w:top w:val="nil"/>
              <w:left w:val="nil"/>
              <w:bottom w:val="nil"/>
              <w:right w:val="nil"/>
            </w:tcBorders>
            <w:shd w:val="clear" w:color="auto" w:fill="auto"/>
            <w:noWrap/>
            <w:vAlign w:val="bottom"/>
            <w:hideMark/>
          </w:tcPr>
          <w:p w14:paraId="22C194F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hydralazine</w:t>
            </w:r>
          </w:p>
        </w:tc>
        <w:tc>
          <w:tcPr>
            <w:tcW w:w="1332" w:type="dxa"/>
            <w:tcBorders>
              <w:top w:val="nil"/>
              <w:left w:val="nil"/>
              <w:bottom w:val="nil"/>
              <w:right w:val="nil"/>
            </w:tcBorders>
            <w:shd w:val="clear" w:color="auto" w:fill="auto"/>
            <w:noWrap/>
            <w:vAlign w:val="bottom"/>
            <w:hideMark/>
          </w:tcPr>
          <w:p w14:paraId="777D393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A0929F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8FD2AA4" w14:textId="77777777" w:rsidTr="001E04CC">
        <w:trPr>
          <w:trHeight w:val="20"/>
        </w:trPr>
        <w:tc>
          <w:tcPr>
            <w:tcW w:w="2430" w:type="dxa"/>
            <w:tcBorders>
              <w:top w:val="nil"/>
              <w:left w:val="nil"/>
              <w:bottom w:val="nil"/>
              <w:right w:val="nil"/>
            </w:tcBorders>
            <w:shd w:val="clear" w:color="auto" w:fill="auto"/>
            <w:noWrap/>
            <w:vAlign w:val="bottom"/>
            <w:hideMark/>
          </w:tcPr>
          <w:p w14:paraId="208C4D9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hydrochlorothiazide</w:t>
            </w:r>
          </w:p>
        </w:tc>
        <w:tc>
          <w:tcPr>
            <w:tcW w:w="1332" w:type="dxa"/>
            <w:tcBorders>
              <w:top w:val="nil"/>
              <w:left w:val="nil"/>
              <w:bottom w:val="nil"/>
              <w:right w:val="nil"/>
            </w:tcBorders>
            <w:shd w:val="clear" w:color="auto" w:fill="auto"/>
            <w:noWrap/>
            <w:vAlign w:val="bottom"/>
            <w:hideMark/>
          </w:tcPr>
          <w:p w14:paraId="41898BA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4C01BF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DAA260F" w14:textId="77777777" w:rsidTr="001E04CC">
        <w:trPr>
          <w:trHeight w:val="20"/>
        </w:trPr>
        <w:tc>
          <w:tcPr>
            <w:tcW w:w="2430" w:type="dxa"/>
            <w:tcBorders>
              <w:top w:val="nil"/>
              <w:left w:val="nil"/>
              <w:bottom w:val="nil"/>
              <w:right w:val="nil"/>
            </w:tcBorders>
            <w:shd w:val="clear" w:color="auto" w:fill="auto"/>
            <w:noWrap/>
            <w:vAlign w:val="bottom"/>
            <w:hideMark/>
          </w:tcPr>
          <w:p w14:paraId="5359CEF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Hyzaar</w:t>
            </w:r>
            <w:proofErr w:type="spellEnd"/>
          </w:p>
        </w:tc>
        <w:tc>
          <w:tcPr>
            <w:tcW w:w="1332" w:type="dxa"/>
            <w:tcBorders>
              <w:top w:val="nil"/>
              <w:left w:val="nil"/>
              <w:bottom w:val="nil"/>
              <w:right w:val="nil"/>
            </w:tcBorders>
            <w:shd w:val="clear" w:color="auto" w:fill="auto"/>
            <w:noWrap/>
            <w:vAlign w:val="bottom"/>
            <w:hideMark/>
          </w:tcPr>
          <w:p w14:paraId="3765971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F626AD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B4F6D0" w14:textId="77777777" w:rsidTr="001E04CC">
        <w:trPr>
          <w:trHeight w:val="20"/>
        </w:trPr>
        <w:tc>
          <w:tcPr>
            <w:tcW w:w="2430" w:type="dxa"/>
            <w:tcBorders>
              <w:top w:val="nil"/>
              <w:left w:val="nil"/>
              <w:bottom w:val="nil"/>
              <w:right w:val="nil"/>
            </w:tcBorders>
            <w:shd w:val="clear" w:color="auto" w:fill="auto"/>
            <w:noWrap/>
            <w:vAlign w:val="bottom"/>
            <w:hideMark/>
          </w:tcPr>
          <w:p w14:paraId="5382C06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ibandronate</w:t>
            </w:r>
          </w:p>
        </w:tc>
        <w:tc>
          <w:tcPr>
            <w:tcW w:w="1332" w:type="dxa"/>
            <w:tcBorders>
              <w:top w:val="nil"/>
              <w:left w:val="nil"/>
              <w:bottom w:val="nil"/>
              <w:right w:val="nil"/>
            </w:tcBorders>
            <w:shd w:val="clear" w:color="auto" w:fill="auto"/>
            <w:noWrap/>
            <w:vAlign w:val="bottom"/>
            <w:hideMark/>
          </w:tcPr>
          <w:p w14:paraId="5A1BF6A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7DD31AB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E91B996" w14:textId="77777777" w:rsidTr="001E04CC">
        <w:trPr>
          <w:trHeight w:val="20"/>
        </w:trPr>
        <w:tc>
          <w:tcPr>
            <w:tcW w:w="2430" w:type="dxa"/>
            <w:tcBorders>
              <w:top w:val="nil"/>
              <w:left w:val="nil"/>
              <w:bottom w:val="nil"/>
              <w:right w:val="nil"/>
            </w:tcBorders>
            <w:shd w:val="clear" w:color="auto" w:fill="auto"/>
            <w:noWrap/>
            <w:vAlign w:val="bottom"/>
            <w:hideMark/>
          </w:tcPr>
          <w:p w14:paraId="076D47A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Imuran</w:t>
            </w:r>
          </w:p>
        </w:tc>
        <w:tc>
          <w:tcPr>
            <w:tcW w:w="1332" w:type="dxa"/>
            <w:tcBorders>
              <w:top w:val="nil"/>
              <w:left w:val="nil"/>
              <w:bottom w:val="nil"/>
              <w:right w:val="nil"/>
            </w:tcBorders>
            <w:shd w:val="clear" w:color="auto" w:fill="auto"/>
            <w:noWrap/>
            <w:vAlign w:val="bottom"/>
            <w:hideMark/>
          </w:tcPr>
          <w:p w14:paraId="0663A7F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382E983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BB49A32" w14:textId="77777777" w:rsidTr="001E04CC">
        <w:trPr>
          <w:trHeight w:val="20"/>
        </w:trPr>
        <w:tc>
          <w:tcPr>
            <w:tcW w:w="2430" w:type="dxa"/>
            <w:tcBorders>
              <w:top w:val="nil"/>
              <w:left w:val="nil"/>
              <w:bottom w:val="nil"/>
              <w:right w:val="nil"/>
            </w:tcBorders>
            <w:shd w:val="clear" w:color="auto" w:fill="auto"/>
            <w:noWrap/>
            <w:vAlign w:val="bottom"/>
            <w:hideMark/>
          </w:tcPr>
          <w:p w14:paraId="6789A04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indapamide</w:t>
            </w:r>
          </w:p>
        </w:tc>
        <w:tc>
          <w:tcPr>
            <w:tcW w:w="1332" w:type="dxa"/>
            <w:tcBorders>
              <w:top w:val="nil"/>
              <w:left w:val="nil"/>
              <w:bottom w:val="nil"/>
              <w:right w:val="nil"/>
            </w:tcBorders>
            <w:shd w:val="clear" w:color="auto" w:fill="auto"/>
            <w:noWrap/>
            <w:vAlign w:val="bottom"/>
            <w:hideMark/>
          </w:tcPr>
          <w:p w14:paraId="25D5EC0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ACD940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4EB1F01" w14:textId="77777777" w:rsidTr="001E04CC">
        <w:trPr>
          <w:trHeight w:val="20"/>
        </w:trPr>
        <w:tc>
          <w:tcPr>
            <w:tcW w:w="2430" w:type="dxa"/>
            <w:tcBorders>
              <w:top w:val="nil"/>
              <w:left w:val="nil"/>
              <w:bottom w:val="nil"/>
              <w:right w:val="nil"/>
            </w:tcBorders>
            <w:shd w:val="clear" w:color="auto" w:fill="auto"/>
            <w:noWrap/>
            <w:vAlign w:val="bottom"/>
            <w:hideMark/>
          </w:tcPr>
          <w:p w14:paraId="3A8C5F3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Inderal </w:t>
            </w:r>
          </w:p>
        </w:tc>
        <w:tc>
          <w:tcPr>
            <w:tcW w:w="1332" w:type="dxa"/>
            <w:tcBorders>
              <w:top w:val="nil"/>
              <w:left w:val="nil"/>
              <w:bottom w:val="nil"/>
              <w:right w:val="nil"/>
            </w:tcBorders>
            <w:shd w:val="clear" w:color="auto" w:fill="auto"/>
            <w:noWrap/>
            <w:vAlign w:val="bottom"/>
            <w:hideMark/>
          </w:tcPr>
          <w:p w14:paraId="362D557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43373B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61CB7BB" w14:textId="77777777" w:rsidTr="001E04CC">
        <w:trPr>
          <w:trHeight w:val="20"/>
        </w:trPr>
        <w:tc>
          <w:tcPr>
            <w:tcW w:w="2430" w:type="dxa"/>
            <w:tcBorders>
              <w:top w:val="nil"/>
              <w:left w:val="nil"/>
              <w:bottom w:val="nil"/>
              <w:right w:val="nil"/>
            </w:tcBorders>
            <w:shd w:val="clear" w:color="auto" w:fill="auto"/>
            <w:noWrap/>
            <w:vAlign w:val="bottom"/>
            <w:hideMark/>
          </w:tcPr>
          <w:p w14:paraId="0B1135F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Inderal LA</w:t>
            </w:r>
          </w:p>
        </w:tc>
        <w:tc>
          <w:tcPr>
            <w:tcW w:w="1332" w:type="dxa"/>
            <w:tcBorders>
              <w:top w:val="nil"/>
              <w:left w:val="nil"/>
              <w:bottom w:val="nil"/>
              <w:right w:val="nil"/>
            </w:tcBorders>
            <w:shd w:val="clear" w:color="auto" w:fill="auto"/>
            <w:noWrap/>
            <w:vAlign w:val="bottom"/>
            <w:hideMark/>
          </w:tcPr>
          <w:p w14:paraId="2E4F2A7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E1C7E0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E412D49" w14:textId="77777777" w:rsidTr="001E04CC">
        <w:trPr>
          <w:trHeight w:val="20"/>
        </w:trPr>
        <w:tc>
          <w:tcPr>
            <w:tcW w:w="2430" w:type="dxa"/>
            <w:tcBorders>
              <w:top w:val="nil"/>
              <w:left w:val="nil"/>
              <w:bottom w:val="nil"/>
              <w:right w:val="nil"/>
            </w:tcBorders>
            <w:shd w:val="clear" w:color="auto" w:fill="auto"/>
            <w:noWrap/>
            <w:vAlign w:val="bottom"/>
            <w:hideMark/>
          </w:tcPr>
          <w:p w14:paraId="66C12FD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Innopran</w:t>
            </w:r>
            <w:proofErr w:type="spellEnd"/>
            <w:r w:rsidRPr="001A20A2">
              <w:rPr>
                <w:rFonts w:ascii="Calibri" w:eastAsia="Times New Roman" w:hAnsi="Calibri" w:cs="Times New Roman"/>
                <w:color w:val="000000"/>
                <w:sz w:val="16"/>
                <w:szCs w:val="16"/>
              </w:rPr>
              <w:t xml:space="preserve"> XL</w:t>
            </w:r>
          </w:p>
        </w:tc>
        <w:tc>
          <w:tcPr>
            <w:tcW w:w="1332" w:type="dxa"/>
            <w:tcBorders>
              <w:top w:val="nil"/>
              <w:left w:val="nil"/>
              <w:bottom w:val="nil"/>
              <w:right w:val="nil"/>
            </w:tcBorders>
            <w:shd w:val="clear" w:color="auto" w:fill="auto"/>
            <w:noWrap/>
            <w:vAlign w:val="bottom"/>
            <w:hideMark/>
          </w:tcPr>
          <w:p w14:paraId="1C5519B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7C7FCF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9B9ACB7" w14:textId="77777777" w:rsidTr="001E04CC">
        <w:trPr>
          <w:trHeight w:val="20"/>
        </w:trPr>
        <w:tc>
          <w:tcPr>
            <w:tcW w:w="2430" w:type="dxa"/>
            <w:tcBorders>
              <w:top w:val="nil"/>
              <w:left w:val="nil"/>
              <w:bottom w:val="nil"/>
              <w:right w:val="nil"/>
            </w:tcBorders>
            <w:shd w:val="clear" w:color="auto" w:fill="auto"/>
            <w:noWrap/>
            <w:vAlign w:val="bottom"/>
            <w:hideMark/>
          </w:tcPr>
          <w:p w14:paraId="457305E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Inspra</w:t>
            </w:r>
            <w:proofErr w:type="spellEnd"/>
          </w:p>
        </w:tc>
        <w:tc>
          <w:tcPr>
            <w:tcW w:w="1332" w:type="dxa"/>
            <w:tcBorders>
              <w:top w:val="nil"/>
              <w:left w:val="nil"/>
              <w:bottom w:val="nil"/>
              <w:right w:val="nil"/>
            </w:tcBorders>
            <w:shd w:val="clear" w:color="auto" w:fill="auto"/>
            <w:noWrap/>
            <w:vAlign w:val="bottom"/>
            <w:hideMark/>
          </w:tcPr>
          <w:p w14:paraId="68B6A4E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1E1AD1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33B012C" w14:textId="77777777" w:rsidTr="001E04CC">
        <w:trPr>
          <w:trHeight w:val="20"/>
        </w:trPr>
        <w:tc>
          <w:tcPr>
            <w:tcW w:w="2430" w:type="dxa"/>
            <w:tcBorders>
              <w:top w:val="nil"/>
              <w:left w:val="nil"/>
              <w:bottom w:val="nil"/>
              <w:right w:val="nil"/>
            </w:tcBorders>
            <w:shd w:val="clear" w:color="auto" w:fill="auto"/>
            <w:noWrap/>
            <w:vAlign w:val="bottom"/>
            <w:hideMark/>
          </w:tcPr>
          <w:p w14:paraId="332390C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insulin needles/syringes</w:t>
            </w:r>
          </w:p>
        </w:tc>
        <w:tc>
          <w:tcPr>
            <w:tcW w:w="1332" w:type="dxa"/>
            <w:tcBorders>
              <w:top w:val="nil"/>
              <w:left w:val="nil"/>
              <w:bottom w:val="nil"/>
              <w:right w:val="nil"/>
            </w:tcBorders>
            <w:shd w:val="clear" w:color="auto" w:fill="auto"/>
            <w:noWrap/>
            <w:vAlign w:val="bottom"/>
            <w:hideMark/>
          </w:tcPr>
          <w:p w14:paraId="76768AF1" w14:textId="4FFE02A0"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Supplies</w:t>
            </w:r>
          </w:p>
        </w:tc>
        <w:tc>
          <w:tcPr>
            <w:tcW w:w="900" w:type="dxa"/>
            <w:tcBorders>
              <w:top w:val="nil"/>
              <w:left w:val="nil"/>
              <w:bottom w:val="nil"/>
              <w:right w:val="nil"/>
            </w:tcBorders>
            <w:shd w:val="clear" w:color="auto" w:fill="auto"/>
            <w:noWrap/>
            <w:vAlign w:val="bottom"/>
            <w:hideMark/>
          </w:tcPr>
          <w:p w14:paraId="3CBD3F8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05CEDF7" w14:textId="77777777" w:rsidTr="001E04CC">
        <w:trPr>
          <w:trHeight w:val="20"/>
        </w:trPr>
        <w:tc>
          <w:tcPr>
            <w:tcW w:w="2430" w:type="dxa"/>
            <w:tcBorders>
              <w:top w:val="nil"/>
              <w:left w:val="nil"/>
              <w:bottom w:val="nil"/>
              <w:right w:val="nil"/>
            </w:tcBorders>
            <w:shd w:val="clear" w:color="auto" w:fill="auto"/>
            <w:noWrap/>
            <w:vAlign w:val="bottom"/>
            <w:hideMark/>
          </w:tcPr>
          <w:p w14:paraId="49A8DAB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Intelence</w:t>
            </w:r>
            <w:proofErr w:type="spellEnd"/>
          </w:p>
        </w:tc>
        <w:tc>
          <w:tcPr>
            <w:tcW w:w="1332" w:type="dxa"/>
            <w:tcBorders>
              <w:top w:val="nil"/>
              <w:left w:val="nil"/>
              <w:bottom w:val="nil"/>
              <w:right w:val="nil"/>
            </w:tcBorders>
            <w:shd w:val="clear" w:color="auto" w:fill="auto"/>
            <w:noWrap/>
            <w:vAlign w:val="bottom"/>
            <w:hideMark/>
          </w:tcPr>
          <w:p w14:paraId="6DDC51C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38397C2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FD8A87D" w14:textId="77777777" w:rsidTr="001E04CC">
        <w:trPr>
          <w:trHeight w:val="20"/>
        </w:trPr>
        <w:tc>
          <w:tcPr>
            <w:tcW w:w="2430" w:type="dxa"/>
            <w:tcBorders>
              <w:top w:val="nil"/>
              <w:left w:val="nil"/>
              <w:bottom w:val="nil"/>
              <w:right w:val="nil"/>
            </w:tcBorders>
            <w:shd w:val="clear" w:color="auto" w:fill="auto"/>
            <w:noWrap/>
            <w:vAlign w:val="bottom"/>
            <w:hideMark/>
          </w:tcPr>
          <w:p w14:paraId="5821D1A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Invega</w:t>
            </w:r>
          </w:p>
        </w:tc>
        <w:tc>
          <w:tcPr>
            <w:tcW w:w="1332" w:type="dxa"/>
            <w:tcBorders>
              <w:top w:val="nil"/>
              <w:left w:val="nil"/>
              <w:bottom w:val="nil"/>
              <w:right w:val="nil"/>
            </w:tcBorders>
            <w:shd w:val="clear" w:color="auto" w:fill="auto"/>
            <w:noWrap/>
            <w:vAlign w:val="bottom"/>
            <w:hideMark/>
          </w:tcPr>
          <w:p w14:paraId="2473F07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0EDD036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DA0724B" w14:textId="77777777" w:rsidTr="001E04CC">
        <w:trPr>
          <w:trHeight w:val="20"/>
        </w:trPr>
        <w:tc>
          <w:tcPr>
            <w:tcW w:w="2430" w:type="dxa"/>
            <w:tcBorders>
              <w:top w:val="nil"/>
              <w:left w:val="nil"/>
              <w:bottom w:val="nil"/>
              <w:right w:val="nil"/>
            </w:tcBorders>
            <w:shd w:val="clear" w:color="auto" w:fill="auto"/>
            <w:noWrap/>
            <w:vAlign w:val="bottom"/>
            <w:hideMark/>
          </w:tcPr>
          <w:p w14:paraId="45C498F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Invirase</w:t>
            </w:r>
          </w:p>
        </w:tc>
        <w:tc>
          <w:tcPr>
            <w:tcW w:w="1332" w:type="dxa"/>
            <w:tcBorders>
              <w:top w:val="nil"/>
              <w:left w:val="nil"/>
              <w:bottom w:val="nil"/>
              <w:right w:val="nil"/>
            </w:tcBorders>
            <w:shd w:val="clear" w:color="auto" w:fill="auto"/>
            <w:noWrap/>
            <w:vAlign w:val="bottom"/>
            <w:hideMark/>
          </w:tcPr>
          <w:p w14:paraId="222D994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4A5EB05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91D32E8" w14:textId="77777777" w:rsidTr="001E04CC">
        <w:trPr>
          <w:trHeight w:val="20"/>
        </w:trPr>
        <w:tc>
          <w:tcPr>
            <w:tcW w:w="2430" w:type="dxa"/>
            <w:tcBorders>
              <w:top w:val="nil"/>
              <w:left w:val="nil"/>
              <w:bottom w:val="nil"/>
              <w:right w:val="nil"/>
            </w:tcBorders>
            <w:shd w:val="clear" w:color="auto" w:fill="auto"/>
            <w:noWrap/>
            <w:vAlign w:val="bottom"/>
            <w:hideMark/>
          </w:tcPr>
          <w:p w14:paraId="7F4D7BE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Invokana</w:t>
            </w:r>
          </w:p>
        </w:tc>
        <w:tc>
          <w:tcPr>
            <w:tcW w:w="1332" w:type="dxa"/>
            <w:tcBorders>
              <w:top w:val="nil"/>
              <w:left w:val="nil"/>
              <w:bottom w:val="nil"/>
              <w:right w:val="nil"/>
            </w:tcBorders>
            <w:shd w:val="clear" w:color="auto" w:fill="auto"/>
            <w:noWrap/>
            <w:vAlign w:val="bottom"/>
            <w:hideMark/>
          </w:tcPr>
          <w:p w14:paraId="5A97A396" w14:textId="4130210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66B9AC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44E357F" w14:textId="77777777" w:rsidTr="001E04CC">
        <w:trPr>
          <w:trHeight w:val="20"/>
        </w:trPr>
        <w:tc>
          <w:tcPr>
            <w:tcW w:w="2430" w:type="dxa"/>
            <w:tcBorders>
              <w:top w:val="nil"/>
              <w:left w:val="nil"/>
              <w:bottom w:val="nil"/>
              <w:right w:val="nil"/>
            </w:tcBorders>
            <w:shd w:val="clear" w:color="auto" w:fill="auto"/>
            <w:noWrap/>
            <w:vAlign w:val="bottom"/>
            <w:hideMark/>
          </w:tcPr>
          <w:p w14:paraId="2036E91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ipratropium</w:t>
            </w:r>
          </w:p>
        </w:tc>
        <w:tc>
          <w:tcPr>
            <w:tcW w:w="1332" w:type="dxa"/>
            <w:tcBorders>
              <w:top w:val="nil"/>
              <w:left w:val="nil"/>
              <w:bottom w:val="nil"/>
              <w:right w:val="nil"/>
            </w:tcBorders>
            <w:shd w:val="clear" w:color="auto" w:fill="auto"/>
            <w:noWrap/>
            <w:vAlign w:val="bottom"/>
            <w:hideMark/>
          </w:tcPr>
          <w:p w14:paraId="7598E6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5BD901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642367B" w14:textId="77777777" w:rsidTr="001E04CC">
        <w:trPr>
          <w:trHeight w:val="20"/>
        </w:trPr>
        <w:tc>
          <w:tcPr>
            <w:tcW w:w="2430" w:type="dxa"/>
            <w:tcBorders>
              <w:top w:val="nil"/>
              <w:left w:val="nil"/>
              <w:bottom w:val="nil"/>
              <w:right w:val="nil"/>
            </w:tcBorders>
            <w:shd w:val="clear" w:color="auto" w:fill="auto"/>
            <w:noWrap/>
            <w:vAlign w:val="bottom"/>
            <w:hideMark/>
          </w:tcPr>
          <w:p w14:paraId="5767333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ipratropium/albuterol</w:t>
            </w:r>
          </w:p>
        </w:tc>
        <w:tc>
          <w:tcPr>
            <w:tcW w:w="1332" w:type="dxa"/>
            <w:tcBorders>
              <w:top w:val="nil"/>
              <w:left w:val="nil"/>
              <w:bottom w:val="nil"/>
              <w:right w:val="nil"/>
            </w:tcBorders>
            <w:shd w:val="clear" w:color="auto" w:fill="auto"/>
            <w:noWrap/>
            <w:vAlign w:val="bottom"/>
            <w:hideMark/>
          </w:tcPr>
          <w:p w14:paraId="2D25666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ED7577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07AC63B" w14:textId="77777777" w:rsidTr="001E04CC">
        <w:trPr>
          <w:trHeight w:val="20"/>
        </w:trPr>
        <w:tc>
          <w:tcPr>
            <w:tcW w:w="2430" w:type="dxa"/>
            <w:tcBorders>
              <w:top w:val="nil"/>
              <w:left w:val="nil"/>
              <w:bottom w:val="nil"/>
              <w:right w:val="nil"/>
            </w:tcBorders>
            <w:shd w:val="clear" w:color="auto" w:fill="auto"/>
            <w:noWrap/>
            <w:vAlign w:val="bottom"/>
            <w:hideMark/>
          </w:tcPr>
          <w:p w14:paraId="653101D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lastRenderedPageBreak/>
              <w:t>irbesartan</w:t>
            </w:r>
          </w:p>
        </w:tc>
        <w:tc>
          <w:tcPr>
            <w:tcW w:w="1332" w:type="dxa"/>
            <w:tcBorders>
              <w:top w:val="nil"/>
              <w:left w:val="nil"/>
              <w:bottom w:val="nil"/>
              <w:right w:val="nil"/>
            </w:tcBorders>
            <w:shd w:val="clear" w:color="auto" w:fill="auto"/>
            <w:noWrap/>
            <w:vAlign w:val="bottom"/>
            <w:hideMark/>
          </w:tcPr>
          <w:p w14:paraId="2421A52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9C9742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E292283" w14:textId="77777777" w:rsidTr="001E04CC">
        <w:trPr>
          <w:trHeight w:val="20"/>
        </w:trPr>
        <w:tc>
          <w:tcPr>
            <w:tcW w:w="2430" w:type="dxa"/>
            <w:tcBorders>
              <w:top w:val="nil"/>
              <w:left w:val="nil"/>
              <w:bottom w:val="nil"/>
              <w:right w:val="nil"/>
            </w:tcBorders>
            <w:shd w:val="clear" w:color="auto" w:fill="auto"/>
            <w:noWrap/>
            <w:vAlign w:val="bottom"/>
            <w:hideMark/>
          </w:tcPr>
          <w:p w14:paraId="01137DC9" w14:textId="5253DC3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irbesartan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hydrochlorothiazide</w:t>
            </w:r>
          </w:p>
        </w:tc>
        <w:tc>
          <w:tcPr>
            <w:tcW w:w="1332" w:type="dxa"/>
            <w:tcBorders>
              <w:top w:val="nil"/>
              <w:left w:val="nil"/>
              <w:bottom w:val="nil"/>
              <w:right w:val="nil"/>
            </w:tcBorders>
            <w:shd w:val="clear" w:color="auto" w:fill="auto"/>
            <w:noWrap/>
            <w:vAlign w:val="bottom"/>
            <w:hideMark/>
          </w:tcPr>
          <w:p w14:paraId="63CD2BE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11A6F3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F5994F4" w14:textId="77777777" w:rsidTr="001E04CC">
        <w:trPr>
          <w:trHeight w:val="20"/>
        </w:trPr>
        <w:tc>
          <w:tcPr>
            <w:tcW w:w="2430" w:type="dxa"/>
            <w:tcBorders>
              <w:top w:val="nil"/>
              <w:left w:val="nil"/>
              <w:bottom w:val="nil"/>
              <w:right w:val="nil"/>
            </w:tcBorders>
            <w:shd w:val="clear" w:color="auto" w:fill="auto"/>
            <w:noWrap/>
            <w:vAlign w:val="bottom"/>
            <w:hideMark/>
          </w:tcPr>
          <w:p w14:paraId="0B1DE8C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Isentress</w:t>
            </w:r>
            <w:proofErr w:type="spellEnd"/>
          </w:p>
        </w:tc>
        <w:tc>
          <w:tcPr>
            <w:tcW w:w="1332" w:type="dxa"/>
            <w:tcBorders>
              <w:top w:val="nil"/>
              <w:left w:val="nil"/>
              <w:bottom w:val="nil"/>
              <w:right w:val="nil"/>
            </w:tcBorders>
            <w:shd w:val="clear" w:color="auto" w:fill="auto"/>
            <w:noWrap/>
            <w:vAlign w:val="bottom"/>
            <w:hideMark/>
          </w:tcPr>
          <w:p w14:paraId="15774D5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1CDEED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E20A7BE" w14:textId="77777777" w:rsidTr="001E04CC">
        <w:trPr>
          <w:trHeight w:val="20"/>
        </w:trPr>
        <w:tc>
          <w:tcPr>
            <w:tcW w:w="2430" w:type="dxa"/>
            <w:tcBorders>
              <w:top w:val="nil"/>
              <w:left w:val="nil"/>
              <w:bottom w:val="nil"/>
              <w:right w:val="nil"/>
            </w:tcBorders>
            <w:shd w:val="clear" w:color="auto" w:fill="auto"/>
            <w:noWrap/>
            <w:vAlign w:val="bottom"/>
            <w:hideMark/>
          </w:tcPr>
          <w:p w14:paraId="1AB42CE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Isoptin</w:t>
            </w:r>
            <w:proofErr w:type="spellEnd"/>
            <w:r w:rsidRPr="001A20A2">
              <w:rPr>
                <w:rFonts w:ascii="Calibri" w:eastAsia="Times New Roman" w:hAnsi="Calibri" w:cs="Times New Roman"/>
                <w:color w:val="000000"/>
                <w:sz w:val="16"/>
                <w:szCs w:val="16"/>
              </w:rPr>
              <w:t xml:space="preserve"> SR</w:t>
            </w:r>
          </w:p>
        </w:tc>
        <w:tc>
          <w:tcPr>
            <w:tcW w:w="1332" w:type="dxa"/>
            <w:tcBorders>
              <w:top w:val="nil"/>
              <w:left w:val="nil"/>
              <w:bottom w:val="nil"/>
              <w:right w:val="nil"/>
            </w:tcBorders>
            <w:shd w:val="clear" w:color="auto" w:fill="auto"/>
            <w:noWrap/>
            <w:vAlign w:val="bottom"/>
            <w:hideMark/>
          </w:tcPr>
          <w:p w14:paraId="0D2B991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C9C2AB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9D676C3" w14:textId="77777777" w:rsidTr="001E04CC">
        <w:trPr>
          <w:trHeight w:val="20"/>
        </w:trPr>
        <w:tc>
          <w:tcPr>
            <w:tcW w:w="2430" w:type="dxa"/>
            <w:tcBorders>
              <w:top w:val="nil"/>
              <w:left w:val="nil"/>
              <w:bottom w:val="nil"/>
              <w:right w:val="nil"/>
            </w:tcBorders>
            <w:shd w:val="clear" w:color="auto" w:fill="auto"/>
            <w:noWrap/>
            <w:vAlign w:val="bottom"/>
            <w:hideMark/>
          </w:tcPr>
          <w:p w14:paraId="75D0135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isradipine</w:t>
            </w:r>
            <w:proofErr w:type="spellEnd"/>
          </w:p>
        </w:tc>
        <w:tc>
          <w:tcPr>
            <w:tcW w:w="1332" w:type="dxa"/>
            <w:tcBorders>
              <w:top w:val="nil"/>
              <w:left w:val="nil"/>
              <w:bottom w:val="nil"/>
              <w:right w:val="nil"/>
            </w:tcBorders>
            <w:shd w:val="clear" w:color="auto" w:fill="auto"/>
            <w:noWrap/>
            <w:vAlign w:val="bottom"/>
            <w:hideMark/>
          </w:tcPr>
          <w:p w14:paraId="4A83D3F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E687ED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BF9D3AE" w14:textId="77777777" w:rsidTr="001E04CC">
        <w:trPr>
          <w:trHeight w:val="20"/>
        </w:trPr>
        <w:tc>
          <w:tcPr>
            <w:tcW w:w="2430" w:type="dxa"/>
            <w:tcBorders>
              <w:top w:val="nil"/>
              <w:left w:val="nil"/>
              <w:bottom w:val="nil"/>
              <w:right w:val="nil"/>
            </w:tcBorders>
            <w:shd w:val="clear" w:color="auto" w:fill="auto"/>
            <w:noWrap/>
            <w:vAlign w:val="bottom"/>
            <w:hideMark/>
          </w:tcPr>
          <w:p w14:paraId="4396F85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Jantoven</w:t>
            </w:r>
            <w:proofErr w:type="spellEnd"/>
          </w:p>
        </w:tc>
        <w:tc>
          <w:tcPr>
            <w:tcW w:w="1332" w:type="dxa"/>
            <w:tcBorders>
              <w:top w:val="nil"/>
              <w:left w:val="nil"/>
              <w:bottom w:val="nil"/>
              <w:right w:val="nil"/>
            </w:tcBorders>
            <w:shd w:val="clear" w:color="auto" w:fill="auto"/>
            <w:noWrap/>
            <w:vAlign w:val="bottom"/>
            <w:hideMark/>
          </w:tcPr>
          <w:p w14:paraId="11C147B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3EE82C5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51CEDBB" w14:textId="77777777" w:rsidTr="001E04CC">
        <w:trPr>
          <w:trHeight w:val="20"/>
        </w:trPr>
        <w:tc>
          <w:tcPr>
            <w:tcW w:w="2430" w:type="dxa"/>
            <w:tcBorders>
              <w:top w:val="nil"/>
              <w:left w:val="nil"/>
              <w:bottom w:val="nil"/>
              <w:right w:val="nil"/>
            </w:tcBorders>
            <w:shd w:val="clear" w:color="auto" w:fill="auto"/>
            <w:noWrap/>
            <w:vAlign w:val="bottom"/>
            <w:hideMark/>
          </w:tcPr>
          <w:p w14:paraId="6A3A9E6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Janumet</w:t>
            </w:r>
          </w:p>
        </w:tc>
        <w:tc>
          <w:tcPr>
            <w:tcW w:w="1332" w:type="dxa"/>
            <w:tcBorders>
              <w:top w:val="nil"/>
              <w:left w:val="nil"/>
              <w:bottom w:val="nil"/>
              <w:right w:val="nil"/>
            </w:tcBorders>
            <w:shd w:val="clear" w:color="auto" w:fill="auto"/>
            <w:noWrap/>
            <w:vAlign w:val="bottom"/>
            <w:hideMark/>
          </w:tcPr>
          <w:p w14:paraId="65DB369F" w14:textId="54E8242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5CB58D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1764D04" w14:textId="77777777" w:rsidTr="001E04CC">
        <w:trPr>
          <w:trHeight w:val="20"/>
        </w:trPr>
        <w:tc>
          <w:tcPr>
            <w:tcW w:w="2430" w:type="dxa"/>
            <w:tcBorders>
              <w:top w:val="nil"/>
              <w:left w:val="nil"/>
              <w:bottom w:val="nil"/>
              <w:right w:val="nil"/>
            </w:tcBorders>
            <w:shd w:val="clear" w:color="auto" w:fill="auto"/>
            <w:noWrap/>
            <w:vAlign w:val="bottom"/>
            <w:hideMark/>
          </w:tcPr>
          <w:p w14:paraId="41D8D16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Janumet XR</w:t>
            </w:r>
          </w:p>
        </w:tc>
        <w:tc>
          <w:tcPr>
            <w:tcW w:w="1332" w:type="dxa"/>
            <w:tcBorders>
              <w:top w:val="nil"/>
              <w:left w:val="nil"/>
              <w:bottom w:val="nil"/>
              <w:right w:val="nil"/>
            </w:tcBorders>
            <w:shd w:val="clear" w:color="auto" w:fill="auto"/>
            <w:noWrap/>
            <w:vAlign w:val="bottom"/>
            <w:hideMark/>
          </w:tcPr>
          <w:p w14:paraId="35E77980" w14:textId="1582867C"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C2CE5B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F5C0F04" w14:textId="77777777" w:rsidTr="001E04CC">
        <w:trPr>
          <w:trHeight w:val="20"/>
        </w:trPr>
        <w:tc>
          <w:tcPr>
            <w:tcW w:w="2430" w:type="dxa"/>
            <w:tcBorders>
              <w:top w:val="nil"/>
              <w:left w:val="nil"/>
              <w:bottom w:val="nil"/>
              <w:right w:val="nil"/>
            </w:tcBorders>
            <w:shd w:val="clear" w:color="auto" w:fill="auto"/>
            <w:noWrap/>
            <w:vAlign w:val="bottom"/>
            <w:hideMark/>
          </w:tcPr>
          <w:p w14:paraId="227565A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Januvia</w:t>
            </w:r>
          </w:p>
        </w:tc>
        <w:tc>
          <w:tcPr>
            <w:tcW w:w="1332" w:type="dxa"/>
            <w:tcBorders>
              <w:top w:val="nil"/>
              <w:left w:val="nil"/>
              <w:bottom w:val="nil"/>
              <w:right w:val="nil"/>
            </w:tcBorders>
            <w:shd w:val="clear" w:color="auto" w:fill="auto"/>
            <w:noWrap/>
            <w:vAlign w:val="bottom"/>
            <w:hideMark/>
          </w:tcPr>
          <w:p w14:paraId="0CC8766E" w14:textId="56DBEA3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174227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21F5FBF" w14:textId="77777777" w:rsidTr="001E04CC">
        <w:trPr>
          <w:trHeight w:val="20"/>
        </w:trPr>
        <w:tc>
          <w:tcPr>
            <w:tcW w:w="2430" w:type="dxa"/>
            <w:tcBorders>
              <w:top w:val="nil"/>
              <w:left w:val="nil"/>
              <w:bottom w:val="nil"/>
              <w:right w:val="nil"/>
            </w:tcBorders>
            <w:shd w:val="clear" w:color="auto" w:fill="auto"/>
            <w:noWrap/>
            <w:vAlign w:val="bottom"/>
            <w:hideMark/>
          </w:tcPr>
          <w:p w14:paraId="69B9051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Jentadueto</w:t>
            </w:r>
            <w:proofErr w:type="spellEnd"/>
          </w:p>
        </w:tc>
        <w:tc>
          <w:tcPr>
            <w:tcW w:w="1332" w:type="dxa"/>
            <w:tcBorders>
              <w:top w:val="nil"/>
              <w:left w:val="nil"/>
              <w:bottom w:val="nil"/>
              <w:right w:val="nil"/>
            </w:tcBorders>
            <w:shd w:val="clear" w:color="auto" w:fill="auto"/>
            <w:noWrap/>
            <w:vAlign w:val="bottom"/>
            <w:hideMark/>
          </w:tcPr>
          <w:p w14:paraId="7A05133A" w14:textId="4A95052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FBF8A0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5DE84F4" w14:textId="77777777" w:rsidTr="001E04CC">
        <w:trPr>
          <w:trHeight w:val="20"/>
        </w:trPr>
        <w:tc>
          <w:tcPr>
            <w:tcW w:w="2430" w:type="dxa"/>
            <w:tcBorders>
              <w:top w:val="nil"/>
              <w:left w:val="nil"/>
              <w:bottom w:val="nil"/>
              <w:right w:val="nil"/>
            </w:tcBorders>
            <w:shd w:val="clear" w:color="auto" w:fill="auto"/>
            <w:noWrap/>
            <w:vAlign w:val="bottom"/>
            <w:hideMark/>
          </w:tcPr>
          <w:p w14:paraId="68A9127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Kaletra</w:t>
            </w:r>
            <w:proofErr w:type="spellEnd"/>
          </w:p>
        </w:tc>
        <w:tc>
          <w:tcPr>
            <w:tcW w:w="1332" w:type="dxa"/>
            <w:tcBorders>
              <w:top w:val="nil"/>
              <w:left w:val="nil"/>
              <w:bottom w:val="nil"/>
              <w:right w:val="nil"/>
            </w:tcBorders>
            <w:shd w:val="clear" w:color="auto" w:fill="auto"/>
            <w:noWrap/>
            <w:vAlign w:val="bottom"/>
            <w:hideMark/>
          </w:tcPr>
          <w:p w14:paraId="3936C85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05B041F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1D26255" w14:textId="77777777" w:rsidTr="001E04CC">
        <w:trPr>
          <w:trHeight w:val="20"/>
        </w:trPr>
        <w:tc>
          <w:tcPr>
            <w:tcW w:w="2430" w:type="dxa"/>
            <w:tcBorders>
              <w:top w:val="nil"/>
              <w:left w:val="nil"/>
              <w:bottom w:val="nil"/>
              <w:right w:val="nil"/>
            </w:tcBorders>
            <w:shd w:val="clear" w:color="auto" w:fill="auto"/>
            <w:noWrap/>
            <w:vAlign w:val="bottom"/>
            <w:hideMark/>
          </w:tcPr>
          <w:p w14:paraId="549F6CA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Kazano</w:t>
            </w:r>
            <w:proofErr w:type="spellEnd"/>
          </w:p>
        </w:tc>
        <w:tc>
          <w:tcPr>
            <w:tcW w:w="1332" w:type="dxa"/>
            <w:tcBorders>
              <w:top w:val="nil"/>
              <w:left w:val="nil"/>
              <w:bottom w:val="nil"/>
              <w:right w:val="nil"/>
            </w:tcBorders>
            <w:shd w:val="clear" w:color="auto" w:fill="auto"/>
            <w:noWrap/>
            <w:vAlign w:val="bottom"/>
            <w:hideMark/>
          </w:tcPr>
          <w:p w14:paraId="0317ADEB" w14:textId="28F8622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E77B7C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8C1BB36" w14:textId="77777777" w:rsidTr="001E04CC">
        <w:trPr>
          <w:trHeight w:val="20"/>
        </w:trPr>
        <w:tc>
          <w:tcPr>
            <w:tcW w:w="2430" w:type="dxa"/>
            <w:tcBorders>
              <w:top w:val="nil"/>
              <w:left w:val="nil"/>
              <w:bottom w:val="nil"/>
              <w:right w:val="nil"/>
            </w:tcBorders>
            <w:shd w:val="clear" w:color="auto" w:fill="auto"/>
            <w:noWrap/>
            <w:vAlign w:val="bottom"/>
            <w:hideMark/>
          </w:tcPr>
          <w:p w14:paraId="4F1305D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Kombiglyze</w:t>
            </w:r>
            <w:proofErr w:type="spellEnd"/>
            <w:r w:rsidRPr="001A20A2">
              <w:rPr>
                <w:rFonts w:ascii="Calibri" w:eastAsia="Times New Roman" w:hAnsi="Calibri" w:cs="Times New Roman"/>
                <w:color w:val="000000"/>
                <w:sz w:val="16"/>
                <w:szCs w:val="16"/>
              </w:rPr>
              <w:t xml:space="preserve"> XR</w:t>
            </w:r>
          </w:p>
        </w:tc>
        <w:tc>
          <w:tcPr>
            <w:tcW w:w="1332" w:type="dxa"/>
            <w:tcBorders>
              <w:top w:val="nil"/>
              <w:left w:val="nil"/>
              <w:bottom w:val="nil"/>
              <w:right w:val="nil"/>
            </w:tcBorders>
            <w:shd w:val="clear" w:color="auto" w:fill="auto"/>
            <w:noWrap/>
            <w:vAlign w:val="bottom"/>
            <w:hideMark/>
          </w:tcPr>
          <w:p w14:paraId="27D49E7E" w14:textId="6C6732D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2D10B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F85947C" w14:textId="77777777" w:rsidTr="001E04CC">
        <w:trPr>
          <w:trHeight w:val="20"/>
        </w:trPr>
        <w:tc>
          <w:tcPr>
            <w:tcW w:w="2430" w:type="dxa"/>
            <w:tcBorders>
              <w:top w:val="nil"/>
              <w:left w:val="nil"/>
              <w:bottom w:val="nil"/>
              <w:right w:val="nil"/>
            </w:tcBorders>
            <w:shd w:val="clear" w:color="auto" w:fill="auto"/>
            <w:noWrap/>
            <w:vAlign w:val="bottom"/>
            <w:hideMark/>
          </w:tcPr>
          <w:p w14:paraId="4B37E5D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labetalol</w:t>
            </w:r>
          </w:p>
        </w:tc>
        <w:tc>
          <w:tcPr>
            <w:tcW w:w="1332" w:type="dxa"/>
            <w:tcBorders>
              <w:top w:val="nil"/>
              <w:left w:val="nil"/>
              <w:bottom w:val="nil"/>
              <w:right w:val="nil"/>
            </w:tcBorders>
            <w:shd w:val="clear" w:color="auto" w:fill="auto"/>
            <w:noWrap/>
            <w:vAlign w:val="bottom"/>
            <w:hideMark/>
          </w:tcPr>
          <w:p w14:paraId="3A79B0D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982F1D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7B25477" w14:textId="77777777" w:rsidTr="001E04CC">
        <w:trPr>
          <w:trHeight w:val="20"/>
        </w:trPr>
        <w:tc>
          <w:tcPr>
            <w:tcW w:w="2430" w:type="dxa"/>
            <w:tcBorders>
              <w:top w:val="nil"/>
              <w:left w:val="nil"/>
              <w:bottom w:val="nil"/>
              <w:right w:val="nil"/>
            </w:tcBorders>
            <w:shd w:val="clear" w:color="auto" w:fill="auto"/>
            <w:noWrap/>
            <w:vAlign w:val="bottom"/>
            <w:hideMark/>
          </w:tcPr>
          <w:p w14:paraId="229E33C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lamivudine</w:t>
            </w:r>
          </w:p>
        </w:tc>
        <w:tc>
          <w:tcPr>
            <w:tcW w:w="1332" w:type="dxa"/>
            <w:tcBorders>
              <w:top w:val="nil"/>
              <w:left w:val="nil"/>
              <w:bottom w:val="nil"/>
              <w:right w:val="nil"/>
            </w:tcBorders>
            <w:shd w:val="clear" w:color="auto" w:fill="auto"/>
            <w:noWrap/>
            <w:vAlign w:val="bottom"/>
            <w:hideMark/>
          </w:tcPr>
          <w:p w14:paraId="2A357E9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1460EC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3E041D8" w14:textId="77777777" w:rsidTr="001E04CC">
        <w:trPr>
          <w:trHeight w:val="20"/>
        </w:trPr>
        <w:tc>
          <w:tcPr>
            <w:tcW w:w="2430" w:type="dxa"/>
            <w:tcBorders>
              <w:top w:val="nil"/>
              <w:left w:val="nil"/>
              <w:bottom w:val="nil"/>
              <w:right w:val="nil"/>
            </w:tcBorders>
            <w:shd w:val="clear" w:color="auto" w:fill="auto"/>
            <w:noWrap/>
            <w:vAlign w:val="bottom"/>
            <w:hideMark/>
          </w:tcPr>
          <w:p w14:paraId="6F5F477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lamivudine-zidovudine</w:t>
            </w:r>
          </w:p>
        </w:tc>
        <w:tc>
          <w:tcPr>
            <w:tcW w:w="1332" w:type="dxa"/>
            <w:tcBorders>
              <w:top w:val="nil"/>
              <w:left w:val="nil"/>
              <w:bottom w:val="nil"/>
              <w:right w:val="nil"/>
            </w:tcBorders>
            <w:shd w:val="clear" w:color="auto" w:fill="auto"/>
            <w:noWrap/>
            <w:vAlign w:val="bottom"/>
            <w:hideMark/>
          </w:tcPr>
          <w:p w14:paraId="3544E80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F86726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9F62CC8" w14:textId="77777777" w:rsidTr="001E04CC">
        <w:trPr>
          <w:trHeight w:val="20"/>
        </w:trPr>
        <w:tc>
          <w:tcPr>
            <w:tcW w:w="2430" w:type="dxa"/>
            <w:tcBorders>
              <w:top w:val="nil"/>
              <w:left w:val="nil"/>
              <w:bottom w:val="nil"/>
              <w:right w:val="nil"/>
            </w:tcBorders>
            <w:shd w:val="clear" w:color="auto" w:fill="auto"/>
            <w:noWrap/>
            <w:vAlign w:val="bottom"/>
            <w:hideMark/>
          </w:tcPr>
          <w:p w14:paraId="5D4AE68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Lantus</w:t>
            </w:r>
          </w:p>
        </w:tc>
        <w:tc>
          <w:tcPr>
            <w:tcW w:w="1332" w:type="dxa"/>
            <w:tcBorders>
              <w:top w:val="nil"/>
              <w:left w:val="nil"/>
              <w:bottom w:val="nil"/>
              <w:right w:val="nil"/>
            </w:tcBorders>
            <w:shd w:val="clear" w:color="auto" w:fill="auto"/>
            <w:noWrap/>
            <w:vAlign w:val="bottom"/>
            <w:hideMark/>
          </w:tcPr>
          <w:p w14:paraId="1D7B2BA1" w14:textId="6AE09C36"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19457DC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77C6A33" w14:textId="77777777" w:rsidTr="001E04CC">
        <w:trPr>
          <w:trHeight w:val="20"/>
        </w:trPr>
        <w:tc>
          <w:tcPr>
            <w:tcW w:w="2430" w:type="dxa"/>
            <w:tcBorders>
              <w:top w:val="nil"/>
              <w:left w:val="nil"/>
              <w:bottom w:val="nil"/>
              <w:right w:val="nil"/>
            </w:tcBorders>
            <w:shd w:val="clear" w:color="auto" w:fill="auto"/>
            <w:noWrap/>
            <w:vAlign w:val="bottom"/>
            <w:hideMark/>
          </w:tcPr>
          <w:p w14:paraId="1420BC1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Lasix</w:t>
            </w:r>
          </w:p>
        </w:tc>
        <w:tc>
          <w:tcPr>
            <w:tcW w:w="1332" w:type="dxa"/>
            <w:tcBorders>
              <w:top w:val="nil"/>
              <w:left w:val="nil"/>
              <w:bottom w:val="nil"/>
              <w:right w:val="nil"/>
            </w:tcBorders>
            <w:shd w:val="clear" w:color="auto" w:fill="auto"/>
            <w:noWrap/>
            <w:vAlign w:val="bottom"/>
            <w:hideMark/>
          </w:tcPr>
          <w:p w14:paraId="46DB8F9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021B07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C62C426" w14:textId="77777777" w:rsidTr="001E04CC">
        <w:trPr>
          <w:trHeight w:val="20"/>
        </w:trPr>
        <w:tc>
          <w:tcPr>
            <w:tcW w:w="2430" w:type="dxa"/>
            <w:tcBorders>
              <w:top w:val="nil"/>
              <w:left w:val="nil"/>
              <w:bottom w:val="nil"/>
              <w:right w:val="nil"/>
            </w:tcBorders>
            <w:shd w:val="clear" w:color="auto" w:fill="auto"/>
            <w:noWrap/>
            <w:vAlign w:val="bottom"/>
            <w:hideMark/>
          </w:tcPr>
          <w:p w14:paraId="5B0308C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Latuda</w:t>
            </w:r>
          </w:p>
        </w:tc>
        <w:tc>
          <w:tcPr>
            <w:tcW w:w="1332" w:type="dxa"/>
            <w:tcBorders>
              <w:top w:val="nil"/>
              <w:left w:val="nil"/>
              <w:bottom w:val="nil"/>
              <w:right w:val="nil"/>
            </w:tcBorders>
            <w:shd w:val="clear" w:color="auto" w:fill="auto"/>
            <w:noWrap/>
            <w:vAlign w:val="bottom"/>
            <w:hideMark/>
          </w:tcPr>
          <w:p w14:paraId="1E73D95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D65906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227DE81" w14:textId="77777777" w:rsidTr="001E04CC">
        <w:trPr>
          <w:trHeight w:val="20"/>
        </w:trPr>
        <w:tc>
          <w:tcPr>
            <w:tcW w:w="2430" w:type="dxa"/>
            <w:tcBorders>
              <w:top w:val="nil"/>
              <w:left w:val="nil"/>
              <w:bottom w:val="nil"/>
              <w:right w:val="nil"/>
            </w:tcBorders>
            <w:shd w:val="clear" w:color="auto" w:fill="auto"/>
            <w:noWrap/>
            <w:vAlign w:val="bottom"/>
            <w:hideMark/>
          </w:tcPr>
          <w:p w14:paraId="140BA6C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Lescol</w:t>
            </w:r>
            <w:proofErr w:type="spellEnd"/>
          </w:p>
        </w:tc>
        <w:tc>
          <w:tcPr>
            <w:tcW w:w="1332" w:type="dxa"/>
            <w:tcBorders>
              <w:top w:val="nil"/>
              <w:left w:val="nil"/>
              <w:bottom w:val="nil"/>
              <w:right w:val="nil"/>
            </w:tcBorders>
            <w:shd w:val="clear" w:color="auto" w:fill="auto"/>
            <w:noWrap/>
            <w:vAlign w:val="bottom"/>
            <w:hideMark/>
          </w:tcPr>
          <w:p w14:paraId="1E09998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15482B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368E79" w14:textId="77777777" w:rsidTr="001E04CC">
        <w:trPr>
          <w:trHeight w:val="20"/>
        </w:trPr>
        <w:tc>
          <w:tcPr>
            <w:tcW w:w="2430" w:type="dxa"/>
            <w:tcBorders>
              <w:top w:val="nil"/>
              <w:left w:val="nil"/>
              <w:bottom w:val="nil"/>
              <w:right w:val="nil"/>
            </w:tcBorders>
            <w:shd w:val="clear" w:color="auto" w:fill="auto"/>
            <w:noWrap/>
            <w:vAlign w:val="bottom"/>
            <w:hideMark/>
          </w:tcPr>
          <w:p w14:paraId="5E8FD8E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Lescol</w:t>
            </w:r>
            <w:proofErr w:type="spellEnd"/>
            <w:r w:rsidRPr="001A20A2">
              <w:rPr>
                <w:rFonts w:ascii="Calibri" w:eastAsia="Times New Roman" w:hAnsi="Calibri" w:cs="Times New Roman"/>
                <w:color w:val="000000"/>
                <w:sz w:val="16"/>
                <w:szCs w:val="16"/>
              </w:rPr>
              <w:t xml:space="preserve"> XL</w:t>
            </w:r>
          </w:p>
        </w:tc>
        <w:tc>
          <w:tcPr>
            <w:tcW w:w="1332" w:type="dxa"/>
            <w:tcBorders>
              <w:top w:val="nil"/>
              <w:left w:val="nil"/>
              <w:bottom w:val="nil"/>
              <w:right w:val="nil"/>
            </w:tcBorders>
            <w:shd w:val="clear" w:color="auto" w:fill="auto"/>
            <w:noWrap/>
            <w:vAlign w:val="bottom"/>
            <w:hideMark/>
          </w:tcPr>
          <w:p w14:paraId="4F80C7D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1A7E9C1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D3BF9C" w14:textId="77777777" w:rsidTr="001E04CC">
        <w:trPr>
          <w:trHeight w:val="20"/>
        </w:trPr>
        <w:tc>
          <w:tcPr>
            <w:tcW w:w="2430" w:type="dxa"/>
            <w:tcBorders>
              <w:top w:val="nil"/>
              <w:left w:val="nil"/>
              <w:bottom w:val="nil"/>
              <w:right w:val="nil"/>
            </w:tcBorders>
            <w:shd w:val="clear" w:color="auto" w:fill="auto"/>
            <w:noWrap/>
            <w:vAlign w:val="bottom"/>
            <w:hideMark/>
          </w:tcPr>
          <w:p w14:paraId="76047E5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letrozole</w:t>
            </w:r>
          </w:p>
        </w:tc>
        <w:tc>
          <w:tcPr>
            <w:tcW w:w="1332" w:type="dxa"/>
            <w:tcBorders>
              <w:top w:val="nil"/>
              <w:left w:val="nil"/>
              <w:bottom w:val="nil"/>
              <w:right w:val="nil"/>
            </w:tcBorders>
            <w:shd w:val="clear" w:color="auto" w:fill="auto"/>
            <w:noWrap/>
            <w:vAlign w:val="bottom"/>
            <w:hideMark/>
          </w:tcPr>
          <w:p w14:paraId="256EB26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22BF16A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82EFCF2" w14:textId="77777777" w:rsidTr="001E04CC">
        <w:trPr>
          <w:trHeight w:val="20"/>
        </w:trPr>
        <w:tc>
          <w:tcPr>
            <w:tcW w:w="2430" w:type="dxa"/>
            <w:tcBorders>
              <w:top w:val="nil"/>
              <w:left w:val="nil"/>
              <w:bottom w:val="nil"/>
              <w:right w:val="nil"/>
            </w:tcBorders>
            <w:shd w:val="clear" w:color="auto" w:fill="auto"/>
            <w:noWrap/>
            <w:vAlign w:val="bottom"/>
            <w:hideMark/>
          </w:tcPr>
          <w:p w14:paraId="316A821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levalbuterol nebulized solution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E0D6B9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43E58B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A614C4C" w14:textId="77777777" w:rsidTr="001E04CC">
        <w:trPr>
          <w:trHeight w:val="20"/>
        </w:trPr>
        <w:tc>
          <w:tcPr>
            <w:tcW w:w="2430" w:type="dxa"/>
            <w:tcBorders>
              <w:top w:val="nil"/>
              <w:left w:val="nil"/>
              <w:bottom w:val="nil"/>
              <w:right w:val="nil"/>
            </w:tcBorders>
            <w:shd w:val="clear" w:color="auto" w:fill="auto"/>
            <w:noWrap/>
            <w:vAlign w:val="bottom"/>
            <w:hideMark/>
          </w:tcPr>
          <w:p w14:paraId="1DAAB29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Levatol</w:t>
            </w:r>
            <w:proofErr w:type="spellEnd"/>
          </w:p>
        </w:tc>
        <w:tc>
          <w:tcPr>
            <w:tcW w:w="1332" w:type="dxa"/>
            <w:tcBorders>
              <w:top w:val="nil"/>
              <w:left w:val="nil"/>
              <w:bottom w:val="nil"/>
              <w:right w:val="nil"/>
            </w:tcBorders>
            <w:shd w:val="clear" w:color="auto" w:fill="auto"/>
            <w:noWrap/>
            <w:vAlign w:val="bottom"/>
            <w:hideMark/>
          </w:tcPr>
          <w:p w14:paraId="3892538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09B218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60C5E2A" w14:textId="77777777" w:rsidTr="001E04CC">
        <w:trPr>
          <w:trHeight w:val="20"/>
        </w:trPr>
        <w:tc>
          <w:tcPr>
            <w:tcW w:w="2430" w:type="dxa"/>
            <w:tcBorders>
              <w:top w:val="nil"/>
              <w:left w:val="nil"/>
              <w:bottom w:val="nil"/>
              <w:right w:val="nil"/>
            </w:tcBorders>
            <w:shd w:val="clear" w:color="auto" w:fill="auto"/>
            <w:noWrap/>
            <w:vAlign w:val="bottom"/>
            <w:hideMark/>
          </w:tcPr>
          <w:p w14:paraId="41B8D1C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Levemir</w:t>
            </w:r>
          </w:p>
        </w:tc>
        <w:tc>
          <w:tcPr>
            <w:tcW w:w="1332" w:type="dxa"/>
            <w:tcBorders>
              <w:top w:val="nil"/>
              <w:left w:val="nil"/>
              <w:bottom w:val="nil"/>
              <w:right w:val="nil"/>
            </w:tcBorders>
            <w:shd w:val="clear" w:color="auto" w:fill="auto"/>
            <w:noWrap/>
            <w:vAlign w:val="bottom"/>
            <w:hideMark/>
          </w:tcPr>
          <w:p w14:paraId="6A55AFA3" w14:textId="328A1AB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743FFE5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C0E3B18" w14:textId="77777777" w:rsidTr="001E04CC">
        <w:trPr>
          <w:trHeight w:val="20"/>
        </w:trPr>
        <w:tc>
          <w:tcPr>
            <w:tcW w:w="2430" w:type="dxa"/>
            <w:tcBorders>
              <w:top w:val="nil"/>
              <w:left w:val="nil"/>
              <w:bottom w:val="nil"/>
              <w:right w:val="nil"/>
            </w:tcBorders>
            <w:shd w:val="clear" w:color="auto" w:fill="auto"/>
            <w:noWrap/>
            <w:vAlign w:val="bottom"/>
            <w:hideMark/>
          </w:tcPr>
          <w:p w14:paraId="33854B1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Lexiva</w:t>
            </w:r>
            <w:proofErr w:type="spellEnd"/>
          </w:p>
        </w:tc>
        <w:tc>
          <w:tcPr>
            <w:tcW w:w="1332" w:type="dxa"/>
            <w:tcBorders>
              <w:top w:val="nil"/>
              <w:left w:val="nil"/>
              <w:bottom w:val="nil"/>
              <w:right w:val="nil"/>
            </w:tcBorders>
            <w:shd w:val="clear" w:color="auto" w:fill="auto"/>
            <w:noWrap/>
            <w:vAlign w:val="bottom"/>
            <w:hideMark/>
          </w:tcPr>
          <w:p w14:paraId="1B9ECFC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3694F88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38C0D75" w14:textId="77777777" w:rsidTr="001E04CC">
        <w:trPr>
          <w:trHeight w:val="20"/>
        </w:trPr>
        <w:tc>
          <w:tcPr>
            <w:tcW w:w="2430" w:type="dxa"/>
            <w:tcBorders>
              <w:top w:val="nil"/>
              <w:left w:val="nil"/>
              <w:bottom w:val="nil"/>
              <w:right w:val="nil"/>
            </w:tcBorders>
            <w:shd w:val="clear" w:color="auto" w:fill="auto"/>
            <w:noWrap/>
            <w:vAlign w:val="bottom"/>
            <w:hideMark/>
          </w:tcPr>
          <w:p w14:paraId="18FDAD1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Lipitor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6E6D72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0D8ADA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F07B8B5" w14:textId="77777777" w:rsidTr="001E04CC">
        <w:trPr>
          <w:trHeight w:val="20"/>
        </w:trPr>
        <w:tc>
          <w:tcPr>
            <w:tcW w:w="2430" w:type="dxa"/>
            <w:tcBorders>
              <w:top w:val="nil"/>
              <w:left w:val="nil"/>
              <w:bottom w:val="nil"/>
              <w:right w:val="nil"/>
            </w:tcBorders>
            <w:shd w:val="clear" w:color="auto" w:fill="auto"/>
            <w:noWrap/>
            <w:vAlign w:val="bottom"/>
            <w:hideMark/>
          </w:tcPr>
          <w:p w14:paraId="6EED172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Lipofen</w:t>
            </w:r>
            <w:proofErr w:type="spellEnd"/>
          </w:p>
        </w:tc>
        <w:tc>
          <w:tcPr>
            <w:tcW w:w="1332" w:type="dxa"/>
            <w:tcBorders>
              <w:top w:val="nil"/>
              <w:left w:val="nil"/>
              <w:bottom w:val="nil"/>
              <w:right w:val="nil"/>
            </w:tcBorders>
            <w:shd w:val="clear" w:color="auto" w:fill="auto"/>
            <w:noWrap/>
            <w:vAlign w:val="bottom"/>
            <w:hideMark/>
          </w:tcPr>
          <w:p w14:paraId="189DD7E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A6FD33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ECAE627" w14:textId="77777777" w:rsidTr="001E04CC">
        <w:trPr>
          <w:trHeight w:val="20"/>
        </w:trPr>
        <w:tc>
          <w:tcPr>
            <w:tcW w:w="2430" w:type="dxa"/>
            <w:tcBorders>
              <w:top w:val="nil"/>
              <w:left w:val="nil"/>
              <w:bottom w:val="nil"/>
              <w:right w:val="nil"/>
            </w:tcBorders>
            <w:shd w:val="clear" w:color="auto" w:fill="auto"/>
            <w:noWrap/>
            <w:vAlign w:val="bottom"/>
            <w:hideMark/>
          </w:tcPr>
          <w:p w14:paraId="5645C0C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proofErr w:type="gramStart"/>
            <w:r w:rsidRPr="001A20A2">
              <w:rPr>
                <w:rFonts w:ascii="Calibri" w:eastAsia="Times New Roman" w:hAnsi="Calibri" w:cs="Times New Roman"/>
                <w:color w:val="000000"/>
                <w:sz w:val="16"/>
                <w:szCs w:val="16"/>
              </w:rPr>
              <w:t>Liptruzet</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roofErr w:type="gramEnd"/>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4D02A2D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92EADB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FA0F819" w14:textId="77777777" w:rsidTr="001E04CC">
        <w:trPr>
          <w:trHeight w:val="20"/>
        </w:trPr>
        <w:tc>
          <w:tcPr>
            <w:tcW w:w="2430" w:type="dxa"/>
            <w:tcBorders>
              <w:top w:val="nil"/>
              <w:left w:val="nil"/>
              <w:bottom w:val="nil"/>
              <w:right w:val="nil"/>
            </w:tcBorders>
            <w:shd w:val="clear" w:color="auto" w:fill="auto"/>
            <w:noWrap/>
            <w:vAlign w:val="bottom"/>
            <w:hideMark/>
          </w:tcPr>
          <w:p w14:paraId="18EC212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lisinopril</w:t>
            </w:r>
          </w:p>
        </w:tc>
        <w:tc>
          <w:tcPr>
            <w:tcW w:w="1332" w:type="dxa"/>
            <w:tcBorders>
              <w:top w:val="nil"/>
              <w:left w:val="nil"/>
              <w:bottom w:val="nil"/>
              <w:right w:val="nil"/>
            </w:tcBorders>
            <w:shd w:val="clear" w:color="auto" w:fill="auto"/>
            <w:noWrap/>
            <w:vAlign w:val="bottom"/>
            <w:hideMark/>
          </w:tcPr>
          <w:p w14:paraId="35C013A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4BFDD7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11E294B" w14:textId="77777777" w:rsidTr="001E04CC">
        <w:trPr>
          <w:trHeight w:val="20"/>
        </w:trPr>
        <w:tc>
          <w:tcPr>
            <w:tcW w:w="2430" w:type="dxa"/>
            <w:tcBorders>
              <w:top w:val="nil"/>
              <w:left w:val="nil"/>
              <w:bottom w:val="nil"/>
              <w:right w:val="nil"/>
            </w:tcBorders>
            <w:shd w:val="clear" w:color="auto" w:fill="auto"/>
            <w:noWrap/>
            <w:vAlign w:val="bottom"/>
            <w:hideMark/>
          </w:tcPr>
          <w:p w14:paraId="0D5AC24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lisinopril-hydrochlorothiazide</w:t>
            </w:r>
          </w:p>
        </w:tc>
        <w:tc>
          <w:tcPr>
            <w:tcW w:w="1332" w:type="dxa"/>
            <w:tcBorders>
              <w:top w:val="nil"/>
              <w:left w:val="nil"/>
              <w:bottom w:val="nil"/>
              <w:right w:val="nil"/>
            </w:tcBorders>
            <w:shd w:val="clear" w:color="auto" w:fill="auto"/>
            <w:noWrap/>
            <w:vAlign w:val="bottom"/>
            <w:hideMark/>
          </w:tcPr>
          <w:p w14:paraId="6DDD017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28E88A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F84A9D2" w14:textId="77777777" w:rsidTr="001E04CC">
        <w:trPr>
          <w:trHeight w:val="20"/>
        </w:trPr>
        <w:tc>
          <w:tcPr>
            <w:tcW w:w="2430" w:type="dxa"/>
            <w:tcBorders>
              <w:top w:val="nil"/>
              <w:left w:val="nil"/>
              <w:bottom w:val="nil"/>
              <w:right w:val="nil"/>
            </w:tcBorders>
            <w:shd w:val="clear" w:color="auto" w:fill="auto"/>
            <w:noWrap/>
            <w:vAlign w:val="bottom"/>
            <w:hideMark/>
          </w:tcPr>
          <w:p w14:paraId="3D22F0E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Livalo</w:t>
            </w:r>
            <w:proofErr w:type="spellEnd"/>
          </w:p>
        </w:tc>
        <w:tc>
          <w:tcPr>
            <w:tcW w:w="1332" w:type="dxa"/>
            <w:tcBorders>
              <w:top w:val="nil"/>
              <w:left w:val="nil"/>
              <w:bottom w:val="nil"/>
              <w:right w:val="nil"/>
            </w:tcBorders>
            <w:shd w:val="clear" w:color="auto" w:fill="auto"/>
            <w:noWrap/>
            <w:vAlign w:val="bottom"/>
            <w:hideMark/>
          </w:tcPr>
          <w:p w14:paraId="00815CF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DD7166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9AE8F2D" w14:textId="77777777" w:rsidTr="001E04CC">
        <w:trPr>
          <w:trHeight w:val="20"/>
        </w:trPr>
        <w:tc>
          <w:tcPr>
            <w:tcW w:w="2430" w:type="dxa"/>
            <w:tcBorders>
              <w:top w:val="nil"/>
              <w:left w:val="nil"/>
              <w:bottom w:val="nil"/>
              <w:right w:val="nil"/>
            </w:tcBorders>
            <w:shd w:val="clear" w:color="auto" w:fill="auto"/>
            <w:noWrap/>
            <w:vAlign w:val="bottom"/>
            <w:hideMark/>
          </w:tcPr>
          <w:p w14:paraId="5F73A84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Lofibra</w:t>
            </w:r>
            <w:proofErr w:type="spellEnd"/>
          </w:p>
        </w:tc>
        <w:tc>
          <w:tcPr>
            <w:tcW w:w="1332" w:type="dxa"/>
            <w:tcBorders>
              <w:top w:val="nil"/>
              <w:left w:val="nil"/>
              <w:bottom w:val="nil"/>
              <w:right w:val="nil"/>
            </w:tcBorders>
            <w:shd w:val="clear" w:color="auto" w:fill="auto"/>
            <w:noWrap/>
            <w:vAlign w:val="bottom"/>
            <w:hideMark/>
          </w:tcPr>
          <w:p w14:paraId="730C184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20BCC6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5F27AB5" w14:textId="77777777" w:rsidTr="001E04CC">
        <w:trPr>
          <w:trHeight w:val="20"/>
        </w:trPr>
        <w:tc>
          <w:tcPr>
            <w:tcW w:w="2430" w:type="dxa"/>
            <w:tcBorders>
              <w:top w:val="nil"/>
              <w:left w:val="nil"/>
              <w:bottom w:val="nil"/>
              <w:right w:val="nil"/>
            </w:tcBorders>
            <w:shd w:val="clear" w:color="auto" w:fill="auto"/>
            <w:noWrap/>
            <w:vAlign w:val="bottom"/>
            <w:hideMark/>
          </w:tcPr>
          <w:p w14:paraId="08B7647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Lopid</w:t>
            </w:r>
            <w:proofErr w:type="spellEnd"/>
          </w:p>
        </w:tc>
        <w:tc>
          <w:tcPr>
            <w:tcW w:w="1332" w:type="dxa"/>
            <w:tcBorders>
              <w:top w:val="nil"/>
              <w:left w:val="nil"/>
              <w:bottom w:val="nil"/>
              <w:right w:val="nil"/>
            </w:tcBorders>
            <w:shd w:val="clear" w:color="auto" w:fill="auto"/>
            <w:noWrap/>
            <w:vAlign w:val="bottom"/>
            <w:hideMark/>
          </w:tcPr>
          <w:p w14:paraId="7E9564F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444F6C1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64A2F19" w14:textId="77777777" w:rsidTr="001E04CC">
        <w:trPr>
          <w:trHeight w:val="20"/>
        </w:trPr>
        <w:tc>
          <w:tcPr>
            <w:tcW w:w="2430" w:type="dxa"/>
            <w:tcBorders>
              <w:top w:val="nil"/>
              <w:left w:val="nil"/>
              <w:bottom w:val="nil"/>
              <w:right w:val="nil"/>
            </w:tcBorders>
            <w:shd w:val="clear" w:color="auto" w:fill="auto"/>
            <w:noWrap/>
            <w:vAlign w:val="bottom"/>
            <w:hideMark/>
          </w:tcPr>
          <w:p w14:paraId="325A4F1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Lopressor</w:t>
            </w:r>
          </w:p>
        </w:tc>
        <w:tc>
          <w:tcPr>
            <w:tcW w:w="1332" w:type="dxa"/>
            <w:tcBorders>
              <w:top w:val="nil"/>
              <w:left w:val="nil"/>
              <w:bottom w:val="nil"/>
              <w:right w:val="nil"/>
            </w:tcBorders>
            <w:shd w:val="clear" w:color="auto" w:fill="auto"/>
            <w:noWrap/>
            <w:vAlign w:val="bottom"/>
            <w:hideMark/>
          </w:tcPr>
          <w:p w14:paraId="4D99F1D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5DE901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48D0843" w14:textId="77777777" w:rsidTr="001E04CC">
        <w:trPr>
          <w:trHeight w:val="20"/>
        </w:trPr>
        <w:tc>
          <w:tcPr>
            <w:tcW w:w="2430" w:type="dxa"/>
            <w:tcBorders>
              <w:top w:val="nil"/>
              <w:left w:val="nil"/>
              <w:bottom w:val="nil"/>
              <w:right w:val="nil"/>
            </w:tcBorders>
            <w:shd w:val="clear" w:color="auto" w:fill="auto"/>
            <w:noWrap/>
            <w:vAlign w:val="bottom"/>
            <w:hideMark/>
          </w:tcPr>
          <w:p w14:paraId="46FDB82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Lopressor HCT</w:t>
            </w:r>
          </w:p>
        </w:tc>
        <w:tc>
          <w:tcPr>
            <w:tcW w:w="1332" w:type="dxa"/>
            <w:tcBorders>
              <w:top w:val="nil"/>
              <w:left w:val="nil"/>
              <w:bottom w:val="nil"/>
              <w:right w:val="nil"/>
            </w:tcBorders>
            <w:shd w:val="clear" w:color="auto" w:fill="auto"/>
            <w:noWrap/>
            <w:vAlign w:val="bottom"/>
            <w:hideMark/>
          </w:tcPr>
          <w:p w14:paraId="0E8DD95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2D7315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51A462E" w14:textId="77777777" w:rsidTr="001E04CC">
        <w:trPr>
          <w:trHeight w:val="20"/>
        </w:trPr>
        <w:tc>
          <w:tcPr>
            <w:tcW w:w="2430" w:type="dxa"/>
            <w:tcBorders>
              <w:top w:val="nil"/>
              <w:left w:val="nil"/>
              <w:bottom w:val="nil"/>
              <w:right w:val="nil"/>
            </w:tcBorders>
            <w:shd w:val="clear" w:color="auto" w:fill="auto"/>
            <w:noWrap/>
            <w:vAlign w:val="bottom"/>
            <w:hideMark/>
          </w:tcPr>
          <w:p w14:paraId="7182BF9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losartan</w:t>
            </w:r>
          </w:p>
        </w:tc>
        <w:tc>
          <w:tcPr>
            <w:tcW w:w="1332" w:type="dxa"/>
            <w:tcBorders>
              <w:top w:val="nil"/>
              <w:left w:val="nil"/>
              <w:bottom w:val="nil"/>
              <w:right w:val="nil"/>
            </w:tcBorders>
            <w:shd w:val="clear" w:color="auto" w:fill="auto"/>
            <w:noWrap/>
            <w:vAlign w:val="bottom"/>
            <w:hideMark/>
          </w:tcPr>
          <w:p w14:paraId="3FFCE81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461558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A3029FC" w14:textId="77777777" w:rsidTr="001E04CC">
        <w:trPr>
          <w:trHeight w:val="20"/>
        </w:trPr>
        <w:tc>
          <w:tcPr>
            <w:tcW w:w="2430" w:type="dxa"/>
            <w:tcBorders>
              <w:top w:val="nil"/>
              <w:left w:val="nil"/>
              <w:bottom w:val="nil"/>
              <w:right w:val="nil"/>
            </w:tcBorders>
            <w:shd w:val="clear" w:color="auto" w:fill="auto"/>
            <w:noWrap/>
            <w:vAlign w:val="bottom"/>
            <w:hideMark/>
          </w:tcPr>
          <w:p w14:paraId="5C03000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losartan hydrochlorothiazide</w:t>
            </w:r>
          </w:p>
        </w:tc>
        <w:tc>
          <w:tcPr>
            <w:tcW w:w="1332" w:type="dxa"/>
            <w:tcBorders>
              <w:top w:val="nil"/>
              <w:left w:val="nil"/>
              <w:bottom w:val="nil"/>
              <w:right w:val="nil"/>
            </w:tcBorders>
            <w:shd w:val="clear" w:color="auto" w:fill="auto"/>
            <w:noWrap/>
            <w:vAlign w:val="bottom"/>
            <w:hideMark/>
          </w:tcPr>
          <w:p w14:paraId="7A257BB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B07ED8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8B3F305" w14:textId="77777777" w:rsidTr="001E04CC">
        <w:trPr>
          <w:trHeight w:val="20"/>
        </w:trPr>
        <w:tc>
          <w:tcPr>
            <w:tcW w:w="2430" w:type="dxa"/>
            <w:tcBorders>
              <w:top w:val="nil"/>
              <w:left w:val="nil"/>
              <w:bottom w:val="nil"/>
              <w:right w:val="nil"/>
            </w:tcBorders>
            <w:shd w:val="clear" w:color="auto" w:fill="auto"/>
            <w:noWrap/>
            <w:vAlign w:val="bottom"/>
            <w:hideMark/>
          </w:tcPr>
          <w:p w14:paraId="34C78F8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Lotensin</w:t>
            </w:r>
          </w:p>
        </w:tc>
        <w:tc>
          <w:tcPr>
            <w:tcW w:w="1332" w:type="dxa"/>
            <w:tcBorders>
              <w:top w:val="nil"/>
              <w:left w:val="nil"/>
              <w:bottom w:val="nil"/>
              <w:right w:val="nil"/>
            </w:tcBorders>
            <w:shd w:val="clear" w:color="auto" w:fill="auto"/>
            <w:noWrap/>
            <w:vAlign w:val="bottom"/>
            <w:hideMark/>
          </w:tcPr>
          <w:p w14:paraId="66D8EB0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ABC667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BC1A213" w14:textId="77777777" w:rsidTr="001E04CC">
        <w:trPr>
          <w:trHeight w:val="20"/>
        </w:trPr>
        <w:tc>
          <w:tcPr>
            <w:tcW w:w="2430" w:type="dxa"/>
            <w:tcBorders>
              <w:top w:val="nil"/>
              <w:left w:val="nil"/>
              <w:bottom w:val="nil"/>
              <w:right w:val="nil"/>
            </w:tcBorders>
            <w:shd w:val="clear" w:color="auto" w:fill="auto"/>
            <w:noWrap/>
            <w:vAlign w:val="bottom"/>
            <w:hideMark/>
          </w:tcPr>
          <w:p w14:paraId="4A7ED01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Lotensin HCT </w:t>
            </w:r>
          </w:p>
        </w:tc>
        <w:tc>
          <w:tcPr>
            <w:tcW w:w="1332" w:type="dxa"/>
            <w:tcBorders>
              <w:top w:val="nil"/>
              <w:left w:val="nil"/>
              <w:bottom w:val="nil"/>
              <w:right w:val="nil"/>
            </w:tcBorders>
            <w:shd w:val="clear" w:color="auto" w:fill="auto"/>
            <w:noWrap/>
            <w:vAlign w:val="bottom"/>
            <w:hideMark/>
          </w:tcPr>
          <w:p w14:paraId="7E021B4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1DD8EF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D270B0E" w14:textId="77777777" w:rsidTr="001E04CC">
        <w:trPr>
          <w:trHeight w:val="20"/>
        </w:trPr>
        <w:tc>
          <w:tcPr>
            <w:tcW w:w="2430" w:type="dxa"/>
            <w:tcBorders>
              <w:top w:val="nil"/>
              <w:left w:val="nil"/>
              <w:bottom w:val="nil"/>
              <w:right w:val="nil"/>
            </w:tcBorders>
            <w:shd w:val="clear" w:color="auto" w:fill="auto"/>
            <w:noWrap/>
            <w:vAlign w:val="bottom"/>
            <w:hideMark/>
          </w:tcPr>
          <w:p w14:paraId="6E73634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Lotrel</w:t>
            </w:r>
          </w:p>
        </w:tc>
        <w:tc>
          <w:tcPr>
            <w:tcW w:w="1332" w:type="dxa"/>
            <w:tcBorders>
              <w:top w:val="nil"/>
              <w:left w:val="nil"/>
              <w:bottom w:val="nil"/>
              <w:right w:val="nil"/>
            </w:tcBorders>
            <w:shd w:val="clear" w:color="auto" w:fill="auto"/>
            <w:noWrap/>
            <w:vAlign w:val="bottom"/>
            <w:hideMark/>
          </w:tcPr>
          <w:p w14:paraId="5BB58E3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F1D969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2631380" w14:textId="77777777" w:rsidTr="001E04CC">
        <w:trPr>
          <w:trHeight w:val="20"/>
        </w:trPr>
        <w:tc>
          <w:tcPr>
            <w:tcW w:w="2430" w:type="dxa"/>
            <w:tcBorders>
              <w:top w:val="nil"/>
              <w:left w:val="nil"/>
              <w:bottom w:val="nil"/>
              <w:right w:val="nil"/>
            </w:tcBorders>
            <w:shd w:val="clear" w:color="auto" w:fill="auto"/>
            <w:noWrap/>
            <w:vAlign w:val="bottom"/>
            <w:hideMark/>
          </w:tcPr>
          <w:p w14:paraId="2DDFD6A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lovastatin</w:t>
            </w:r>
          </w:p>
        </w:tc>
        <w:tc>
          <w:tcPr>
            <w:tcW w:w="1332" w:type="dxa"/>
            <w:tcBorders>
              <w:top w:val="nil"/>
              <w:left w:val="nil"/>
              <w:bottom w:val="nil"/>
              <w:right w:val="nil"/>
            </w:tcBorders>
            <w:shd w:val="clear" w:color="auto" w:fill="auto"/>
            <w:noWrap/>
            <w:vAlign w:val="bottom"/>
            <w:hideMark/>
          </w:tcPr>
          <w:p w14:paraId="7F3A91D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04F9E8C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4409880" w14:textId="77777777" w:rsidTr="001E04CC">
        <w:trPr>
          <w:trHeight w:val="20"/>
        </w:trPr>
        <w:tc>
          <w:tcPr>
            <w:tcW w:w="2430" w:type="dxa"/>
            <w:tcBorders>
              <w:top w:val="nil"/>
              <w:left w:val="nil"/>
              <w:bottom w:val="nil"/>
              <w:right w:val="nil"/>
            </w:tcBorders>
            <w:shd w:val="clear" w:color="auto" w:fill="auto"/>
            <w:noWrap/>
            <w:vAlign w:val="bottom"/>
            <w:hideMark/>
          </w:tcPr>
          <w:p w14:paraId="2DEFD1B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Lovaza</w:t>
            </w:r>
            <w:proofErr w:type="spellEnd"/>
          </w:p>
        </w:tc>
        <w:tc>
          <w:tcPr>
            <w:tcW w:w="1332" w:type="dxa"/>
            <w:tcBorders>
              <w:top w:val="nil"/>
              <w:left w:val="nil"/>
              <w:bottom w:val="nil"/>
              <w:right w:val="nil"/>
            </w:tcBorders>
            <w:shd w:val="clear" w:color="auto" w:fill="auto"/>
            <w:noWrap/>
            <w:vAlign w:val="bottom"/>
            <w:hideMark/>
          </w:tcPr>
          <w:p w14:paraId="644E415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92E676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3B65DF5" w14:textId="77777777" w:rsidTr="001E04CC">
        <w:trPr>
          <w:trHeight w:val="20"/>
        </w:trPr>
        <w:tc>
          <w:tcPr>
            <w:tcW w:w="2430" w:type="dxa"/>
            <w:tcBorders>
              <w:top w:val="nil"/>
              <w:left w:val="nil"/>
              <w:bottom w:val="nil"/>
              <w:right w:val="nil"/>
            </w:tcBorders>
            <w:shd w:val="clear" w:color="auto" w:fill="auto"/>
            <w:noWrap/>
            <w:vAlign w:val="bottom"/>
            <w:hideMark/>
          </w:tcPr>
          <w:p w14:paraId="6D27636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Lovenox</w:t>
            </w:r>
            <w:proofErr w:type="spellEnd"/>
          </w:p>
        </w:tc>
        <w:tc>
          <w:tcPr>
            <w:tcW w:w="1332" w:type="dxa"/>
            <w:tcBorders>
              <w:top w:val="nil"/>
              <w:left w:val="nil"/>
              <w:bottom w:val="nil"/>
              <w:right w:val="nil"/>
            </w:tcBorders>
            <w:shd w:val="clear" w:color="auto" w:fill="auto"/>
            <w:noWrap/>
            <w:vAlign w:val="bottom"/>
            <w:hideMark/>
          </w:tcPr>
          <w:p w14:paraId="1B1D5ED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50CBC0F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1A670B2" w14:textId="77777777" w:rsidTr="001E04CC">
        <w:trPr>
          <w:trHeight w:val="20"/>
        </w:trPr>
        <w:tc>
          <w:tcPr>
            <w:tcW w:w="2430" w:type="dxa"/>
            <w:tcBorders>
              <w:top w:val="nil"/>
              <w:left w:val="nil"/>
              <w:bottom w:val="nil"/>
              <w:right w:val="nil"/>
            </w:tcBorders>
            <w:shd w:val="clear" w:color="auto" w:fill="auto"/>
            <w:noWrap/>
            <w:vAlign w:val="bottom"/>
            <w:hideMark/>
          </w:tcPr>
          <w:p w14:paraId="763F498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loxapine</w:t>
            </w:r>
            <w:proofErr w:type="spellEnd"/>
          </w:p>
        </w:tc>
        <w:tc>
          <w:tcPr>
            <w:tcW w:w="1332" w:type="dxa"/>
            <w:tcBorders>
              <w:top w:val="nil"/>
              <w:left w:val="nil"/>
              <w:bottom w:val="nil"/>
              <w:right w:val="nil"/>
            </w:tcBorders>
            <w:shd w:val="clear" w:color="auto" w:fill="auto"/>
            <w:noWrap/>
            <w:vAlign w:val="bottom"/>
            <w:hideMark/>
          </w:tcPr>
          <w:p w14:paraId="74F3E15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4B18634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ADB9679" w14:textId="77777777" w:rsidTr="001E04CC">
        <w:trPr>
          <w:trHeight w:val="20"/>
        </w:trPr>
        <w:tc>
          <w:tcPr>
            <w:tcW w:w="2430" w:type="dxa"/>
            <w:tcBorders>
              <w:top w:val="nil"/>
              <w:left w:val="nil"/>
              <w:bottom w:val="nil"/>
              <w:right w:val="nil"/>
            </w:tcBorders>
            <w:shd w:val="clear" w:color="auto" w:fill="auto"/>
            <w:noWrap/>
            <w:vAlign w:val="bottom"/>
            <w:hideMark/>
          </w:tcPr>
          <w:p w14:paraId="693E097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Lufyllin</w:t>
            </w:r>
            <w:proofErr w:type="spellEnd"/>
          </w:p>
        </w:tc>
        <w:tc>
          <w:tcPr>
            <w:tcW w:w="1332" w:type="dxa"/>
            <w:tcBorders>
              <w:top w:val="nil"/>
              <w:left w:val="nil"/>
              <w:bottom w:val="nil"/>
              <w:right w:val="nil"/>
            </w:tcBorders>
            <w:shd w:val="clear" w:color="auto" w:fill="auto"/>
            <w:noWrap/>
            <w:vAlign w:val="bottom"/>
            <w:hideMark/>
          </w:tcPr>
          <w:p w14:paraId="0BFE324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31DB085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AD7AE4" w14:textId="77777777" w:rsidTr="001E04CC">
        <w:trPr>
          <w:trHeight w:val="20"/>
        </w:trPr>
        <w:tc>
          <w:tcPr>
            <w:tcW w:w="2430" w:type="dxa"/>
            <w:tcBorders>
              <w:top w:val="nil"/>
              <w:left w:val="nil"/>
              <w:bottom w:val="nil"/>
              <w:right w:val="nil"/>
            </w:tcBorders>
            <w:shd w:val="clear" w:color="auto" w:fill="auto"/>
            <w:noWrap/>
            <w:vAlign w:val="bottom"/>
            <w:hideMark/>
          </w:tcPr>
          <w:p w14:paraId="1528618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Matzim</w:t>
            </w:r>
            <w:proofErr w:type="spellEnd"/>
            <w:r w:rsidRPr="001A20A2">
              <w:rPr>
                <w:rFonts w:ascii="Calibri" w:eastAsia="Times New Roman" w:hAnsi="Calibri" w:cs="Times New Roman"/>
                <w:color w:val="000000"/>
                <w:sz w:val="16"/>
                <w:szCs w:val="16"/>
              </w:rPr>
              <w:t xml:space="preserve"> LA</w:t>
            </w:r>
          </w:p>
        </w:tc>
        <w:tc>
          <w:tcPr>
            <w:tcW w:w="1332" w:type="dxa"/>
            <w:tcBorders>
              <w:top w:val="nil"/>
              <w:left w:val="nil"/>
              <w:bottom w:val="nil"/>
              <w:right w:val="nil"/>
            </w:tcBorders>
            <w:shd w:val="clear" w:color="auto" w:fill="auto"/>
            <w:noWrap/>
            <w:vAlign w:val="bottom"/>
            <w:hideMark/>
          </w:tcPr>
          <w:p w14:paraId="493202A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E9DC57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01440E" w14:textId="77777777" w:rsidTr="001E04CC">
        <w:trPr>
          <w:trHeight w:val="20"/>
        </w:trPr>
        <w:tc>
          <w:tcPr>
            <w:tcW w:w="2430" w:type="dxa"/>
            <w:tcBorders>
              <w:top w:val="nil"/>
              <w:left w:val="nil"/>
              <w:bottom w:val="nil"/>
              <w:right w:val="nil"/>
            </w:tcBorders>
            <w:shd w:val="clear" w:color="auto" w:fill="auto"/>
            <w:noWrap/>
            <w:vAlign w:val="bottom"/>
            <w:hideMark/>
          </w:tcPr>
          <w:p w14:paraId="0B503EB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Mavik</w:t>
            </w:r>
            <w:proofErr w:type="spellEnd"/>
          </w:p>
        </w:tc>
        <w:tc>
          <w:tcPr>
            <w:tcW w:w="1332" w:type="dxa"/>
            <w:tcBorders>
              <w:top w:val="nil"/>
              <w:left w:val="nil"/>
              <w:bottom w:val="nil"/>
              <w:right w:val="nil"/>
            </w:tcBorders>
            <w:shd w:val="clear" w:color="auto" w:fill="auto"/>
            <w:noWrap/>
            <w:vAlign w:val="bottom"/>
            <w:hideMark/>
          </w:tcPr>
          <w:p w14:paraId="2081D92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0757B2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72DE709" w14:textId="77777777" w:rsidTr="001E04CC">
        <w:trPr>
          <w:trHeight w:val="20"/>
        </w:trPr>
        <w:tc>
          <w:tcPr>
            <w:tcW w:w="2430" w:type="dxa"/>
            <w:tcBorders>
              <w:top w:val="nil"/>
              <w:left w:val="nil"/>
              <w:bottom w:val="nil"/>
              <w:right w:val="nil"/>
            </w:tcBorders>
            <w:shd w:val="clear" w:color="auto" w:fill="auto"/>
            <w:noWrap/>
            <w:vAlign w:val="bottom"/>
            <w:hideMark/>
          </w:tcPr>
          <w:p w14:paraId="199CA73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Maxzide</w:t>
            </w:r>
            <w:proofErr w:type="spellEnd"/>
          </w:p>
        </w:tc>
        <w:tc>
          <w:tcPr>
            <w:tcW w:w="1332" w:type="dxa"/>
            <w:tcBorders>
              <w:top w:val="nil"/>
              <w:left w:val="nil"/>
              <w:bottom w:val="nil"/>
              <w:right w:val="nil"/>
            </w:tcBorders>
            <w:shd w:val="clear" w:color="auto" w:fill="auto"/>
            <w:noWrap/>
            <w:vAlign w:val="bottom"/>
            <w:hideMark/>
          </w:tcPr>
          <w:p w14:paraId="29C8234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DFD3D8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1521F6E" w14:textId="77777777" w:rsidTr="001E04CC">
        <w:trPr>
          <w:trHeight w:val="20"/>
        </w:trPr>
        <w:tc>
          <w:tcPr>
            <w:tcW w:w="2430" w:type="dxa"/>
            <w:tcBorders>
              <w:top w:val="nil"/>
              <w:left w:val="nil"/>
              <w:bottom w:val="nil"/>
              <w:right w:val="nil"/>
            </w:tcBorders>
            <w:shd w:val="clear" w:color="auto" w:fill="auto"/>
            <w:noWrap/>
            <w:vAlign w:val="bottom"/>
            <w:hideMark/>
          </w:tcPr>
          <w:p w14:paraId="37054EA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metaproterenol</w:t>
            </w:r>
          </w:p>
        </w:tc>
        <w:tc>
          <w:tcPr>
            <w:tcW w:w="1332" w:type="dxa"/>
            <w:tcBorders>
              <w:top w:val="nil"/>
              <w:left w:val="nil"/>
              <w:bottom w:val="nil"/>
              <w:right w:val="nil"/>
            </w:tcBorders>
            <w:shd w:val="clear" w:color="auto" w:fill="auto"/>
            <w:noWrap/>
            <w:vAlign w:val="bottom"/>
            <w:hideMark/>
          </w:tcPr>
          <w:p w14:paraId="61A7961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536C5E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9B5104D" w14:textId="77777777" w:rsidTr="001E04CC">
        <w:trPr>
          <w:trHeight w:val="20"/>
        </w:trPr>
        <w:tc>
          <w:tcPr>
            <w:tcW w:w="2430" w:type="dxa"/>
            <w:tcBorders>
              <w:top w:val="nil"/>
              <w:left w:val="nil"/>
              <w:bottom w:val="nil"/>
              <w:right w:val="nil"/>
            </w:tcBorders>
            <w:shd w:val="clear" w:color="auto" w:fill="auto"/>
            <w:noWrap/>
            <w:vAlign w:val="bottom"/>
            <w:hideMark/>
          </w:tcPr>
          <w:p w14:paraId="568C9EF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metformin</w:t>
            </w:r>
          </w:p>
        </w:tc>
        <w:tc>
          <w:tcPr>
            <w:tcW w:w="1332" w:type="dxa"/>
            <w:tcBorders>
              <w:top w:val="nil"/>
              <w:left w:val="nil"/>
              <w:bottom w:val="nil"/>
              <w:right w:val="nil"/>
            </w:tcBorders>
            <w:shd w:val="clear" w:color="auto" w:fill="auto"/>
            <w:noWrap/>
            <w:vAlign w:val="bottom"/>
            <w:hideMark/>
          </w:tcPr>
          <w:p w14:paraId="6BBA778A" w14:textId="6219C65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B88C9D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558EE62" w14:textId="77777777" w:rsidTr="001E04CC">
        <w:trPr>
          <w:trHeight w:val="20"/>
        </w:trPr>
        <w:tc>
          <w:tcPr>
            <w:tcW w:w="2430" w:type="dxa"/>
            <w:tcBorders>
              <w:top w:val="nil"/>
              <w:left w:val="nil"/>
              <w:bottom w:val="nil"/>
              <w:right w:val="nil"/>
            </w:tcBorders>
            <w:shd w:val="clear" w:color="auto" w:fill="auto"/>
            <w:noWrap/>
            <w:vAlign w:val="bottom"/>
            <w:hideMark/>
          </w:tcPr>
          <w:p w14:paraId="323F654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metformin ER</w:t>
            </w:r>
          </w:p>
        </w:tc>
        <w:tc>
          <w:tcPr>
            <w:tcW w:w="1332" w:type="dxa"/>
            <w:tcBorders>
              <w:top w:val="nil"/>
              <w:left w:val="nil"/>
              <w:bottom w:val="nil"/>
              <w:right w:val="nil"/>
            </w:tcBorders>
            <w:shd w:val="clear" w:color="auto" w:fill="auto"/>
            <w:noWrap/>
            <w:vAlign w:val="bottom"/>
            <w:hideMark/>
          </w:tcPr>
          <w:p w14:paraId="451CAEF4" w14:textId="235153E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7870AAE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4E77F13" w14:textId="77777777" w:rsidTr="001E04CC">
        <w:trPr>
          <w:trHeight w:val="20"/>
        </w:trPr>
        <w:tc>
          <w:tcPr>
            <w:tcW w:w="2430" w:type="dxa"/>
            <w:tcBorders>
              <w:top w:val="nil"/>
              <w:left w:val="nil"/>
              <w:bottom w:val="nil"/>
              <w:right w:val="nil"/>
            </w:tcBorders>
            <w:shd w:val="clear" w:color="auto" w:fill="auto"/>
            <w:noWrap/>
            <w:vAlign w:val="bottom"/>
            <w:hideMark/>
          </w:tcPr>
          <w:p w14:paraId="0FBDDB5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methyclothiazide</w:t>
            </w:r>
          </w:p>
        </w:tc>
        <w:tc>
          <w:tcPr>
            <w:tcW w:w="1332" w:type="dxa"/>
            <w:tcBorders>
              <w:top w:val="nil"/>
              <w:left w:val="nil"/>
              <w:bottom w:val="nil"/>
              <w:right w:val="nil"/>
            </w:tcBorders>
            <w:shd w:val="clear" w:color="auto" w:fill="auto"/>
            <w:noWrap/>
            <w:vAlign w:val="bottom"/>
            <w:hideMark/>
          </w:tcPr>
          <w:p w14:paraId="0193E21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1542A4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E9882F9" w14:textId="77777777" w:rsidTr="001E04CC">
        <w:trPr>
          <w:trHeight w:val="20"/>
        </w:trPr>
        <w:tc>
          <w:tcPr>
            <w:tcW w:w="2430" w:type="dxa"/>
            <w:tcBorders>
              <w:top w:val="nil"/>
              <w:left w:val="nil"/>
              <w:bottom w:val="nil"/>
              <w:right w:val="nil"/>
            </w:tcBorders>
            <w:shd w:val="clear" w:color="auto" w:fill="auto"/>
            <w:noWrap/>
            <w:vAlign w:val="bottom"/>
            <w:hideMark/>
          </w:tcPr>
          <w:p w14:paraId="3002DC9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methyldopa</w:t>
            </w:r>
          </w:p>
        </w:tc>
        <w:tc>
          <w:tcPr>
            <w:tcW w:w="1332" w:type="dxa"/>
            <w:tcBorders>
              <w:top w:val="nil"/>
              <w:left w:val="nil"/>
              <w:bottom w:val="nil"/>
              <w:right w:val="nil"/>
            </w:tcBorders>
            <w:shd w:val="clear" w:color="auto" w:fill="auto"/>
            <w:noWrap/>
            <w:vAlign w:val="bottom"/>
            <w:hideMark/>
          </w:tcPr>
          <w:p w14:paraId="78D5AFD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8C87E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1B9BD70" w14:textId="77777777" w:rsidTr="001E04CC">
        <w:trPr>
          <w:trHeight w:val="20"/>
        </w:trPr>
        <w:tc>
          <w:tcPr>
            <w:tcW w:w="2430" w:type="dxa"/>
            <w:tcBorders>
              <w:top w:val="nil"/>
              <w:left w:val="nil"/>
              <w:bottom w:val="nil"/>
              <w:right w:val="nil"/>
            </w:tcBorders>
            <w:shd w:val="clear" w:color="auto" w:fill="auto"/>
            <w:noWrap/>
            <w:vAlign w:val="bottom"/>
            <w:hideMark/>
          </w:tcPr>
          <w:p w14:paraId="3BE58AE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methyldopa-hydrochlorothiazide</w:t>
            </w:r>
          </w:p>
        </w:tc>
        <w:tc>
          <w:tcPr>
            <w:tcW w:w="1332" w:type="dxa"/>
            <w:tcBorders>
              <w:top w:val="nil"/>
              <w:left w:val="nil"/>
              <w:bottom w:val="nil"/>
              <w:right w:val="nil"/>
            </w:tcBorders>
            <w:shd w:val="clear" w:color="auto" w:fill="auto"/>
            <w:noWrap/>
            <w:vAlign w:val="bottom"/>
            <w:hideMark/>
          </w:tcPr>
          <w:p w14:paraId="700DE6D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05D2D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0389DBD" w14:textId="77777777" w:rsidTr="001E04CC">
        <w:trPr>
          <w:trHeight w:val="20"/>
        </w:trPr>
        <w:tc>
          <w:tcPr>
            <w:tcW w:w="2430" w:type="dxa"/>
            <w:tcBorders>
              <w:top w:val="nil"/>
              <w:left w:val="nil"/>
              <w:bottom w:val="nil"/>
              <w:right w:val="nil"/>
            </w:tcBorders>
            <w:shd w:val="clear" w:color="auto" w:fill="auto"/>
            <w:noWrap/>
            <w:vAlign w:val="bottom"/>
            <w:hideMark/>
          </w:tcPr>
          <w:p w14:paraId="7DA567E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metolazone</w:t>
            </w:r>
          </w:p>
        </w:tc>
        <w:tc>
          <w:tcPr>
            <w:tcW w:w="1332" w:type="dxa"/>
            <w:tcBorders>
              <w:top w:val="nil"/>
              <w:left w:val="nil"/>
              <w:bottom w:val="nil"/>
              <w:right w:val="nil"/>
            </w:tcBorders>
            <w:shd w:val="clear" w:color="auto" w:fill="auto"/>
            <w:noWrap/>
            <w:vAlign w:val="bottom"/>
            <w:hideMark/>
          </w:tcPr>
          <w:p w14:paraId="4D90BAD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45D093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C12CDA0" w14:textId="77777777" w:rsidTr="001E04CC">
        <w:trPr>
          <w:trHeight w:val="20"/>
        </w:trPr>
        <w:tc>
          <w:tcPr>
            <w:tcW w:w="2430" w:type="dxa"/>
            <w:tcBorders>
              <w:top w:val="nil"/>
              <w:left w:val="nil"/>
              <w:bottom w:val="nil"/>
              <w:right w:val="nil"/>
            </w:tcBorders>
            <w:shd w:val="clear" w:color="auto" w:fill="auto"/>
            <w:noWrap/>
            <w:vAlign w:val="bottom"/>
            <w:hideMark/>
          </w:tcPr>
          <w:p w14:paraId="57082C0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metoprolol succinate</w:t>
            </w:r>
          </w:p>
        </w:tc>
        <w:tc>
          <w:tcPr>
            <w:tcW w:w="1332" w:type="dxa"/>
            <w:tcBorders>
              <w:top w:val="nil"/>
              <w:left w:val="nil"/>
              <w:bottom w:val="nil"/>
              <w:right w:val="nil"/>
            </w:tcBorders>
            <w:shd w:val="clear" w:color="auto" w:fill="auto"/>
            <w:noWrap/>
            <w:vAlign w:val="bottom"/>
            <w:hideMark/>
          </w:tcPr>
          <w:p w14:paraId="6F8F117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E9DF02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7959FBF" w14:textId="77777777" w:rsidTr="001E04CC">
        <w:trPr>
          <w:trHeight w:val="20"/>
        </w:trPr>
        <w:tc>
          <w:tcPr>
            <w:tcW w:w="2430" w:type="dxa"/>
            <w:tcBorders>
              <w:top w:val="nil"/>
              <w:left w:val="nil"/>
              <w:bottom w:val="nil"/>
              <w:right w:val="nil"/>
            </w:tcBorders>
            <w:shd w:val="clear" w:color="auto" w:fill="auto"/>
            <w:noWrap/>
            <w:vAlign w:val="bottom"/>
            <w:hideMark/>
          </w:tcPr>
          <w:p w14:paraId="28675B9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metoprolol tartrate</w:t>
            </w:r>
          </w:p>
        </w:tc>
        <w:tc>
          <w:tcPr>
            <w:tcW w:w="1332" w:type="dxa"/>
            <w:tcBorders>
              <w:top w:val="nil"/>
              <w:left w:val="nil"/>
              <w:bottom w:val="nil"/>
              <w:right w:val="nil"/>
            </w:tcBorders>
            <w:shd w:val="clear" w:color="auto" w:fill="auto"/>
            <w:noWrap/>
            <w:vAlign w:val="bottom"/>
            <w:hideMark/>
          </w:tcPr>
          <w:p w14:paraId="2030F85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1B3BE3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8C405FC" w14:textId="77777777" w:rsidTr="001E04CC">
        <w:trPr>
          <w:trHeight w:val="20"/>
        </w:trPr>
        <w:tc>
          <w:tcPr>
            <w:tcW w:w="2430" w:type="dxa"/>
            <w:tcBorders>
              <w:top w:val="nil"/>
              <w:left w:val="nil"/>
              <w:bottom w:val="nil"/>
              <w:right w:val="nil"/>
            </w:tcBorders>
            <w:shd w:val="clear" w:color="auto" w:fill="auto"/>
            <w:noWrap/>
            <w:vAlign w:val="bottom"/>
            <w:hideMark/>
          </w:tcPr>
          <w:p w14:paraId="021E32B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metoprolol-hydrochlorothiazide</w:t>
            </w:r>
          </w:p>
        </w:tc>
        <w:tc>
          <w:tcPr>
            <w:tcW w:w="1332" w:type="dxa"/>
            <w:tcBorders>
              <w:top w:val="nil"/>
              <w:left w:val="nil"/>
              <w:bottom w:val="nil"/>
              <w:right w:val="nil"/>
            </w:tcBorders>
            <w:shd w:val="clear" w:color="auto" w:fill="auto"/>
            <w:noWrap/>
            <w:vAlign w:val="bottom"/>
            <w:hideMark/>
          </w:tcPr>
          <w:p w14:paraId="5B8C3F2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E60204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81C8135" w14:textId="77777777" w:rsidTr="001E04CC">
        <w:trPr>
          <w:trHeight w:val="20"/>
        </w:trPr>
        <w:tc>
          <w:tcPr>
            <w:tcW w:w="2430" w:type="dxa"/>
            <w:tcBorders>
              <w:top w:val="nil"/>
              <w:left w:val="nil"/>
              <w:bottom w:val="nil"/>
              <w:right w:val="nil"/>
            </w:tcBorders>
            <w:shd w:val="clear" w:color="auto" w:fill="auto"/>
            <w:noWrap/>
            <w:vAlign w:val="bottom"/>
            <w:hideMark/>
          </w:tcPr>
          <w:p w14:paraId="5326707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Mevacor</w:t>
            </w:r>
            <w:proofErr w:type="spellEnd"/>
          </w:p>
        </w:tc>
        <w:tc>
          <w:tcPr>
            <w:tcW w:w="1332" w:type="dxa"/>
            <w:tcBorders>
              <w:top w:val="nil"/>
              <w:left w:val="nil"/>
              <w:bottom w:val="nil"/>
              <w:right w:val="nil"/>
            </w:tcBorders>
            <w:shd w:val="clear" w:color="auto" w:fill="auto"/>
            <w:noWrap/>
            <w:vAlign w:val="bottom"/>
            <w:hideMark/>
          </w:tcPr>
          <w:p w14:paraId="04B61A0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910E48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8A7FC23" w14:textId="77777777" w:rsidTr="001E04CC">
        <w:trPr>
          <w:trHeight w:val="20"/>
        </w:trPr>
        <w:tc>
          <w:tcPr>
            <w:tcW w:w="2430" w:type="dxa"/>
            <w:tcBorders>
              <w:top w:val="nil"/>
              <w:left w:val="nil"/>
              <w:bottom w:val="nil"/>
              <w:right w:val="nil"/>
            </w:tcBorders>
            <w:shd w:val="clear" w:color="auto" w:fill="auto"/>
            <w:noWrap/>
            <w:vAlign w:val="bottom"/>
            <w:hideMark/>
          </w:tcPr>
          <w:p w14:paraId="7895D0D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Miacalcin</w:t>
            </w:r>
            <w:proofErr w:type="spellEnd"/>
          </w:p>
        </w:tc>
        <w:tc>
          <w:tcPr>
            <w:tcW w:w="1332" w:type="dxa"/>
            <w:tcBorders>
              <w:top w:val="nil"/>
              <w:left w:val="nil"/>
              <w:bottom w:val="nil"/>
              <w:right w:val="nil"/>
            </w:tcBorders>
            <w:shd w:val="clear" w:color="auto" w:fill="auto"/>
            <w:noWrap/>
            <w:vAlign w:val="bottom"/>
            <w:hideMark/>
          </w:tcPr>
          <w:p w14:paraId="267A2C1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Osteoporosis</w:t>
            </w:r>
          </w:p>
        </w:tc>
        <w:tc>
          <w:tcPr>
            <w:tcW w:w="900" w:type="dxa"/>
            <w:tcBorders>
              <w:top w:val="nil"/>
              <w:left w:val="nil"/>
              <w:bottom w:val="nil"/>
              <w:right w:val="nil"/>
            </w:tcBorders>
            <w:shd w:val="clear" w:color="auto" w:fill="auto"/>
            <w:noWrap/>
            <w:vAlign w:val="bottom"/>
            <w:hideMark/>
          </w:tcPr>
          <w:p w14:paraId="37FB242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5E0D89B" w14:textId="77777777" w:rsidTr="001E04CC">
        <w:trPr>
          <w:trHeight w:val="20"/>
        </w:trPr>
        <w:tc>
          <w:tcPr>
            <w:tcW w:w="2430" w:type="dxa"/>
            <w:tcBorders>
              <w:top w:val="nil"/>
              <w:left w:val="nil"/>
              <w:bottom w:val="nil"/>
              <w:right w:val="nil"/>
            </w:tcBorders>
            <w:shd w:val="clear" w:color="auto" w:fill="auto"/>
            <w:noWrap/>
            <w:vAlign w:val="bottom"/>
            <w:hideMark/>
          </w:tcPr>
          <w:p w14:paraId="1F80951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Micardis</w:t>
            </w:r>
            <w:proofErr w:type="spellEnd"/>
          </w:p>
        </w:tc>
        <w:tc>
          <w:tcPr>
            <w:tcW w:w="1332" w:type="dxa"/>
            <w:tcBorders>
              <w:top w:val="nil"/>
              <w:left w:val="nil"/>
              <w:bottom w:val="nil"/>
              <w:right w:val="nil"/>
            </w:tcBorders>
            <w:shd w:val="clear" w:color="auto" w:fill="auto"/>
            <w:noWrap/>
            <w:vAlign w:val="bottom"/>
            <w:hideMark/>
          </w:tcPr>
          <w:p w14:paraId="22E587E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A9B60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0A858E5" w14:textId="77777777" w:rsidTr="001E04CC">
        <w:trPr>
          <w:trHeight w:val="20"/>
        </w:trPr>
        <w:tc>
          <w:tcPr>
            <w:tcW w:w="2430" w:type="dxa"/>
            <w:tcBorders>
              <w:top w:val="nil"/>
              <w:left w:val="nil"/>
              <w:bottom w:val="nil"/>
              <w:right w:val="nil"/>
            </w:tcBorders>
            <w:shd w:val="clear" w:color="auto" w:fill="auto"/>
            <w:noWrap/>
            <w:vAlign w:val="bottom"/>
            <w:hideMark/>
          </w:tcPr>
          <w:p w14:paraId="6DE27A9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Micardis</w:t>
            </w:r>
            <w:proofErr w:type="spellEnd"/>
            <w:r w:rsidRPr="001A20A2">
              <w:rPr>
                <w:rFonts w:ascii="Calibri" w:eastAsia="Times New Roman" w:hAnsi="Calibri" w:cs="Times New Roman"/>
                <w:color w:val="000000"/>
                <w:sz w:val="16"/>
                <w:szCs w:val="16"/>
              </w:rPr>
              <w:t xml:space="preserve"> HCT</w:t>
            </w:r>
          </w:p>
        </w:tc>
        <w:tc>
          <w:tcPr>
            <w:tcW w:w="1332" w:type="dxa"/>
            <w:tcBorders>
              <w:top w:val="nil"/>
              <w:left w:val="nil"/>
              <w:bottom w:val="nil"/>
              <w:right w:val="nil"/>
            </w:tcBorders>
            <w:shd w:val="clear" w:color="auto" w:fill="auto"/>
            <w:noWrap/>
            <w:vAlign w:val="bottom"/>
            <w:hideMark/>
          </w:tcPr>
          <w:p w14:paraId="2486BDB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029DA4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3715684" w14:textId="77777777" w:rsidTr="001E04CC">
        <w:trPr>
          <w:trHeight w:val="20"/>
        </w:trPr>
        <w:tc>
          <w:tcPr>
            <w:tcW w:w="2430" w:type="dxa"/>
            <w:tcBorders>
              <w:top w:val="nil"/>
              <w:left w:val="nil"/>
              <w:bottom w:val="nil"/>
              <w:right w:val="nil"/>
            </w:tcBorders>
            <w:shd w:val="clear" w:color="auto" w:fill="auto"/>
            <w:noWrap/>
            <w:vAlign w:val="bottom"/>
            <w:hideMark/>
          </w:tcPr>
          <w:p w14:paraId="1567276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Microzide</w:t>
            </w:r>
          </w:p>
        </w:tc>
        <w:tc>
          <w:tcPr>
            <w:tcW w:w="1332" w:type="dxa"/>
            <w:tcBorders>
              <w:top w:val="nil"/>
              <w:left w:val="nil"/>
              <w:bottom w:val="nil"/>
              <w:right w:val="nil"/>
            </w:tcBorders>
            <w:shd w:val="clear" w:color="auto" w:fill="auto"/>
            <w:noWrap/>
            <w:vAlign w:val="bottom"/>
            <w:hideMark/>
          </w:tcPr>
          <w:p w14:paraId="315E741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F97F3D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CC2B29A" w14:textId="77777777" w:rsidTr="001E04CC">
        <w:trPr>
          <w:trHeight w:val="20"/>
        </w:trPr>
        <w:tc>
          <w:tcPr>
            <w:tcW w:w="2430" w:type="dxa"/>
            <w:tcBorders>
              <w:top w:val="nil"/>
              <w:left w:val="nil"/>
              <w:bottom w:val="nil"/>
              <w:right w:val="nil"/>
            </w:tcBorders>
            <w:shd w:val="clear" w:color="auto" w:fill="auto"/>
            <w:noWrap/>
            <w:vAlign w:val="bottom"/>
            <w:hideMark/>
          </w:tcPr>
          <w:p w14:paraId="3E10EBA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Midamor</w:t>
            </w:r>
            <w:proofErr w:type="spellEnd"/>
          </w:p>
        </w:tc>
        <w:tc>
          <w:tcPr>
            <w:tcW w:w="1332" w:type="dxa"/>
            <w:tcBorders>
              <w:top w:val="nil"/>
              <w:left w:val="nil"/>
              <w:bottom w:val="nil"/>
              <w:right w:val="nil"/>
            </w:tcBorders>
            <w:shd w:val="clear" w:color="auto" w:fill="auto"/>
            <w:noWrap/>
            <w:vAlign w:val="bottom"/>
            <w:hideMark/>
          </w:tcPr>
          <w:p w14:paraId="2A2C6BF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5377CF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28EE7E8" w14:textId="77777777" w:rsidTr="001E04CC">
        <w:trPr>
          <w:trHeight w:val="20"/>
        </w:trPr>
        <w:tc>
          <w:tcPr>
            <w:tcW w:w="2430" w:type="dxa"/>
            <w:tcBorders>
              <w:top w:val="nil"/>
              <w:left w:val="nil"/>
              <w:bottom w:val="nil"/>
              <w:right w:val="nil"/>
            </w:tcBorders>
            <w:shd w:val="clear" w:color="auto" w:fill="auto"/>
            <w:noWrap/>
            <w:vAlign w:val="bottom"/>
            <w:hideMark/>
          </w:tcPr>
          <w:p w14:paraId="144A9CB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Minipress</w:t>
            </w:r>
          </w:p>
        </w:tc>
        <w:tc>
          <w:tcPr>
            <w:tcW w:w="1332" w:type="dxa"/>
            <w:tcBorders>
              <w:top w:val="nil"/>
              <w:left w:val="nil"/>
              <w:bottom w:val="nil"/>
              <w:right w:val="nil"/>
            </w:tcBorders>
            <w:shd w:val="clear" w:color="auto" w:fill="auto"/>
            <w:noWrap/>
            <w:vAlign w:val="bottom"/>
            <w:hideMark/>
          </w:tcPr>
          <w:p w14:paraId="0D6B832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0936B7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F08DD39" w14:textId="77777777" w:rsidTr="001E04CC">
        <w:trPr>
          <w:trHeight w:val="20"/>
        </w:trPr>
        <w:tc>
          <w:tcPr>
            <w:tcW w:w="2430" w:type="dxa"/>
            <w:tcBorders>
              <w:top w:val="nil"/>
              <w:left w:val="nil"/>
              <w:bottom w:val="nil"/>
              <w:right w:val="nil"/>
            </w:tcBorders>
            <w:shd w:val="clear" w:color="auto" w:fill="auto"/>
            <w:noWrap/>
            <w:vAlign w:val="bottom"/>
            <w:hideMark/>
          </w:tcPr>
          <w:p w14:paraId="1F639F4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minoxidil</w:t>
            </w:r>
          </w:p>
        </w:tc>
        <w:tc>
          <w:tcPr>
            <w:tcW w:w="1332" w:type="dxa"/>
            <w:tcBorders>
              <w:top w:val="nil"/>
              <w:left w:val="nil"/>
              <w:bottom w:val="nil"/>
              <w:right w:val="nil"/>
            </w:tcBorders>
            <w:shd w:val="clear" w:color="auto" w:fill="auto"/>
            <w:noWrap/>
            <w:vAlign w:val="bottom"/>
            <w:hideMark/>
          </w:tcPr>
          <w:p w14:paraId="4BE315A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1C288D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3515914" w14:textId="77777777" w:rsidTr="001E04CC">
        <w:trPr>
          <w:trHeight w:val="20"/>
        </w:trPr>
        <w:tc>
          <w:tcPr>
            <w:tcW w:w="2430" w:type="dxa"/>
            <w:tcBorders>
              <w:top w:val="nil"/>
              <w:left w:val="nil"/>
              <w:bottom w:val="nil"/>
              <w:right w:val="nil"/>
            </w:tcBorders>
            <w:shd w:val="clear" w:color="auto" w:fill="auto"/>
            <w:noWrap/>
            <w:vAlign w:val="bottom"/>
            <w:hideMark/>
          </w:tcPr>
          <w:p w14:paraId="121BBF3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Moban</w:t>
            </w:r>
            <w:proofErr w:type="spellEnd"/>
          </w:p>
        </w:tc>
        <w:tc>
          <w:tcPr>
            <w:tcW w:w="1332" w:type="dxa"/>
            <w:tcBorders>
              <w:top w:val="nil"/>
              <w:left w:val="nil"/>
              <w:bottom w:val="nil"/>
              <w:right w:val="nil"/>
            </w:tcBorders>
            <w:shd w:val="clear" w:color="auto" w:fill="auto"/>
            <w:noWrap/>
            <w:vAlign w:val="bottom"/>
            <w:hideMark/>
          </w:tcPr>
          <w:p w14:paraId="4D84071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D10A9D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04BC7E6" w14:textId="77777777" w:rsidTr="001E04CC">
        <w:trPr>
          <w:trHeight w:val="20"/>
        </w:trPr>
        <w:tc>
          <w:tcPr>
            <w:tcW w:w="2430" w:type="dxa"/>
            <w:tcBorders>
              <w:top w:val="nil"/>
              <w:left w:val="nil"/>
              <w:bottom w:val="nil"/>
              <w:right w:val="nil"/>
            </w:tcBorders>
            <w:shd w:val="clear" w:color="auto" w:fill="auto"/>
            <w:noWrap/>
            <w:vAlign w:val="bottom"/>
            <w:hideMark/>
          </w:tcPr>
          <w:p w14:paraId="42D32D4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moexipril</w:t>
            </w:r>
            <w:proofErr w:type="spellEnd"/>
          </w:p>
        </w:tc>
        <w:tc>
          <w:tcPr>
            <w:tcW w:w="1332" w:type="dxa"/>
            <w:tcBorders>
              <w:top w:val="nil"/>
              <w:left w:val="nil"/>
              <w:bottom w:val="nil"/>
              <w:right w:val="nil"/>
            </w:tcBorders>
            <w:shd w:val="clear" w:color="auto" w:fill="auto"/>
            <w:noWrap/>
            <w:vAlign w:val="bottom"/>
            <w:hideMark/>
          </w:tcPr>
          <w:p w14:paraId="3A7CF4E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6CC224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750DC78" w14:textId="77777777" w:rsidTr="001E04CC">
        <w:trPr>
          <w:trHeight w:val="20"/>
        </w:trPr>
        <w:tc>
          <w:tcPr>
            <w:tcW w:w="2430" w:type="dxa"/>
            <w:tcBorders>
              <w:top w:val="nil"/>
              <w:left w:val="nil"/>
              <w:bottom w:val="nil"/>
              <w:right w:val="nil"/>
            </w:tcBorders>
            <w:shd w:val="clear" w:color="auto" w:fill="auto"/>
            <w:noWrap/>
            <w:vAlign w:val="bottom"/>
            <w:hideMark/>
          </w:tcPr>
          <w:p w14:paraId="36408EA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moexipril</w:t>
            </w:r>
            <w:proofErr w:type="spellEnd"/>
            <w:r w:rsidRPr="001A20A2">
              <w:rPr>
                <w:rFonts w:ascii="Calibri" w:eastAsia="Times New Roman" w:hAnsi="Calibri" w:cs="Times New Roman"/>
                <w:color w:val="000000"/>
                <w:sz w:val="16"/>
                <w:szCs w:val="16"/>
              </w:rPr>
              <w:t>-hydrochlorothiazide</w:t>
            </w:r>
          </w:p>
        </w:tc>
        <w:tc>
          <w:tcPr>
            <w:tcW w:w="1332" w:type="dxa"/>
            <w:tcBorders>
              <w:top w:val="nil"/>
              <w:left w:val="nil"/>
              <w:bottom w:val="nil"/>
              <w:right w:val="nil"/>
            </w:tcBorders>
            <w:shd w:val="clear" w:color="auto" w:fill="auto"/>
            <w:noWrap/>
            <w:vAlign w:val="bottom"/>
            <w:hideMark/>
          </w:tcPr>
          <w:p w14:paraId="65AE98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60B372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817DFF6" w14:textId="77777777" w:rsidTr="001E04CC">
        <w:trPr>
          <w:trHeight w:val="20"/>
        </w:trPr>
        <w:tc>
          <w:tcPr>
            <w:tcW w:w="2430" w:type="dxa"/>
            <w:tcBorders>
              <w:top w:val="nil"/>
              <w:left w:val="nil"/>
              <w:bottom w:val="nil"/>
              <w:right w:val="nil"/>
            </w:tcBorders>
            <w:shd w:val="clear" w:color="auto" w:fill="auto"/>
            <w:noWrap/>
            <w:vAlign w:val="bottom"/>
            <w:hideMark/>
          </w:tcPr>
          <w:p w14:paraId="6426ABB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montelukast</w:t>
            </w:r>
          </w:p>
        </w:tc>
        <w:tc>
          <w:tcPr>
            <w:tcW w:w="1332" w:type="dxa"/>
            <w:tcBorders>
              <w:top w:val="nil"/>
              <w:left w:val="nil"/>
              <w:bottom w:val="nil"/>
              <w:right w:val="nil"/>
            </w:tcBorders>
            <w:shd w:val="clear" w:color="auto" w:fill="auto"/>
            <w:noWrap/>
            <w:vAlign w:val="bottom"/>
            <w:hideMark/>
          </w:tcPr>
          <w:p w14:paraId="3A95F68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61E6BB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BD3D2B3" w14:textId="77777777" w:rsidTr="001E04CC">
        <w:trPr>
          <w:trHeight w:val="20"/>
        </w:trPr>
        <w:tc>
          <w:tcPr>
            <w:tcW w:w="2430" w:type="dxa"/>
            <w:tcBorders>
              <w:top w:val="nil"/>
              <w:left w:val="nil"/>
              <w:bottom w:val="nil"/>
              <w:right w:val="nil"/>
            </w:tcBorders>
            <w:shd w:val="clear" w:color="auto" w:fill="auto"/>
            <w:noWrap/>
            <w:vAlign w:val="bottom"/>
            <w:hideMark/>
          </w:tcPr>
          <w:p w14:paraId="46F7EA4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mycophenolate</w:t>
            </w:r>
          </w:p>
        </w:tc>
        <w:tc>
          <w:tcPr>
            <w:tcW w:w="1332" w:type="dxa"/>
            <w:tcBorders>
              <w:top w:val="nil"/>
              <w:left w:val="nil"/>
              <w:bottom w:val="nil"/>
              <w:right w:val="nil"/>
            </w:tcBorders>
            <w:shd w:val="clear" w:color="auto" w:fill="auto"/>
            <w:noWrap/>
            <w:vAlign w:val="bottom"/>
            <w:hideMark/>
          </w:tcPr>
          <w:p w14:paraId="2FE4C1F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75F24F2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02FF1A2" w14:textId="77777777" w:rsidTr="001E04CC">
        <w:trPr>
          <w:trHeight w:val="20"/>
        </w:trPr>
        <w:tc>
          <w:tcPr>
            <w:tcW w:w="2430" w:type="dxa"/>
            <w:tcBorders>
              <w:top w:val="nil"/>
              <w:left w:val="nil"/>
              <w:bottom w:val="nil"/>
              <w:right w:val="nil"/>
            </w:tcBorders>
            <w:shd w:val="clear" w:color="auto" w:fill="auto"/>
            <w:noWrap/>
            <w:vAlign w:val="bottom"/>
            <w:hideMark/>
          </w:tcPr>
          <w:p w14:paraId="3847122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mycophenolic acid</w:t>
            </w:r>
          </w:p>
        </w:tc>
        <w:tc>
          <w:tcPr>
            <w:tcW w:w="1332" w:type="dxa"/>
            <w:tcBorders>
              <w:top w:val="nil"/>
              <w:left w:val="nil"/>
              <w:bottom w:val="nil"/>
              <w:right w:val="nil"/>
            </w:tcBorders>
            <w:shd w:val="clear" w:color="auto" w:fill="auto"/>
            <w:noWrap/>
            <w:vAlign w:val="bottom"/>
            <w:hideMark/>
          </w:tcPr>
          <w:p w14:paraId="198FC55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3B91B74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04F8FC9" w14:textId="77777777" w:rsidTr="001E04CC">
        <w:trPr>
          <w:trHeight w:val="20"/>
        </w:trPr>
        <w:tc>
          <w:tcPr>
            <w:tcW w:w="2430" w:type="dxa"/>
            <w:tcBorders>
              <w:top w:val="nil"/>
              <w:left w:val="nil"/>
              <w:bottom w:val="nil"/>
              <w:right w:val="nil"/>
            </w:tcBorders>
            <w:shd w:val="clear" w:color="auto" w:fill="auto"/>
            <w:noWrap/>
            <w:vAlign w:val="bottom"/>
            <w:hideMark/>
          </w:tcPr>
          <w:p w14:paraId="2A55B67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Myfortic</w:t>
            </w:r>
            <w:proofErr w:type="spellEnd"/>
            <w:r w:rsidRPr="001A20A2">
              <w:rPr>
                <w:rFonts w:ascii="Calibri" w:eastAsia="Times New Roman" w:hAnsi="Calibri" w:cs="Times New Roman"/>
                <w:color w:val="000000"/>
                <w:sz w:val="16"/>
                <w:szCs w:val="16"/>
              </w:rPr>
              <w:t xml:space="preserve"> </w:t>
            </w:r>
          </w:p>
        </w:tc>
        <w:tc>
          <w:tcPr>
            <w:tcW w:w="1332" w:type="dxa"/>
            <w:tcBorders>
              <w:top w:val="nil"/>
              <w:left w:val="nil"/>
              <w:bottom w:val="nil"/>
              <w:right w:val="nil"/>
            </w:tcBorders>
            <w:shd w:val="clear" w:color="auto" w:fill="auto"/>
            <w:noWrap/>
            <w:vAlign w:val="bottom"/>
            <w:hideMark/>
          </w:tcPr>
          <w:p w14:paraId="354581D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4692FF0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33B13EE" w14:textId="77777777" w:rsidTr="001E04CC">
        <w:trPr>
          <w:trHeight w:val="20"/>
        </w:trPr>
        <w:tc>
          <w:tcPr>
            <w:tcW w:w="2430" w:type="dxa"/>
            <w:tcBorders>
              <w:top w:val="nil"/>
              <w:left w:val="nil"/>
              <w:bottom w:val="nil"/>
              <w:right w:val="nil"/>
            </w:tcBorders>
            <w:shd w:val="clear" w:color="auto" w:fill="auto"/>
            <w:noWrap/>
            <w:vAlign w:val="bottom"/>
            <w:hideMark/>
          </w:tcPr>
          <w:p w14:paraId="574BC16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nadolol</w:t>
            </w:r>
          </w:p>
        </w:tc>
        <w:tc>
          <w:tcPr>
            <w:tcW w:w="1332" w:type="dxa"/>
            <w:tcBorders>
              <w:top w:val="nil"/>
              <w:left w:val="nil"/>
              <w:bottom w:val="nil"/>
              <w:right w:val="nil"/>
            </w:tcBorders>
            <w:shd w:val="clear" w:color="auto" w:fill="auto"/>
            <w:noWrap/>
            <w:vAlign w:val="bottom"/>
            <w:hideMark/>
          </w:tcPr>
          <w:p w14:paraId="104651E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4C1A09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E87BB41" w14:textId="77777777" w:rsidTr="001E04CC">
        <w:trPr>
          <w:trHeight w:val="20"/>
        </w:trPr>
        <w:tc>
          <w:tcPr>
            <w:tcW w:w="2430" w:type="dxa"/>
            <w:tcBorders>
              <w:top w:val="nil"/>
              <w:left w:val="nil"/>
              <w:bottom w:val="nil"/>
              <w:right w:val="nil"/>
            </w:tcBorders>
            <w:shd w:val="clear" w:color="auto" w:fill="auto"/>
            <w:noWrap/>
            <w:vAlign w:val="bottom"/>
            <w:hideMark/>
          </w:tcPr>
          <w:p w14:paraId="4C785F2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nadolol </w:t>
            </w:r>
            <w:proofErr w:type="spellStart"/>
            <w:r w:rsidRPr="001A20A2">
              <w:rPr>
                <w:rFonts w:ascii="Calibri" w:eastAsia="Times New Roman" w:hAnsi="Calibri" w:cs="Times New Roman"/>
                <w:color w:val="000000"/>
                <w:sz w:val="16"/>
                <w:szCs w:val="16"/>
              </w:rPr>
              <w:t>bendroflumethazide</w:t>
            </w:r>
            <w:proofErr w:type="spellEnd"/>
          </w:p>
        </w:tc>
        <w:tc>
          <w:tcPr>
            <w:tcW w:w="1332" w:type="dxa"/>
            <w:tcBorders>
              <w:top w:val="nil"/>
              <w:left w:val="nil"/>
              <w:bottom w:val="nil"/>
              <w:right w:val="nil"/>
            </w:tcBorders>
            <w:shd w:val="clear" w:color="auto" w:fill="auto"/>
            <w:noWrap/>
            <w:vAlign w:val="bottom"/>
            <w:hideMark/>
          </w:tcPr>
          <w:p w14:paraId="40E78F9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E7CA30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482502E" w14:textId="77777777" w:rsidTr="001E04CC">
        <w:trPr>
          <w:trHeight w:val="20"/>
        </w:trPr>
        <w:tc>
          <w:tcPr>
            <w:tcW w:w="2430" w:type="dxa"/>
            <w:tcBorders>
              <w:top w:val="nil"/>
              <w:left w:val="nil"/>
              <w:bottom w:val="nil"/>
              <w:right w:val="nil"/>
            </w:tcBorders>
            <w:shd w:val="clear" w:color="auto" w:fill="auto"/>
            <w:noWrap/>
            <w:vAlign w:val="bottom"/>
            <w:hideMark/>
          </w:tcPr>
          <w:p w14:paraId="182799C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nateglinide</w:t>
            </w:r>
            <w:proofErr w:type="spellEnd"/>
          </w:p>
        </w:tc>
        <w:tc>
          <w:tcPr>
            <w:tcW w:w="1332" w:type="dxa"/>
            <w:tcBorders>
              <w:top w:val="nil"/>
              <w:left w:val="nil"/>
              <w:bottom w:val="nil"/>
              <w:right w:val="nil"/>
            </w:tcBorders>
            <w:shd w:val="clear" w:color="auto" w:fill="auto"/>
            <w:noWrap/>
            <w:vAlign w:val="bottom"/>
            <w:hideMark/>
          </w:tcPr>
          <w:p w14:paraId="42438072" w14:textId="4103F02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2A379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B784714" w14:textId="77777777" w:rsidTr="001E04CC">
        <w:trPr>
          <w:trHeight w:val="20"/>
        </w:trPr>
        <w:tc>
          <w:tcPr>
            <w:tcW w:w="2430" w:type="dxa"/>
            <w:tcBorders>
              <w:top w:val="nil"/>
              <w:left w:val="nil"/>
              <w:bottom w:val="nil"/>
              <w:right w:val="nil"/>
            </w:tcBorders>
            <w:shd w:val="clear" w:color="auto" w:fill="auto"/>
            <w:noWrap/>
            <w:vAlign w:val="bottom"/>
            <w:hideMark/>
          </w:tcPr>
          <w:p w14:paraId="564ACC9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Neoral</w:t>
            </w:r>
            <w:proofErr w:type="spellEnd"/>
          </w:p>
        </w:tc>
        <w:tc>
          <w:tcPr>
            <w:tcW w:w="1332" w:type="dxa"/>
            <w:tcBorders>
              <w:top w:val="nil"/>
              <w:left w:val="nil"/>
              <w:bottom w:val="nil"/>
              <w:right w:val="nil"/>
            </w:tcBorders>
            <w:shd w:val="clear" w:color="auto" w:fill="auto"/>
            <w:noWrap/>
            <w:vAlign w:val="bottom"/>
            <w:hideMark/>
          </w:tcPr>
          <w:p w14:paraId="0E980C4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7A1B116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981C45" w14:textId="77777777" w:rsidTr="001E04CC">
        <w:trPr>
          <w:trHeight w:val="20"/>
        </w:trPr>
        <w:tc>
          <w:tcPr>
            <w:tcW w:w="2430" w:type="dxa"/>
            <w:tcBorders>
              <w:top w:val="nil"/>
              <w:left w:val="nil"/>
              <w:bottom w:val="nil"/>
              <w:right w:val="nil"/>
            </w:tcBorders>
            <w:shd w:val="clear" w:color="auto" w:fill="auto"/>
            <w:noWrap/>
            <w:vAlign w:val="bottom"/>
            <w:hideMark/>
          </w:tcPr>
          <w:p w14:paraId="504BCB5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Nesina</w:t>
            </w:r>
            <w:proofErr w:type="spellEnd"/>
          </w:p>
        </w:tc>
        <w:tc>
          <w:tcPr>
            <w:tcW w:w="1332" w:type="dxa"/>
            <w:tcBorders>
              <w:top w:val="nil"/>
              <w:left w:val="nil"/>
              <w:bottom w:val="nil"/>
              <w:right w:val="nil"/>
            </w:tcBorders>
            <w:shd w:val="clear" w:color="auto" w:fill="auto"/>
            <w:noWrap/>
            <w:vAlign w:val="bottom"/>
            <w:hideMark/>
          </w:tcPr>
          <w:p w14:paraId="06C5ADCB" w14:textId="25D4098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68A8F3A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773AC7B" w14:textId="77777777" w:rsidTr="001E04CC">
        <w:trPr>
          <w:trHeight w:val="20"/>
        </w:trPr>
        <w:tc>
          <w:tcPr>
            <w:tcW w:w="2430" w:type="dxa"/>
            <w:tcBorders>
              <w:top w:val="nil"/>
              <w:left w:val="nil"/>
              <w:bottom w:val="nil"/>
              <w:right w:val="nil"/>
            </w:tcBorders>
            <w:shd w:val="clear" w:color="auto" w:fill="auto"/>
            <w:noWrap/>
            <w:vAlign w:val="bottom"/>
            <w:hideMark/>
          </w:tcPr>
          <w:p w14:paraId="4A814B4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nevirapine</w:t>
            </w:r>
          </w:p>
        </w:tc>
        <w:tc>
          <w:tcPr>
            <w:tcW w:w="1332" w:type="dxa"/>
            <w:tcBorders>
              <w:top w:val="nil"/>
              <w:left w:val="nil"/>
              <w:bottom w:val="nil"/>
              <w:right w:val="nil"/>
            </w:tcBorders>
            <w:shd w:val="clear" w:color="auto" w:fill="auto"/>
            <w:noWrap/>
            <w:vAlign w:val="bottom"/>
            <w:hideMark/>
          </w:tcPr>
          <w:p w14:paraId="5D32805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57292B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A20F7CA" w14:textId="77777777" w:rsidTr="001E04CC">
        <w:trPr>
          <w:trHeight w:val="20"/>
        </w:trPr>
        <w:tc>
          <w:tcPr>
            <w:tcW w:w="2430" w:type="dxa"/>
            <w:tcBorders>
              <w:top w:val="nil"/>
              <w:left w:val="nil"/>
              <w:bottom w:val="nil"/>
              <w:right w:val="nil"/>
            </w:tcBorders>
            <w:shd w:val="clear" w:color="auto" w:fill="auto"/>
            <w:noWrap/>
            <w:vAlign w:val="bottom"/>
            <w:hideMark/>
          </w:tcPr>
          <w:p w14:paraId="3BACCC7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Nexiclon</w:t>
            </w:r>
            <w:proofErr w:type="spellEnd"/>
            <w:r w:rsidRPr="001A20A2">
              <w:rPr>
                <w:rFonts w:ascii="Calibri" w:eastAsia="Times New Roman" w:hAnsi="Calibri" w:cs="Times New Roman"/>
                <w:color w:val="000000"/>
                <w:sz w:val="16"/>
                <w:szCs w:val="16"/>
              </w:rPr>
              <w:t xml:space="preserve"> XR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6F2CCCA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4B3A07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3E2F78F" w14:textId="77777777" w:rsidTr="001E04CC">
        <w:trPr>
          <w:trHeight w:val="20"/>
        </w:trPr>
        <w:tc>
          <w:tcPr>
            <w:tcW w:w="2430" w:type="dxa"/>
            <w:tcBorders>
              <w:top w:val="nil"/>
              <w:left w:val="nil"/>
              <w:bottom w:val="nil"/>
              <w:right w:val="nil"/>
            </w:tcBorders>
            <w:shd w:val="clear" w:color="auto" w:fill="auto"/>
            <w:noWrap/>
            <w:vAlign w:val="bottom"/>
            <w:hideMark/>
          </w:tcPr>
          <w:p w14:paraId="7DCEB71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niacin Extended-Release</w:t>
            </w:r>
          </w:p>
        </w:tc>
        <w:tc>
          <w:tcPr>
            <w:tcW w:w="1332" w:type="dxa"/>
            <w:tcBorders>
              <w:top w:val="nil"/>
              <w:left w:val="nil"/>
              <w:bottom w:val="nil"/>
              <w:right w:val="nil"/>
            </w:tcBorders>
            <w:shd w:val="clear" w:color="auto" w:fill="auto"/>
            <w:noWrap/>
            <w:vAlign w:val="bottom"/>
            <w:hideMark/>
          </w:tcPr>
          <w:p w14:paraId="7E526B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AE0F9F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A0EF86D" w14:textId="77777777" w:rsidTr="001E04CC">
        <w:trPr>
          <w:trHeight w:val="20"/>
        </w:trPr>
        <w:tc>
          <w:tcPr>
            <w:tcW w:w="2430" w:type="dxa"/>
            <w:tcBorders>
              <w:top w:val="nil"/>
              <w:left w:val="nil"/>
              <w:bottom w:val="nil"/>
              <w:right w:val="nil"/>
            </w:tcBorders>
            <w:shd w:val="clear" w:color="auto" w:fill="auto"/>
            <w:noWrap/>
            <w:vAlign w:val="bottom"/>
            <w:hideMark/>
          </w:tcPr>
          <w:p w14:paraId="15401FF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Niacor</w:t>
            </w:r>
            <w:proofErr w:type="spellEnd"/>
          </w:p>
        </w:tc>
        <w:tc>
          <w:tcPr>
            <w:tcW w:w="1332" w:type="dxa"/>
            <w:tcBorders>
              <w:top w:val="nil"/>
              <w:left w:val="nil"/>
              <w:bottom w:val="nil"/>
              <w:right w:val="nil"/>
            </w:tcBorders>
            <w:shd w:val="clear" w:color="auto" w:fill="auto"/>
            <w:noWrap/>
            <w:vAlign w:val="bottom"/>
            <w:hideMark/>
          </w:tcPr>
          <w:p w14:paraId="5815FEB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EDAC6F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6E160F0" w14:textId="77777777" w:rsidTr="001E04CC">
        <w:trPr>
          <w:trHeight w:val="20"/>
        </w:trPr>
        <w:tc>
          <w:tcPr>
            <w:tcW w:w="2430" w:type="dxa"/>
            <w:tcBorders>
              <w:top w:val="nil"/>
              <w:left w:val="nil"/>
              <w:bottom w:val="nil"/>
              <w:right w:val="nil"/>
            </w:tcBorders>
            <w:shd w:val="clear" w:color="auto" w:fill="auto"/>
            <w:noWrap/>
            <w:vAlign w:val="bottom"/>
            <w:hideMark/>
          </w:tcPr>
          <w:p w14:paraId="7B5D1E2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Niaspan</w:t>
            </w:r>
          </w:p>
        </w:tc>
        <w:tc>
          <w:tcPr>
            <w:tcW w:w="1332" w:type="dxa"/>
            <w:tcBorders>
              <w:top w:val="nil"/>
              <w:left w:val="nil"/>
              <w:bottom w:val="nil"/>
              <w:right w:val="nil"/>
            </w:tcBorders>
            <w:shd w:val="clear" w:color="auto" w:fill="auto"/>
            <w:noWrap/>
            <w:vAlign w:val="bottom"/>
            <w:hideMark/>
          </w:tcPr>
          <w:p w14:paraId="3E5A8C9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2D16A2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34BABDF" w14:textId="77777777" w:rsidTr="001E04CC">
        <w:trPr>
          <w:trHeight w:val="20"/>
        </w:trPr>
        <w:tc>
          <w:tcPr>
            <w:tcW w:w="2430" w:type="dxa"/>
            <w:tcBorders>
              <w:top w:val="nil"/>
              <w:left w:val="nil"/>
              <w:bottom w:val="nil"/>
              <w:right w:val="nil"/>
            </w:tcBorders>
            <w:shd w:val="clear" w:color="auto" w:fill="auto"/>
            <w:noWrap/>
            <w:vAlign w:val="bottom"/>
            <w:hideMark/>
          </w:tcPr>
          <w:p w14:paraId="2F508EB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nicardipine</w:t>
            </w:r>
          </w:p>
        </w:tc>
        <w:tc>
          <w:tcPr>
            <w:tcW w:w="1332" w:type="dxa"/>
            <w:tcBorders>
              <w:top w:val="nil"/>
              <w:left w:val="nil"/>
              <w:bottom w:val="nil"/>
              <w:right w:val="nil"/>
            </w:tcBorders>
            <w:shd w:val="clear" w:color="auto" w:fill="auto"/>
            <w:noWrap/>
            <w:vAlign w:val="bottom"/>
            <w:hideMark/>
          </w:tcPr>
          <w:p w14:paraId="407FA67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C21447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13D1DAF" w14:textId="77777777" w:rsidTr="001E04CC">
        <w:trPr>
          <w:trHeight w:val="20"/>
        </w:trPr>
        <w:tc>
          <w:tcPr>
            <w:tcW w:w="2430" w:type="dxa"/>
            <w:tcBorders>
              <w:top w:val="nil"/>
              <w:left w:val="nil"/>
              <w:bottom w:val="nil"/>
              <w:right w:val="nil"/>
            </w:tcBorders>
            <w:shd w:val="clear" w:color="auto" w:fill="auto"/>
            <w:noWrap/>
            <w:vAlign w:val="bottom"/>
            <w:hideMark/>
          </w:tcPr>
          <w:p w14:paraId="290D579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nifedipine</w:t>
            </w:r>
          </w:p>
        </w:tc>
        <w:tc>
          <w:tcPr>
            <w:tcW w:w="1332" w:type="dxa"/>
            <w:tcBorders>
              <w:top w:val="nil"/>
              <w:left w:val="nil"/>
              <w:bottom w:val="nil"/>
              <w:right w:val="nil"/>
            </w:tcBorders>
            <w:shd w:val="clear" w:color="auto" w:fill="auto"/>
            <w:noWrap/>
            <w:vAlign w:val="bottom"/>
            <w:hideMark/>
          </w:tcPr>
          <w:p w14:paraId="7FE5091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09A0EF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328F075" w14:textId="77777777" w:rsidTr="001E04CC">
        <w:trPr>
          <w:trHeight w:val="20"/>
        </w:trPr>
        <w:tc>
          <w:tcPr>
            <w:tcW w:w="2430" w:type="dxa"/>
            <w:tcBorders>
              <w:top w:val="nil"/>
              <w:left w:val="nil"/>
              <w:bottom w:val="nil"/>
              <w:right w:val="nil"/>
            </w:tcBorders>
            <w:shd w:val="clear" w:color="auto" w:fill="auto"/>
            <w:noWrap/>
            <w:vAlign w:val="bottom"/>
            <w:hideMark/>
          </w:tcPr>
          <w:p w14:paraId="20A8710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nifedipine ER</w:t>
            </w:r>
          </w:p>
        </w:tc>
        <w:tc>
          <w:tcPr>
            <w:tcW w:w="1332" w:type="dxa"/>
            <w:tcBorders>
              <w:top w:val="nil"/>
              <w:left w:val="nil"/>
              <w:bottom w:val="nil"/>
              <w:right w:val="nil"/>
            </w:tcBorders>
            <w:shd w:val="clear" w:color="auto" w:fill="auto"/>
            <w:noWrap/>
            <w:vAlign w:val="bottom"/>
            <w:hideMark/>
          </w:tcPr>
          <w:p w14:paraId="79050B0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1862A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73A0751" w14:textId="77777777" w:rsidTr="001E04CC">
        <w:trPr>
          <w:trHeight w:val="20"/>
        </w:trPr>
        <w:tc>
          <w:tcPr>
            <w:tcW w:w="2430" w:type="dxa"/>
            <w:tcBorders>
              <w:top w:val="nil"/>
              <w:left w:val="nil"/>
              <w:bottom w:val="nil"/>
              <w:right w:val="nil"/>
            </w:tcBorders>
            <w:shd w:val="clear" w:color="auto" w:fill="auto"/>
            <w:noWrap/>
            <w:vAlign w:val="bottom"/>
            <w:hideMark/>
          </w:tcPr>
          <w:p w14:paraId="749D7AB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nimodipine</w:t>
            </w:r>
          </w:p>
        </w:tc>
        <w:tc>
          <w:tcPr>
            <w:tcW w:w="1332" w:type="dxa"/>
            <w:tcBorders>
              <w:top w:val="nil"/>
              <w:left w:val="nil"/>
              <w:bottom w:val="nil"/>
              <w:right w:val="nil"/>
            </w:tcBorders>
            <w:shd w:val="clear" w:color="auto" w:fill="auto"/>
            <w:noWrap/>
            <w:vAlign w:val="bottom"/>
            <w:hideMark/>
          </w:tcPr>
          <w:p w14:paraId="587A946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19B207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1BB7329" w14:textId="77777777" w:rsidTr="001E04CC">
        <w:trPr>
          <w:trHeight w:val="20"/>
        </w:trPr>
        <w:tc>
          <w:tcPr>
            <w:tcW w:w="2430" w:type="dxa"/>
            <w:tcBorders>
              <w:top w:val="nil"/>
              <w:left w:val="nil"/>
              <w:bottom w:val="nil"/>
              <w:right w:val="nil"/>
            </w:tcBorders>
            <w:shd w:val="clear" w:color="auto" w:fill="auto"/>
            <w:noWrap/>
            <w:vAlign w:val="bottom"/>
            <w:hideMark/>
          </w:tcPr>
          <w:p w14:paraId="3837995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nisoldipine</w:t>
            </w:r>
            <w:proofErr w:type="spellEnd"/>
          </w:p>
        </w:tc>
        <w:tc>
          <w:tcPr>
            <w:tcW w:w="1332" w:type="dxa"/>
            <w:tcBorders>
              <w:top w:val="nil"/>
              <w:left w:val="nil"/>
              <w:bottom w:val="nil"/>
              <w:right w:val="nil"/>
            </w:tcBorders>
            <w:shd w:val="clear" w:color="auto" w:fill="auto"/>
            <w:noWrap/>
            <w:vAlign w:val="bottom"/>
            <w:hideMark/>
          </w:tcPr>
          <w:p w14:paraId="4802CCE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E7B0D5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9815973" w14:textId="77777777" w:rsidTr="001E04CC">
        <w:trPr>
          <w:trHeight w:val="20"/>
        </w:trPr>
        <w:tc>
          <w:tcPr>
            <w:tcW w:w="2430" w:type="dxa"/>
            <w:tcBorders>
              <w:top w:val="nil"/>
              <w:left w:val="nil"/>
              <w:bottom w:val="nil"/>
              <w:right w:val="nil"/>
            </w:tcBorders>
            <w:shd w:val="clear" w:color="auto" w:fill="auto"/>
            <w:noWrap/>
            <w:vAlign w:val="bottom"/>
            <w:hideMark/>
          </w:tcPr>
          <w:p w14:paraId="4F3DBA5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Norvasc</w:t>
            </w:r>
          </w:p>
        </w:tc>
        <w:tc>
          <w:tcPr>
            <w:tcW w:w="1332" w:type="dxa"/>
            <w:tcBorders>
              <w:top w:val="nil"/>
              <w:left w:val="nil"/>
              <w:bottom w:val="nil"/>
              <w:right w:val="nil"/>
            </w:tcBorders>
            <w:shd w:val="clear" w:color="auto" w:fill="auto"/>
            <w:noWrap/>
            <w:vAlign w:val="bottom"/>
            <w:hideMark/>
          </w:tcPr>
          <w:p w14:paraId="0E22A2A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1C5BA1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1010747" w14:textId="77777777" w:rsidTr="001E04CC">
        <w:trPr>
          <w:trHeight w:val="20"/>
        </w:trPr>
        <w:tc>
          <w:tcPr>
            <w:tcW w:w="2430" w:type="dxa"/>
            <w:tcBorders>
              <w:top w:val="nil"/>
              <w:left w:val="nil"/>
              <w:bottom w:val="nil"/>
              <w:right w:val="nil"/>
            </w:tcBorders>
            <w:shd w:val="clear" w:color="auto" w:fill="auto"/>
            <w:noWrap/>
            <w:vAlign w:val="bottom"/>
            <w:hideMark/>
          </w:tcPr>
          <w:p w14:paraId="7251811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Norvir</w:t>
            </w:r>
            <w:proofErr w:type="spellEnd"/>
          </w:p>
        </w:tc>
        <w:tc>
          <w:tcPr>
            <w:tcW w:w="1332" w:type="dxa"/>
            <w:tcBorders>
              <w:top w:val="nil"/>
              <w:left w:val="nil"/>
              <w:bottom w:val="nil"/>
              <w:right w:val="nil"/>
            </w:tcBorders>
            <w:shd w:val="clear" w:color="auto" w:fill="auto"/>
            <w:noWrap/>
            <w:vAlign w:val="bottom"/>
            <w:hideMark/>
          </w:tcPr>
          <w:p w14:paraId="3BD25A5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0FE0E01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15E566F" w14:textId="77777777" w:rsidTr="001E04CC">
        <w:trPr>
          <w:trHeight w:val="20"/>
        </w:trPr>
        <w:tc>
          <w:tcPr>
            <w:tcW w:w="2430" w:type="dxa"/>
            <w:tcBorders>
              <w:top w:val="nil"/>
              <w:left w:val="nil"/>
              <w:bottom w:val="nil"/>
              <w:right w:val="nil"/>
            </w:tcBorders>
            <w:shd w:val="clear" w:color="auto" w:fill="auto"/>
            <w:noWrap/>
            <w:vAlign w:val="bottom"/>
            <w:hideMark/>
          </w:tcPr>
          <w:p w14:paraId="5F81087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Novolin 70/30</w:t>
            </w:r>
          </w:p>
        </w:tc>
        <w:tc>
          <w:tcPr>
            <w:tcW w:w="1332" w:type="dxa"/>
            <w:tcBorders>
              <w:top w:val="nil"/>
              <w:left w:val="nil"/>
              <w:bottom w:val="nil"/>
              <w:right w:val="nil"/>
            </w:tcBorders>
            <w:shd w:val="clear" w:color="auto" w:fill="auto"/>
            <w:noWrap/>
            <w:vAlign w:val="bottom"/>
            <w:hideMark/>
          </w:tcPr>
          <w:p w14:paraId="742F40C7" w14:textId="45F449EC"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53D51A4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4B15E38" w14:textId="77777777" w:rsidTr="001E04CC">
        <w:trPr>
          <w:trHeight w:val="20"/>
        </w:trPr>
        <w:tc>
          <w:tcPr>
            <w:tcW w:w="2430" w:type="dxa"/>
            <w:tcBorders>
              <w:top w:val="nil"/>
              <w:left w:val="nil"/>
              <w:bottom w:val="nil"/>
              <w:right w:val="nil"/>
            </w:tcBorders>
            <w:shd w:val="clear" w:color="auto" w:fill="auto"/>
            <w:noWrap/>
            <w:vAlign w:val="bottom"/>
            <w:hideMark/>
          </w:tcPr>
          <w:p w14:paraId="0B26BA1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Novolin N</w:t>
            </w:r>
          </w:p>
        </w:tc>
        <w:tc>
          <w:tcPr>
            <w:tcW w:w="1332" w:type="dxa"/>
            <w:tcBorders>
              <w:top w:val="nil"/>
              <w:left w:val="nil"/>
              <w:bottom w:val="nil"/>
              <w:right w:val="nil"/>
            </w:tcBorders>
            <w:shd w:val="clear" w:color="auto" w:fill="auto"/>
            <w:noWrap/>
            <w:vAlign w:val="bottom"/>
            <w:hideMark/>
          </w:tcPr>
          <w:p w14:paraId="67BDCF0F" w14:textId="62777A1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77BD4FF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ECD0C22" w14:textId="77777777" w:rsidTr="001E04CC">
        <w:trPr>
          <w:trHeight w:val="20"/>
        </w:trPr>
        <w:tc>
          <w:tcPr>
            <w:tcW w:w="2430" w:type="dxa"/>
            <w:tcBorders>
              <w:top w:val="nil"/>
              <w:left w:val="nil"/>
              <w:bottom w:val="nil"/>
              <w:right w:val="nil"/>
            </w:tcBorders>
            <w:shd w:val="clear" w:color="auto" w:fill="auto"/>
            <w:noWrap/>
            <w:vAlign w:val="bottom"/>
            <w:hideMark/>
          </w:tcPr>
          <w:p w14:paraId="137859B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Novolin R</w:t>
            </w:r>
          </w:p>
        </w:tc>
        <w:tc>
          <w:tcPr>
            <w:tcW w:w="1332" w:type="dxa"/>
            <w:tcBorders>
              <w:top w:val="nil"/>
              <w:left w:val="nil"/>
              <w:bottom w:val="nil"/>
              <w:right w:val="nil"/>
            </w:tcBorders>
            <w:shd w:val="clear" w:color="auto" w:fill="auto"/>
            <w:noWrap/>
            <w:vAlign w:val="bottom"/>
            <w:hideMark/>
          </w:tcPr>
          <w:p w14:paraId="0B15C2DB" w14:textId="59D763B5"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5CE1001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BA85507" w14:textId="77777777" w:rsidTr="001E04CC">
        <w:trPr>
          <w:trHeight w:val="20"/>
        </w:trPr>
        <w:tc>
          <w:tcPr>
            <w:tcW w:w="2430" w:type="dxa"/>
            <w:tcBorders>
              <w:top w:val="nil"/>
              <w:left w:val="nil"/>
              <w:bottom w:val="nil"/>
              <w:right w:val="nil"/>
            </w:tcBorders>
            <w:shd w:val="clear" w:color="auto" w:fill="auto"/>
            <w:noWrap/>
            <w:vAlign w:val="bottom"/>
            <w:hideMark/>
          </w:tcPr>
          <w:p w14:paraId="5B573A6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Novolog</w:t>
            </w:r>
          </w:p>
        </w:tc>
        <w:tc>
          <w:tcPr>
            <w:tcW w:w="1332" w:type="dxa"/>
            <w:tcBorders>
              <w:top w:val="nil"/>
              <w:left w:val="nil"/>
              <w:bottom w:val="nil"/>
              <w:right w:val="nil"/>
            </w:tcBorders>
            <w:shd w:val="clear" w:color="auto" w:fill="auto"/>
            <w:noWrap/>
            <w:vAlign w:val="bottom"/>
            <w:hideMark/>
          </w:tcPr>
          <w:p w14:paraId="3C68A19D" w14:textId="51D8B42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150CEB3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296228B" w14:textId="77777777" w:rsidTr="001E04CC">
        <w:trPr>
          <w:trHeight w:val="20"/>
        </w:trPr>
        <w:tc>
          <w:tcPr>
            <w:tcW w:w="2430" w:type="dxa"/>
            <w:tcBorders>
              <w:top w:val="nil"/>
              <w:left w:val="nil"/>
              <w:bottom w:val="nil"/>
              <w:right w:val="nil"/>
            </w:tcBorders>
            <w:shd w:val="clear" w:color="auto" w:fill="auto"/>
            <w:noWrap/>
            <w:vAlign w:val="bottom"/>
            <w:hideMark/>
          </w:tcPr>
          <w:p w14:paraId="73D2C24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Novolog Mix 70/30</w:t>
            </w:r>
          </w:p>
        </w:tc>
        <w:tc>
          <w:tcPr>
            <w:tcW w:w="1332" w:type="dxa"/>
            <w:tcBorders>
              <w:top w:val="nil"/>
              <w:left w:val="nil"/>
              <w:bottom w:val="nil"/>
              <w:right w:val="nil"/>
            </w:tcBorders>
            <w:shd w:val="clear" w:color="auto" w:fill="auto"/>
            <w:noWrap/>
            <w:vAlign w:val="bottom"/>
            <w:hideMark/>
          </w:tcPr>
          <w:p w14:paraId="77745511" w14:textId="33F96CEE"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Insulin</w:t>
            </w:r>
          </w:p>
        </w:tc>
        <w:tc>
          <w:tcPr>
            <w:tcW w:w="900" w:type="dxa"/>
            <w:tcBorders>
              <w:top w:val="nil"/>
              <w:left w:val="nil"/>
              <w:bottom w:val="nil"/>
              <w:right w:val="nil"/>
            </w:tcBorders>
            <w:shd w:val="clear" w:color="auto" w:fill="auto"/>
            <w:noWrap/>
            <w:vAlign w:val="bottom"/>
            <w:hideMark/>
          </w:tcPr>
          <w:p w14:paraId="44F0526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00534DB" w14:textId="77777777" w:rsidTr="001E04CC">
        <w:trPr>
          <w:trHeight w:val="20"/>
        </w:trPr>
        <w:tc>
          <w:tcPr>
            <w:tcW w:w="2430" w:type="dxa"/>
            <w:tcBorders>
              <w:top w:val="nil"/>
              <w:left w:val="nil"/>
              <w:bottom w:val="nil"/>
              <w:right w:val="nil"/>
            </w:tcBorders>
            <w:shd w:val="clear" w:color="auto" w:fill="auto"/>
            <w:noWrap/>
            <w:vAlign w:val="bottom"/>
            <w:hideMark/>
          </w:tcPr>
          <w:p w14:paraId="64B8024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olanzapine</w:t>
            </w:r>
          </w:p>
        </w:tc>
        <w:tc>
          <w:tcPr>
            <w:tcW w:w="1332" w:type="dxa"/>
            <w:tcBorders>
              <w:top w:val="nil"/>
              <w:left w:val="nil"/>
              <w:bottom w:val="nil"/>
              <w:right w:val="nil"/>
            </w:tcBorders>
            <w:shd w:val="clear" w:color="auto" w:fill="auto"/>
            <w:noWrap/>
            <w:vAlign w:val="bottom"/>
            <w:hideMark/>
          </w:tcPr>
          <w:p w14:paraId="023BC76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4A5D154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B7047D3" w14:textId="77777777" w:rsidTr="001E04CC">
        <w:trPr>
          <w:trHeight w:val="20"/>
        </w:trPr>
        <w:tc>
          <w:tcPr>
            <w:tcW w:w="2430" w:type="dxa"/>
            <w:tcBorders>
              <w:top w:val="nil"/>
              <w:left w:val="nil"/>
              <w:bottom w:val="nil"/>
              <w:right w:val="nil"/>
            </w:tcBorders>
            <w:shd w:val="clear" w:color="auto" w:fill="auto"/>
            <w:noWrap/>
            <w:vAlign w:val="bottom"/>
            <w:hideMark/>
          </w:tcPr>
          <w:p w14:paraId="12C9A90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Onglyza</w:t>
            </w:r>
            <w:proofErr w:type="spellEnd"/>
          </w:p>
        </w:tc>
        <w:tc>
          <w:tcPr>
            <w:tcW w:w="1332" w:type="dxa"/>
            <w:tcBorders>
              <w:top w:val="nil"/>
              <w:left w:val="nil"/>
              <w:bottom w:val="nil"/>
              <w:right w:val="nil"/>
            </w:tcBorders>
            <w:shd w:val="clear" w:color="auto" w:fill="auto"/>
            <w:noWrap/>
            <w:vAlign w:val="bottom"/>
            <w:hideMark/>
          </w:tcPr>
          <w:p w14:paraId="5D662192" w14:textId="34B1A05E"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3222C87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F4C0269" w14:textId="77777777" w:rsidTr="001E04CC">
        <w:trPr>
          <w:trHeight w:val="20"/>
        </w:trPr>
        <w:tc>
          <w:tcPr>
            <w:tcW w:w="2430" w:type="dxa"/>
            <w:tcBorders>
              <w:top w:val="nil"/>
              <w:left w:val="nil"/>
              <w:bottom w:val="nil"/>
              <w:right w:val="nil"/>
            </w:tcBorders>
            <w:shd w:val="clear" w:color="auto" w:fill="auto"/>
            <w:noWrap/>
            <w:vAlign w:val="bottom"/>
            <w:hideMark/>
          </w:tcPr>
          <w:p w14:paraId="1D80735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Oseni</w:t>
            </w:r>
            <w:proofErr w:type="spellEnd"/>
          </w:p>
        </w:tc>
        <w:tc>
          <w:tcPr>
            <w:tcW w:w="1332" w:type="dxa"/>
            <w:tcBorders>
              <w:top w:val="nil"/>
              <w:left w:val="nil"/>
              <w:bottom w:val="nil"/>
              <w:right w:val="nil"/>
            </w:tcBorders>
            <w:shd w:val="clear" w:color="auto" w:fill="auto"/>
            <w:noWrap/>
            <w:vAlign w:val="bottom"/>
            <w:hideMark/>
          </w:tcPr>
          <w:p w14:paraId="63D6D7F4" w14:textId="521FA2C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427A0A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993BAEB" w14:textId="77777777" w:rsidTr="001E04CC">
        <w:trPr>
          <w:trHeight w:val="20"/>
        </w:trPr>
        <w:tc>
          <w:tcPr>
            <w:tcW w:w="2430" w:type="dxa"/>
            <w:tcBorders>
              <w:top w:val="nil"/>
              <w:left w:val="nil"/>
              <w:bottom w:val="nil"/>
              <w:right w:val="nil"/>
            </w:tcBorders>
            <w:shd w:val="clear" w:color="auto" w:fill="auto"/>
            <w:noWrap/>
            <w:vAlign w:val="bottom"/>
            <w:hideMark/>
          </w:tcPr>
          <w:p w14:paraId="62054FC2" w14:textId="6C6674F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pediatric </w:t>
            </w:r>
            <w:r w:rsidR="00753C13">
              <w:rPr>
                <w:rFonts w:ascii="Calibri" w:eastAsia="Times New Roman" w:hAnsi="Calibri" w:cs="Times New Roman"/>
                <w:color w:val="000000"/>
                <w:sz w:val="16"/>
                <w:szCs w:val="16"/>
              </w:rPr>
              <w:t>f</w:t>
            </w:r>
            <w:r w:rsidR="00AB0018">
              <w:rPr>
                <w:rFonts w:ascii="Calibri" w:eastAsia="Times New Roman" w:hAnsi="Calibri" w:cs="Times New Roman"/>
                <w:color w:val="000000"/>
                <w:sz w:val="16"/>
                <w:szCs w:val="16"/>
              </w:rPr>
              <w:t>luoride</w:t>
            </w:r>
            <w:r w:rsidRPr="001A20A2">
              <w:rPr>
                <w:rFonts w:ascii="Calibri" w:eastAsia="Times New Roman" w:hAnsi="Calibri" w:cs="Times New Roman"/>
                <w:color w:val="000000"/>
                <w:sz w:val="16"/>
                <w:szCs w:val="16"/>
              </w:rPr>
              <w:t xml:space="preserve"> preparations</w:t>
            </w:r>
          </w:p>
        </w:tc>
        <w:tc>
          <w:tcPr>
            <w:tcW w:w="1332" w:type="dxa"/>
            <w:tcBorders>
              <w:top w:val="nil"/>
              <w:left w:val="nil"/>
              <w:bottom w:val="nil"/>
              <w:right w:val="nil"/>
            </w:tcBorders>
            <w:shd w:val="clear" w:color="auto" w:fill="auto"/>
            <w:noWrap/>
            <w:vAlign w:val="bottom"/>
            <w:hideMark/>
          </w:tcPr>
          <w:p w14:paraId="00D1A89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Pediatric </w:t>
            </w:r>
            <w:proofErr w:type="spellStart"/>
            <w:r w:rsidRPr="001A20A2">
              <w:rPr>
                <w:rFonts w:ascii="Calibri" w:eastAsia="Times New Roman" w:hAnsi="Calibri" w:cs="Times New Roman"/>
                <w:color w:val="000000"/>
                <w:sz w:val="16"/>
                <w:szCs w:val="16"/>
              </w:rPr>
              <w:t>Flouride</w:t>
            </w:r>
            <w:proofErr w:type="spellEnd"/>
            <w:r w:rsidRPr="001A20A2">
              <w:rPr>
                <w:rFonts w:ascii="Calibri" w:eastAsia="Times New Roman" w:hAnsi="Calibri" w:cs="Times New Roman"/>
                <w:color w:val="000000"/>
                <w:sz w:val="16"/>
                <w:szCs w:val="16"/>
              </w:rPr>
              <w:t xml:space="preserve"> </w:t>
            </w:r>
          </w:p>
        </w:tc>
        <w:tc>
          <w:tcPr>
            <w:tcW w:w="900" w:type="dxa"/>
            <w:tcBorders>
              <w:top w:val="nil"/>
              <w:left w:val="nil"/>
              <w:bottom w:val="nil"/>
              <w:right w:val="nil"/>
            </w:tcBorders>
            <w:shd w:val="clear" w:color="auto" w:fill="auto"/>
            <w:noWrap/>
            <w:vAlign w:val="bottom"/>
            <w:hideMark/>
          </w:tcPr>
          <w:p w14:paraId="063E281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D1EB01" w14:textId="77777777" w:rsidTr="001E04CC">
        <w:trPr>
          <w:trHeight w:val="20"/>
        </w:trPr>
        <w:tc>
          <w:tcPr>
            <w:tcW w:w="2430" w:type="dxa"/>
            <w:tcBorders>
              <w:top w:val="nil"/>
              <w:left w:val="nil"/>
              <w:bottom w:val="nil"/>
              <w:right w:val="nil"/>
            </w:tcBorders>
            <w:shd w:val="clear" w:color="auto" w:fill="auto"/>
            <w:noWrap/>
            <w:vAlign w:val="bottom"/>
            <w:hideMark/>
          </w:tcPr>
          <w:p w14:paraId="537684D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Perforomist</w:t>
            </w:r>
            <w:proofErr w:type="spellEnd"/>
          </w:p>
        </w:tc>
        <w:tc>
          <w:tcPr>
            <w:tcW w:w="1332" w:type="dxa"/>
            <w:tcBorders>
              <w:top w:val="nil"/>
              <w:left w:val="nil"/>
              <w:bottom w:val="nil"/>
              <w:right w:val="nil"/>
            </w:tcBorders>
            <w:shd w:val="clear" w:color="auto" w:fill="auto"/>
            <w:noWrap/>
            <w:vAlign w:val="bottom"/>
            <w:hideMark/>
          </w:tcPr>
          <w:p w14:paraId="04D256B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4569D0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7CEB473" w14:textId="77777777" w:rsidTr="001E04CC">
        <w:trPr>
          <w:trHeight w:val="20"/>
        </w:trPr>
        <w:tc>
          <w:tcPr>
            <w:tcW w:w="2430" w:type="dxa"/>
            <w:tcBorders>
              <w:top w:val="nil"/>
              <w:left w:val="nil"/>
              <w:bottom w:val="nil"/>
              <w:right w:val="nil"/>
            </w:tcBorders>
            <w:shd w:val="clear" w:color="auto" w:fill="auto"/>
            <w:noWrap/>
            <w:vAlign w:val="bottom"/>
            <w:hideMark/>
          </w:tcPr>
          <w:p w14:paraId="653175A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perindopril</w:t>
            </w:r>
          </w:p>
        </w:tc>
        <w:tc>
          <w:tcPr>
            <w:tcW w:w="1332" w:type="dxa"/>
            <w:tcBorders>
              <w:top w:val="nil"/>
              <w:left w:val="nil"/>
              <w:bottom w:val="nil"/>
              <w:right w:val="nil"/>
            </w:tcBorders>
            <w:shd w:val="clear" w:color="auto" w:fill="auto"/>
            <w:noWrap/>
            <w:vAlign w:val="bottom"/>
            <w:hideMark/>
          </w:tcPr>
          <w:p w14:paraId="357C78C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331C7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2DAA0A" w14:textId="77777777" w:rsidTr="001E04CC">
        <w:trPr>
          <w:trHeight w:val="20"/>
        </w:trPr>
        <w:tc>
          <w:tcPr>
            <w:tcW w:w="2430" w:type="dxa"/>
            <w:tcBorders>
              <w:top w:val="nil"/>
              <w:left w:val="nil"/>
              <w:bottom w:val="nil"/>
              <w:right w:val="nil"/>
            </w:tcBorders>
            <w:shd w:val="clear" w:color="auto" w:fill="auto"/>
            <w:noWrap/>
            <w:vAlign w:val="bottom"/>
            <w:hideMark/>
          </w:tcPr>
          <w:p w14:paraId="3FED56D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perphenazine</w:t>
            </w:r>
          </w:p>
        </w:tc>
        <w:tc>
          <w:tcPr>
            <w:tcW w:w="1332" w:type="dxa"/>
            <w:tcBorders>
              <w:top w:val="nil"/>
              <w:left w:val="nil"/>
              <w:bottom w:val="nil"/>
              <w:right w:val="nil"/>
            </w:tcBorders>
            <w:shd w:val="clear" w:color="auto" w:fill="auto"/>
            <w:noWrap/>
            <w:vAlign w:val="bottom"/>
            <w:hideMark/>
          </w:tcPr>
          <w:p w14:paraId="0F29C71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0C73AF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B6BEC78" w14:textId="77777777" w:rsidTr="001E04CC">
        <w:trPr>
          <w:trHeight w:val="20"/>
        </w:trPr>
        <w:tc>
          <w:tcPr>
            <w:tcW w:w="2430" w:type="dxa"/>
            <w:tcBorders>
              <w:top w:val="nil"/>
              <w:left w:val="nil"/>
              <w:bottom w:val="nil"/>
              <w:right w:val="nil"/>
            </w:tcBorders>
            <w:shd w:val="clear" w:color="auto" w:fill="auto"/>
            <w:noWrap/>
            <w:vAlign w:val="bottom"/>
            <w:hideMark/>
          </w:tcPr>
          <w:p w14:paraId="20E0FDB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Persantine</w:t>
            </w:r>
            <w:proofErr w:type="spellEnd"/>
          </w:p>
        </w:tc>
        <w:tc>
          <w:tcPr>
            <w:tcW w:w="1332" w:type="dxa"/>
            <w:tcBorders>
              <w:top w:val="nil"/>
              <w:left w:val="nil"/>
              <w:bottom w:val="nil"/>
              <w:right w:val="nil"/>
            </w:tcBorders>
            <w:shd w:val="clear" w:color="auto" w:fill="auto"/>
            <w:noWrap/>
            <w:vAlign w:val="bottom"/>
            <w:hideMark/>
          </w:tcPr>
          <w:p w14:paraId="727295F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30F03D4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A129ADC" w14:textId="77777777" w:rsidTr="001E04CC">
        <w:trPr>
          <w:trHeight w:val="20"/>
        </w:trPr>
        <w:tc>
          <w:tcPr>
            <w:tcW w:w="2430" w:type="dxa"/>
            <w:tcBorders>
              <w:top w:val="nil"/>
              <w:left w:val="nil"/>
              <w:bottom w:val="nil"/>
              <w:right w:val="nil"/>
            </w:tcBorders>
            <w:shd w:val="clear" w:color="auto" w:fill="auto"/>
            <w:noWrap/>
            <w:vAlign w:val="bottom"/>
            <w:hideMark/>
          </w:tcPr>
          <w:p w14:paraId="465B6DF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pindolol</w:t>
            </w:r>
          </w:p>
        </w:tc>
        <w:tc>
          <w:tcPr>
            <w:tcW w:w="1332" w:type="dxa"/>
            <w:tcBorders>
              <w:top w:val="nil"/>
              <w:left w:val="nil"/>
              <w:bottom w:val="nil"/>
              <w:right w:val="nil"/>
            </w:tcBorders>
            <w:shd w:val="clear" w:color="auto" w:fill="auto"/>
            <w:noWrap/>
            <w:vAlign w:val="bottom"/>
            <w:hideMark/>
          </w:tcPr>
          <w:p w14:paraId="3C977E2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AD009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FE0BBC2" w14:textId="77777777" w:rsidTr="001E04CC">
        <w:trPr>
          <w:trHeight w:val="20"/>
        </w:trPr>
        <w:tc>
          <w:tcPr>
            <w:tcW w:w="2430" w:type="dxa"/>
            <w:tcBorders>
              <w:top w:val="nil"/>
              <w:left w:val="nil"/>
              <w:bottom w:val="nil"/>
              <w:right w:val="nil"/>
            </w:tcBorders>
            <w:shd w:val="clear" w:color="auto" w:fill="auto"/>
            <w:noWrap/>
            <w:vAlign w:val="bottom"/>
            <w:hideMark/>
          </w:tcPr>
          <w:p w14:paraId="76CBC5C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pioglitazone</w:t>
            </w:r>
          </w:p>
        </w:tc>
        <w:tc>
          <w:tcPr>
            <w:tcW w:w="1332" w:type="dxa"/>
            <w:tcBorders>
              <w:top w:val="nil"/>
              <w:left w:val="nil"/>
              <w:bottom w:val="nil"/>
              <w:right w:val="nil"/>
            </w:tcBorders>
            <w:shd w:val="clear" w:color="auto" w:fill="auto"/>
            <w:noWrap/>
            <w:vAlign w:val="bottom"/>
            <w:hideMark/>
          </w:tcPr>
          <w:p w14:paraId="026F7E06" w14:textId="0241B1A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A42631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B7FEAC1" w14:textId="77777777" w:rsidTr="001E04CC">
        <w:trPr>
          <w:trHeight w:val="20"/>
        </w:trPr>
        <w:tc>
          <w:tcPr>
            <w:tcW w:w="2430" w:type="dxa"/>
            <w:tcBorders>
              <w:top w:val="nil"/>
              <w:left w:val="nil"/>
              <w:bottom w:val="nil"/>
              <w:right w:val="nil"/>
            </w:tcBorders>
            <w:shd w:val="clear" w:color="auto" w:fill="auto"/>
            <w:noWrap/>
            <w:vAlign w:val="bottom"/>
            <w:hideMark/>
          </w:tcPr>
          <w:p w14:paraId="5B8FCDB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pioglitazone-glimepiride</w:t>
            </w:r>
          </w:p>
        </w:tc>
        <w:tc>
          <w:tcPr>
            <w:tcW w:w="1332" w:type="dxa"/>
            <w:tcBorders>
              <w:top w:val="nil"/>
              <w:left w:val="nil"/>
              <w:bottom w:val="nil"/>
              <w:right w:val="nil"/>
            </w:tcBorders>
            <w:shd w:val="clear" w:color="auto" w:fill="auto"/>
            <w:noWrap/>
            <w:vAlign w:val="bottom"/>
            <w:hideMark/>
          </w:tcPr>
          <w:p w14:paraId="36D4DF88" w14:textId="6CB6D6A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F903CF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2A647CB" w14:textId="77777777" w:rsidTr="001E04CC">
        <w:trPr>
          <w:trHeight w:val="20"/>
        </w:trPr>
        <w:tc>
          <w:tcPr>
            <w:tcW w:w="2430" w:type="dxa"/>
            <w:tcBorders>
              <w:top w:val="nil"/>
              <w:left w:val="nil"/>
              <w:bottom w:val="nil"/>
              <w:right w:val="nil"/>
            </w:tcBorders>
            <w:shd w:val="clear" w:color="auto" w:fill="auto"/>
            <w:noWrap/>
            <w:vAlign w:val="bottom"/>
            <w:hideMark/>
          </w:tcPr>
          <w:p w14:paraId="755DE73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pioglitazone-metformin</w:t>
            </w:r>
          </w:p>
        </w:tc>
        <w:tc>
          <w:tcPr>
            <w:tcW w:w="1332" w:type="dxa"/>
            <w:tcBorders>
              <w:top w:val="nil"/>
              <w:left w:val="nil"/>
              <w:bottom w:val="nil"/>
              <w:right w:val="nil"/>
            </w:tcBorders>
            <w:shd w:val="clear" w:color="auto" w:fill="auto"/>
            <w:noWrap/>
            <w:vAlign w:val="bottom"/>
            <w:hideMark/>
          </w:tcPr>
          <w:p w14:paraId="2E7B5763" w14:textId="06EE1F84"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CD42BE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9B74890" w14:textId="77777777" w:rsidTr="001E04CC">
        <w:trPr>
          <w:trHeight w:val="20"/>
        </w:trPr>
        <w:tc>
          <w:tcPr>
            <w:tcW w:w="2430" w:type="dxa"/>
            <w:tcBorders>
              <w:top w:val="nil"/>
              <w:left w:val="nil"/>
              <w:bottom w:val="nil"/>
              <w:right w:val="nil"/>
            </w:tcBorders>
            <w:shd w:val="clear" w:color="auto" w:fill="auto"/>
            <w:noWrap/>
            <w:vAlign w:val="bottom"/>
            <w:hideMark/>
          </w:tcPr>
          <w:p w14:paraId="401CF3A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Plavix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31BC8E1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29A3BDD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A7053AC" w14:textId="77777777" w:rsidTr="001E04CC">
        <w:trPr>
          <w:trHeight w:val="20"/>
        </w:trPr>
        <w:tc>
          <w:tcPr>
            <w:tcW w:w="2430" w:type="dxa"/>
            <w:tcBorders>
              <w:top w:val="nil"/>
              <w:left w:val="nil"/>
              <w:bottom w:val="nil"/>
              <w:right w:val="nil"/>
            </w:tcBorders>
            <w:shd w:val="clear" w:color="auto" w:fill="auto"/>
            <w:noWrap/>
            <w:vAlign w:val="bottom"/>
            <w:hideMark/>
          </w:tcPr>
          <w:p w14:paraId="5767732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Pletal</w:t>
            </w:r>
            <w:proofErr w:type="spellEnd"/>
          </w:p>
        </w:tc>
        <w:tc>
          <w:tcPr>
            <w:tcW w:w="1332" w:type="dxa"/>
            <w:tcBorders>
              <w:top w:val="nil"/>
              <w:left w:val="nil"/>
              <w:bottom w:val="nil"/>
              <w:right w:val="nil"/>
            </w:tcBorders>
            <w:shd w:val="clear" w:color="auto" w:fill="auto"/>
            <w:noWrap/>
            <w:vAlign w:val="bottom"/>
            <w:hideMark/>
          </w:tcPr>
          <w:p w14:paraId="36B9C43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0FAA118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1AD1484" w14:textId="77777777" w:rsidTr="001E04CC">
        <w:trPr>
          <w:trHeight w:val="20"/>
        </w:trPr>
        <w:tc>
          <w:tcPr>
            <w:tcW w:w="2430" w:type="dxa"/>
            <w:tcBorders>
              <w:top w:val="nil"/>
              <w:left w:val="nil"/>
              <w:bottom w:val="nil"/>
              <w:right w:val="nil"/>
            </w:tcBorders>
            <w:shd w:val="clear" w:color="auto" w:fill="auto"/>
            <w:noWrap/>
            <w:vAlign w:val="bottom"/>
            <w:hideMark/>
          </w:tcPr>
          <w:p w14:paraId="1246B43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Pradaxa</w:t>
            </w:r>
          </w:p>
        </w:tc>
        <w:tc>
          <w:tcPr>
            <w:tcW w:w="1332" w:type="dxa"/>
            <w:tcBorders>
              <w:top w:val="nil"/>
              <w:left w:val="nil"/>
              <w:bottom w:val="nil"/>
              <w:right w:val="nil"/>
            </w:tcBorders>
            <w:shd w:val="clear" w:color="auto" w:fill="auto"/>
            <w:noWrap/>
            <w:vAlign w:val="bottom"/>
            <w:hideMark/>
          </w:tcPr>
          <w:p w14:paraId="3D7C8DC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6E58D9E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4703506" w14:textId="77777777" w:rsidTr="001E04CC">
        <w:trPr>
          <w:trHeight w:val="20"/>
        </w:trPr>
        <w:tc>
          <w:tcPr>
            <w:tcW w:w="2430" w:type="dxa"/>
            <w:tcBorders>
              <w:top w:val="nil"/>
              <w:left w:val="nil"/>
              <w:bottom w:val="nil"/>
              <w:right w:val="nil"/>
            </w:tcBorders>
            <w:shd w:val="clear" w:color="auto" w:fill="auto"/>
            <w:noWrap/>
            <w:vAlign w:val="bottom"/>
            <w:hideMark/>
          </w:tcPr>
          <w:p w14:paraId="47F8E77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PrandiMet</w:t>
            </w:r>
            <w:proofErr w:type="spellEnd"/>
          </w:p>
        </w:tc>
        <w:tc>
          <w:tcPr>
            <w:tcW w:w="1332" w:type="dxa"/>
            <w:tcBorders>
              <w:top w:val="nil"/>
              <w:left w:val="nil"/>
              <w:bottom w:val="nil"/>
              <w:right w:val="nil"/>
            </w:tcBorders>
            <w:shd w:val="clear" w:color="auto" w:fill="auto"/>
            <w:noWrap/>
            <w:vAlign w:val="bottom"/>
            <w:hideMark/>
          </w:tcPr>
          <w:p w14:paraId="32D3AB93" w14:textId="2816675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7D69F1D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2B628C5" w14:textId="77777777" w:rsidTr="001E04CC">
        <w:trPr>
          <w:trHeight w:val="20"/>
        </w:trPr>
        <w:tc>
          <w:tcPr>
            <w:tcW w:w="2430" w:type="dxa"/>
            <w:tcBorders>
              <w:top w:val="nil"/>
              <w:left w:val="nil"/>
              <w:bottom w:val="nil"/>
              <w:right w:val="nil"/>
            </w:tcBorders>
            <w:shd w:val="clear" w:color="auto" w:fill="auto"/>
            <w:noWrap/>
            <w:vAlign w:val="bottom"/>
            <w:hideMark/>
          </w:tcPr>
          <w:p w14:paraId="3FAF18B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Prandin</w:t>
            </w:r>
            <w:proofErr w:type="spellEnd"/>
          </w:p>
        </w:tc>
        <w:tc>
          <w:tcPr>
            <w:tcW w:w="1332" w:type="dxa"/>
            <w:tcBorders>
              <w:top w:val="nil"/>
              <w:left w:val="nil"/>
              <w:bottom w:val="nil"/>
              <w:right w:val="nil"/>
            </w:tcBorders>
            <w:shd w:val="clear" w:color="auto" w:fill="auto"/>
            <w:noWrap/>
            <w:vAlign w:val="bottom"/>
            <w:hideMark/>
          </w:tcPr>
          <w:p w14:paraId="3B53459F" w14:textId="321C86E2"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4A2C04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9BBAB67" w14:textId="77777777" w:rsidTr="001E04CC">
        <w:trPr>
          <w:trHeight w:val="20"/>
        </w:trPr>
        <w:tc>
          <w:tcPr>
            <w:tcW w:w="2430" w:type="dxa"/>
            <w:tcBorders>
              <w:top w:val="nil"/>
              <w:left w:val="nil"/>
              <w:bottom w:val="nil"/>
              <w:right w:val="nil"/>
            </w:tcBorders>
            <w:shd w:val="clear" w:color="auto" w:fill="auto"/>
            <w:noWrap/>
            <w:vAlign w:val="bottom"/>
            <w:hideMark/>
          </w:tcPr>
          <w:p w14:paraId="5146FF6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Pravachol</w:t>
            </w:r>
          </w:p>
        </w:tc>
        <w:tc>
          <w:tcPr>
            <w:tcW w:w="1332" w:type="dxa"/>
            <w:tcBorders>
              <w:top w:val="nil"/>
              <w:left w:val="nil"/>
              <w:bottom w:val="nil"/>
              <w:right w:val="nil"/>
            </w:tcBorders>
            <w:shd w:val="clear" w:color="auto" w:fill="auto"/>
            <w:noWrap/>
            <w:vAlign w:val="bottom"/>
            <w:hideMark/>
          </w:tcPr>
          <w:p w14:paraId="2BC0292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05F7426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0D7287D" w14:textId="77777777" w:rsidTr="001E04CC">
        <w:trPr>
          <w:trHeight w:val="20"/>
        </w:trPr>
        <w:tc>
          <w:tcPr>
            <w:tcW w:w="2430" w:type="dxa"/>
            <w:tcBorders>
              <w:top w:val="nil"/>
              <w:left w:val="nil"/>
              <w:bottom w:val="nil"/>
              <w:right w:val="nil"/>
            </w:tcBorders>
            <w:shd w:val="clear" w:color="auto" w:fill="auto"/>
            <w:noWrap/>
            <w:vAlign w:val="bottom"/>
            <w:hideMark/>
          </w:tcPr>
          <w:p w14:paraId="2FAB98E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pravastatin</w:t>
            </w:r>
          </w:p>
        </w:tc>
        <w:tc>
          <w:tcPr>
            <w:tcW w:w="1332" w:type="dxa"/>
            <w:tcBorders>
              <w:top w:val="nil"/>
              <w:left w:val="nil"/>
              <w:bottom w:val="nil"/>
              <w:right w:val="nil"/>
            </w:tcBorders>
            <w:shd w:val="clear" w:color="auto" w:fill="auto"/>
            <w:noWrap/>
            <w:vAlign w:val="bottom"/>
            <w:hideMark/>
          </w:tcPr>
          <w:p w14:paraId="651509B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32295B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935CC1E" w14:textId="77777777" w:rsidTr="001E04CC">
        <w:trPr>
          <w:trHeight w:val="20"/>
        </w:trPr>
        <w:tc>
          <w:tcPr>
            <w:tcW w:w="2430" w:type="dxa"/>
            <w:tcBorders>
              <w:top w:val="nil"/>
              <w:left w:val="nil"/>
              <w:bottom w:val="nil"/>
              <w:right w:val="nil"/>
            </w:tcBorders>
            <w:shd w:val="clear" w:color="auto" w:fill="auto"/>
            <w:noWrap/>
            <w:vAlign w:val="bottom"/>
            <w:hideMark/>
          </w:tcPr>
          <w:p w14:paraId="2938F92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prazosin</w:t>
            </w:r>
          </w:p>
        </w:tc>
        <w:tc>
          <w:tcPr>
            <w:tcW w:w="1332" w:type="dxa"/>
            <w:tcBorders>
              <w:top w:val="nil"/>
              <w:left w:val="nil"/>
              <w:bottom w:val="nil"/>
              <w:right w:val="nil"/>
            </w:tcBorders>
            <w:shd w:val="clear" w:color="auto" w:fill="auto"/>
            <w:noWrap/>
            <w:vAlign w:val="bottom"/>
            <w:hideMark/>
          </w:tcPr>
          <w:p w14:paraId="09BA704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07164D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822BEB8" w14:textId="77777777" w:rsidTr="001E04CC">
        <w:trPr>
          <w:trHeight w:val="20"/>
        </w:trPr>
        <w:tc>
          <w:tcPr>
            <w:tcW w:w="2430" w:type="dxa"/>
            <w:tcBorders>
              <w:top w:val="nil"/>
              <w:left w:val="nil"/>
              <w:bottom w:val="nil"/>
              <w:right w:val="nil"/>
            </w:tcBorders>
            <w:shd w:val="clear" w:color="auto" w:fill="auto"/>
            <w:noWrap/>
            <w:vAlign w:val="bottom"/>
            <w:hideMark/>
          </w:tcPr>
          <w:p w14:paraId="0FE4701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Precose</w:t>
            </w:r>
            <w:proofErr w:type="spellEnd"/>
          </w:p>
        </w:tc>
        <w:tc>
          <w:tcPr>
            <w:tcW w:w="1332" w:type="dxa"/>
            <w:tcBorders>
              <w:top w:val="nil"/>
              <w:left w:val="nil"/>
              <w:bottom w:val="nil"/>
              <w:right w:val="nil"/>
            </w:tcBorders>
            <w:shd w:val="clear" w:color="auto" w:fill="auto"/>
            <w:noWrap/>
            <w:vAlign w:val="bottom"/>
            <w:hideMark/>
          </w:tcPr>
          <w:p w14:paraId="49AD105A" w14:textId="4A872D2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F59190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D6832AE" w14:textId="77777777" w:rsidTr="001E04CC">
        <w:trPr>
          <w:trHeight w:val="20"/>
        </w:trPr>
        <w:tc>
          <w:tcPr>
            <w:tcW w:w="2430" w:type="dxa"/>
            <w:tcBorders>
              <w:top w:val="nil"/>
              <w:left w:val="nil"/>
              <w:bottom w:val="nil"/>
              <w:right w:val="nil"/>
            </w:tcBorders>
            <w:shd w:val="clear" w:color="auto" w:fill="auto"/>
            <w:noWrap/>
            <w:vAlign w:val="bottom"/>
            <w:hideMark/>
          </w:tcPr>
          <w:p w14:paraId="17FB7F2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prenatal vitamins</w:t>
            </w:r>
          </w:p>
        </w:tc>
        <w:tc>
          <w:tcPr>
            <w:tcW w:w="1332" w:type="dxa"/>
            <w:tcBorders>
              <w:top w:val="nil"/>
              <w:left w:val="nil"/>
              <w:bottom w:val="nil"/>
              <w:right w:val="nil"/>
            </w:tcBorders>
            <w:shd w:val="clear" w:color="auto" w:fill="auto"/>
            <w:noWrap/>
            <w:vAlign w:val="bottom"/>
            <w:hideMark/>
          </w:tcPr>
          <w:p w14:paraId="26489FC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Prenatal Care</w:t>
            </w:r>
          </w:p>
        </w:tc>
        <w:tc>
          <w:tcPr>
            <w:tcW w:w="900" w:type="dxa"/>
            <w:tcBorders>
              <w:top w:val="nil"/>
              <w:left w:val="nil"/>
              <w:bottom w:val="nil"/>
              <w:right w:val="nil"/>
            </w:tcBorders>
            <w:shd w:val="clear" w:color="auto" w:fill="auto"/>
            <w:noWrap/>
            <w:vAlign w:val="bottom"/>
            <w:hideMark/>
          </w:tcPr>
          <w:p w14:paraId="4B26752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49EB7FE" w14:textId="77777777" w:rsidTr="001E04CC">
        <w:trPr>
          <w:trHeight w:val="20"/>
        </w:trPr>
        <w:tc>
          <w:tcPr>
            <w:tcW w:w="2430" w:type="dxa"/>
            <w:tcBorders>
              <w:top w:val="nil"/>
              <w:left w:val="nil"/>
              <w:bottom w:val="nil"/>
              <w:right w:val="nil"/>
            </w:tcBorders>
            <w:shd w:val="clear" w:color="auto" w:fill="auto"/>
            <w:noWrap/>
            <w:vAlign w:val="bottom"/>
            <w:hideMark/>
          </w:tcPr>
          <w:p w14:paraId="416CFFD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Prevalite</w:t>
            </w:r>
            <w:proofErr w:type="spellEnd"/>
          </w:p>
        </w:tc>
        <w:tc>
          <w:tcPr>
            <w:tcW w:w="1332" w:type="dxa"/>
            <w:tcBorders>
              <w:top w:val="nil"/>
              <w:left w:val="nil"/>
              <w:bottom w:val="nil"/>
              <w:right w:val="nil"/>
            </w:tcBorders>
            <w:shd w:val="clear" w:color="auto" w:fill="auto"/>
            <w:noWrap/>
            <w:vAlign w:val="bottom"/>
            <w:hideMark/>
          </w:tcPr>
          <w:p w14:paraId="0D9F077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8EF04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CB1834" w14:textId="77777777" w:rsidTr="001E04CC">
        <w:trPr>
          <w:trHeight w:val="20"/>
        </w:trPr>
        <w:tc>
          <w:tcPr>
            <w:tcW w:w="2430" w:type="dxa"/>
            <w:tcBorders>
              <w:top w:val="nil"/>
              <w:left w:val="nil"/>
              <w:bottom w:val="nil"/>
              <w:right w:val="nil"/>
            </w:tcBorders>
            <w:shd w:val="clear" w:color="auto" w:fill="auto"/>
            <w:noWrap/>
            <w:vAlign w:val="bottom"/>
            <w:hideMark/>
          </w:tcPr>
          <w:p w14:paraId="08058EE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Prezista</w:t>
            </w:r>
            <w:proofErr w:type="spellEnd"/>
          </w:p>
        </w:tc>
        <w:tc>
          <w:tcPr>
            <w:tcW w:w="1332" w:type="dxa"/>
            <w:tcBorders>
              <w:top w:val="nil"/>
              <w:left w:val="nil"/>
              <w:bottom w:val="nil"/>
              <w:right w:val="nil"/>
            </w:tcBorders>
            <w:shd w:val="clear" w:color="auto" w:fill="auto"/>
            <w:noWrap/>
            <w:vAlign w:val="bottom"/>
            <w:hideMark/>
          </w:tcPr>
          <w:p w14:paraId="5848D31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CD8088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AA1673B" w14:textId="77777777" w:rsidTr="001E04CC">
        <w:trPr>
          <w:trHeight w:val="20"/>
        </w:trPr>
        <w:tc>
          <w:tcPr>
            <w:tcW w:w="2430" w:type="dxa"/>
            <w:tcBorders>
              <w:top w:val="nil"/>
              <w:left w:val="nil"/>
              <w:bottom w:val="nil"/>
              <w:right w:val="nil"/>
            </w:tcBorders>
            <w:shd w:val="clear" w:color="auto" w:fill="auto"/>
            <w:noWrap/>
            <w:vAlign w:val="bottom"/>
            <w:hideMark/>
          </w:tcPr>
          <w:p w14:paraId="386C468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Prinivil</w:t>
            </w:r>
          </w:p>
        </w:tc>
        <w:tc>
          <w:tcPr>
            <w:tcW w:w="1332" w:type="dxa"/>
            <w:tcBorders>
              <w:top w:val="nil"/>
              <w:left w:val="nil"/>
              <w:bottom w:val="nil"/>
              <w:right w:val="nil"/>
            </w:tcBorders>
            <w:shd w:val="clear" w:color="auto" w:fill="auto"/>
            <w:noWrap/>
            <w:vAlign w:val="bottom"/>
            <w:hideMark/>
          </w:tcPr>
          <w:p w14:paraId="2CDB69E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879FB0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017F68C" w14:textId="77777777" w:rsidTr="001E04CC">
        <w:trPr>
          <w:trHeight w:val="20"/>
        </w:trPr>
        <w:tc>
          <w:tcPr>
            <w:tcW w:w="2430" w:type="dxa"/>
            <w:tcBorders>
              <w:top w:val="nil"/>
              <w:left w:val="nil"/>
              <w:bottom w:val="nil"/>
              <w:right w:val="nil"/>
            </w:tcBorders>
            <w:shd w:val="clear" w:color="auto" w:fill="auto"/>
            <w:noWrap/>
            <w:vAlign w:val="bottom"/>
            <w:hideMark/>
          </w:tcPr>
          <w:p w14:paraId="1D023B2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Proair HFA</w:t>
            </w:r>
          </w:p>
        </w:tc>
        <w:tc>
          <w:tcPr>
            <w:tcW w:w="1332" w:type="dxa"/>
            <w:tcBorders>
              <w:top w:val="nil"/>
              <w:left w:val="nil"/>
              <w:bottom w:val="nil"/>
              <w:right w:val="nil"/>
            </w:tcBorders>
            <w:shd w:val="clear" w:color="auto" w:fill="auto"/>
            <w:noWrap/>
            <w:vAlign w:val="bottom"/>
            <w:hideMark/>
          </w:tcPr>
          <w:p w14:paraId="79A3C5E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AEBB8A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066D45D" w14:textId="77777777" w:rsidTr="001E04CC">
        <w:trPr>
          <w:trHeight w:val="20"/>
        </w:trPr>
        <w:tc>
          <w:tcPr>
            <w:tcW w:w="2430" w:type="dxa"/>
            <w:tcBorders>
              <w:top w:val="nil"/>
              <w:left w:val="nil"/>
              <w:bottom w:val="nil"/>
              <w:right w:val="nil"/>
            </w:tcBorders>
            <w:shd w:val="clear" w:color="auto" w:fill="auto"/>
            <w:noWrap/>
            <w:vAlign w:val="bottom"/>
            <w:hideMark/>
          </w:tcPr>
          <w:p w14:paraId="125A39D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Procardia</w:t>
            </w:r>
          </w:p>
        </w:tc>
        <w:tc>
          <w:tcPr>
            <w:tcW w:w="1332" w:type="dxa"/>
            <w:tcBorders>
              <w:top w:val="nil"/>
              <w:left w:val="nil"/>
              <w:bottom w:val="nil"/>
              <w:right w:val="nil"/>
            </w:tcBorders>
            <w:shd w:val="clear" w:color="auto" w:fill="auto"/>
            <w:noWrap/>
            <w:vAlign w:val="bottom"/>
            <w:hideMark/>
          </w:tcPr>
          <w:p w14:paraId="2A68E26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4C2CE0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04CBECA" w14:textId="77777777" w:rsidTr="001E04CC">
        <w:trPr>
          <w:trHeight w:val="20"/>
        </w:trPr>
        <w:tc>
          <w:tcPr>
            <w:tcW w:w="2430" w:type="dxa"/>
            <w:tcBorders>
              <w:top w:val="nil"/>
              <w:left w:val="nil"/>
              <w:bottom w:val="nil"/>
              <w:right w:val="nil"/>
            </w:tcBorders>
            <w:shd w:val="clear" w:color="auto" w:fill="auto"/>
            <w:noWrap/>
            <w:vAlign w:val="bottom"/>
            <w:hideMark/>
          </w:tcPr>
          <w:p w14:paraId="53EDA3E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Procardia XL</w:t>
            </w:r>
          </w:p>
        </w:tc>
        <w:tc>
          <w:tcPr>
            <w:tcW w:w="1332" w:type="dxa"/>
            <w:tcBorders>
              <w:top w:val="nil"/>
              <w:left w:val="nil"/>
              <w:bottom w:val="nil"/>
              <w:right w:val="nil"/>
            </w:tcBorders>
            <w:shd w:val="clear" w:color="auto" w:fill="auto"/>
            <w:noWrap/>
            <w:vAlign w:val="bottom"/>
            <w:hideMark/>
          </w:tcPr>
          <w:p w14:paraId="5EB52CD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785BA6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DCE0D3C" w14:textId="77777777" w:rsidTr="001E04CC">
        <w:trPr>
          <w:trHeight w:val="20"/>
        </w:trPr>
        <w:tc>
          <w:tcPr>
            <w:tcW w:w="2430" w:type="dxa"/>
            <w:tcBorders>
              <w:top w:val="nil"/>
              <w:left w:val="nil"/>
              <w:bottom w:val="nil"/>
              <w:right w:val="nil"/>
            </w:tcBorders>
            <w:shd w:val="clear" w:color="auto" w:fill="auto"/>
            <w:noWrap/>
            <w:vAlign w:val="bottom"/>
            <w:hideMark/>
          </w:tcPr>
          <w:p w14:paraId="6B3FF5C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Prograf</w:t>
            </w:r>
            <w:proofErr w:type="spellEnd"/>
          </w:p>
        </w:tc>
        <w:tc>
          <w:tcPr>
            <w:tcW w:w="1332" w:type="dxa"/>
            <w:tcBorders>
              <w:top w:val="nil"/>
              <w:left w:val="nil"/>
              <w:bottom w:val="nil"/>
              <w:right w:val="nil"/>
            </w:tcBorders>
            <w:shd w:val="clear" w:color="auto" w:fill="auto"/>
            <w:noWrap/>
            <w:vAlign w:val="bottom"/>
            <w:hideMark/>
          </w:tcPr>
          <w:p w14:paraId="0FC53F3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1D1806E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DD380AA" w14:textId="77777777" w:rsidTr="001E04CC">
        <w:trPr>
          <w:trHeight w:val="20"/>
        </w:trPr>
        <w:tc>
          <w:tcPr>
            <w:tcW w:w="2430" w:type="dxa"/>
            <w:tcBorders>
              <w:top w:val="nil"/>
              <w:left w:val="nil"/>
              <w:bottom w:val="nil"/>
              <w:right w:val="nil"/>
            </w:tcBorders>
            <w:shd w:val="clear" w:color="auto" w:fill="auto"/>
            <w:noWrap/>
            <w:vAlign w:val="bottom"/>
            <w:hideMark/>
          </w:tcPr>
          <w:p w14:paraId="24DE828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propranolol</w:t>
            </w:r>
          </w:p>
        </w:tc>
        <w:tc>
          <w:tcPr>
            <w:tcW w:w="1332" w:type="dxa"/>
            <w:tcBorders>
              <w:top w:val="nil"/>
              <w:left w:val="nil"/>
              <w:bottom w:val="nil"/>
              <w:right w:val="nil"/>
            </w:tcBorders>
            <w:shd w:val="clear" w:color="auto" w:fill="auto"/>
            <w:noWrap/>
            <w:vAlign w:val="bottom"/>
            <w:hideMark/>
          </w:tcPr>
          <w:p w14:paraId="0743273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643B06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BD15A4F" w14:textId="77777777" w:rsidTr="001E04CC">
        <w:trPr>
          <w:trHeight w:val="20"/>
        </w:trPr>
        <w:tc>
          <w:tcPr>
            <w:tcW w:w="2430" w:type="dxa"/>
            <w:tcBorders>
              <w:top w:val="nil"/>
              <w:left w:val="nil"/>
              <w:bottom w:val="nil"/>
              <w:right w:val="nil"/>
            </w:tcBorders>
            <w:shd w:val="clear" w:color="auto" w:fill="auto"/>
            <w:noWrap/>
            <w:vAlign w:val="bottom"/>
            <w:hideMark/>
          </w:tcPr>
          <w:p w14:paraId="15FBCF6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propranolol hydrochlorothiazide</w:t>
            </w:r>
          </w:p>
        </w:tc>
        <w:tc>
          <w:tcPr>
            <w:tcW w:w="1332" w:type="dxa"/>
            <w:tcBorders>
              <w:top w:val="nil"/>
              <w:left w:val="nil"/>
              <w:bottom w:val="nil"/>
              <w:right w:val="nil"/>
            </w:tcBorders>
            <w:shd w:val="clear" w:color="auto" w:fill="auto"/>
            <w:noWrap/>
            <w:vAlign w:val="bottom"/>
            <w:hideMark/>
          </w:tcPr>
          <w:p w14:paraId="78506D7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857B2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697C3A2" w14:textId="77777777" w:rsidTr="001E04CC">
        <w:trPr>
          <w:trHeight w:val="20"/>
        </w:trPr>
        <w:tc>
          <w:tcPr>
            <w:tcW w:w="2430" w:type="dxa"/>
            <w:tcBorders>
              <w:top w:val="nil"/>
              <w:left w:val="nil"/>
              <w:bottom w:val="nil"/>
              <w:right w:val="nil"/>
            </w:tcBorders>
            <w:shd w:val="clear" w:color="auto" w:fill="auto"/>
            <w:noWrap/>
            <w:vAlign w:val="bottom"/>
            <w:hideMark/>
          </w:tcPr>
          <w:p w14:paraId="098260D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Proventil HFA</w:t>
            </w:r>
          </w:p>
        </w:tc>
        <w:tc>
          <w:tcPr>
            <w:tcW w:w="1332" w:type="dxa"/>
            <w:tcBorders>
              <w:top w:val="nil"/>
              <w:left w:val="nil"/>
              <w:bottom w:val="nil"/>
              <w:right w:val="nil"/>
            </w:tcBorders>
            <w:shd w:val="clear" w:color="auto" w:fill="auto"/>
            <w:noWrap/>
            <w:vAlign w:val="bottom"/>
            <w:hideMark/>
          </w:tcPr>
          <w:p w14:paraId="69C8FCC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5E9649B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EA24FA4" w14:textId="77777777" w:rsidTr="001E04CC">
        <w:trPr>
          <w:trHeight w:val="20"/>
        </w:trPr>
        <w:tc>
          <w:tcPr>
            <w:tcW w:w="2430" w:type="dxa"/>
            <w:tcBorders>
              <w:top w:val="nil"/>
              <w:left w:val="nil"/>
              <w:bottom w:val="nil"/>
              <w:right w:val="nil"/>
            </w:tcBorders>
            <w:shd w:val="clear" w:color="auto" w:fill="auto"/>
            <w:noWrap/>
            <w:vAlign w:val="bottom"/>
            <w:hideMark/>
          </w:tcPr>
          <w:p w14:paraId="4738EDE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Pulmicort</w:t>
            </w:r>
          </w:p>
        </w:tc>
        <w:tc>
          <w:tcPr>
            <w:tcW w:w="1332" w:type="dxa"/>
            <w:tcBorders>
              <w:top w:val="nil"/>
              <w:left w:val="nil"/>
              <w:bottom w:val="nil"/>
              <w:right w:val="nil"/>
            </w:tcBorders>
            <w:shd w:val="clear" w:color="auto" w:fill="auto"/>
            <w:noWrap/>
            <w:vAlign w:val="bottom"/>
            <w:hideMark/>
          </w:tcPr>
          <w:p w14:paraId="6E0A83E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473842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8552384" w14:textId="77777777" w:rsidTr="001E04CC">
        <w:trPr>
          <w:trHeight w:val="20"/>
        </w:trPr>
        <w:tc>
          <w:tcPr>
            <w:tcW w:w="2430" w:type="dxa"/>
            <w:tcBorders>
              <w:top w:val="nil"/>
              <w:left w:val="nil"/>
              <w:bottom w:val="nil"/>
              <w:right w:val="nil"/>
            </w:tcBorders>
            <w:shd w:val="clear" w:color="auto" w:fill="auto"/>
            <w:noWrap/>
            <w:vAlign w:val="bottom"/>
            <w:hideMark/>
          </w:tcPr>
          <w:p w14:paraId="33D6479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Pulmicort </w:t>
            </w:r>
            <w:proofErr w:type="spellStart"/>
            <w:r w:rsidRPr="001A20A2">
              <w:rPr>
                <w:rFonts w:ascii="Calibri" w:eastAsia="Times New Roman" w:hAnsi="Calibri" w:cs="Times New Roman"/>
                <w:color w:val="000000"/>
                <w:sz w:val="16"/>
                <w:szCs w:val="16"/>
              </w:rPr>
              <w:t>Flexhaler</w:t>
            </w:r>
            <w:proofErr w:type="spellEnd"/>
          </w:p>
        </w:tc>
        <w:tc>
          <w:tcPr>
            <w:tcW w:w="1332" w:type="dxa"/>
            <w:tcBorders>
              <w:top w:val="nil"/>
              <w:left w:val="nil"/>
              <w:bottom w:val="nil"/>
              <w:right w:val="nil"/>
            </w:tcBorders>
            <w:shd w:val="clear" w:color="auto" w:fill="auto"/>
            <w:noWrap/>
            <w:vAlign w:val="bottom"/>
            <w:hideMark/>
          </w:tcPr>
          <w:p w14:paraId="3E85D70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F98147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6348225" w14:textId="77777777" w:rsidTr="001E04CC">
        <w:trPr>
          <w:trHeight w:val="20"/>
        </w:trPr>
        <w:tc>
          <w:tcPr>
            <w:tcW w:w="2430" w:type="dxa"/>
            <w:tcBorders>
              <w:top w:val="nil"/>
              <w:left w:val="nil"/>
              <w:bottom w:val="nil"/>
              <w:right w:val="nil"/>
            </w:tcBorders>
            <w:shd w:val="clear" w:color="auto" w:fill="auto"/>
            <w:noWrap/>
            <w:vAlign w:val="bottom"/>
            <w:hideMark/>
          </w:tcPr>
          <w:p w14:paraId="7540717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lastRenderedPageBreak/>
              <w:t>Questran</w:t>
            </w:r>
          </w:p>
        </w:tc>
        <w:tc>
          <w:tcPr>
            <w:tcW w:w="1332" w:type="dxa"/>
            <w:tcBorders>
              <w:top w:val="nil"/>
              <w:left w:val="nil"/>
              <w:bottom w:val="nil"/>
              <w:right w:val="nil"/>
            </w:tcBorders>
            <w:shd w:val="clear" w:color="auto" w:fill="auto"/>
            <w:noWrap/>
            <w:vAlign w:val="bottom"/>
            <w:hideMark/>
          </w:tcPr>
          <w:p w14:paraId="444CEAD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55DB395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BA999AA" w14:textId="77777777" w:rsidTr="001E04CC">
        <w:trPr>
          <w:trHeight w:val="20"/>
        </w:trPr>
        <w:tc>
          <w:tcPr>
            <w:tcW w:w="2430" w:type="dxa"/>
            <w:tcBorders>
              <w:top w:val="nil"/>
              <w:left w:val="nil"/>
              <w:bottom w:val="nil"/>
              <w:right w:val="nil"/>
            </w:tcBorders>
            <w:shd w:val="clear" w:color="auto" w:fill="auto"/>
            <w:noWrap/>
            <w:vAlign w:val="bottom"/>
            <w:hideMark/>
          </w:tcPr>
          <w:p w14:paraId="3771ABB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Questran Light</w:t>
            </w:r>
          </w:p>
        </w:tc>
        <w:tc>
          <w:tcPr>
            <w:tcW w:w="1332" w:type="dxa"/>
            <w:tcBorders>
              <w:top w:val="nil"/>
              <w:left w:val="nil"/>
              <w:bottom w:val="nil"/>
              <w:right w:val="nil"/>
            </w:tcBorders>
            <w:shd w:val="clear" w:color="auto" w:fill="auto"/>
            <w:noWrap/>
            <w:vAlign w:val="bottom"/>
            <w:hideMark/>
          </w:tcPr>
          <w:p w14:paraId="1ED5895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01036E4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335B49A" w14:textId="77777777" w:rsidTr="001E04CC">
        <w:trPr>
          <w:trHeight w:val="20"/>
        </w:trPr>
        <w:tc>
          <w:tcPr>
            <w:tcW w:w="2430" w:type="dxa"/>
            <w:tcBorders>
              <w:top w:val="nil"/>
              <w:left w:val="nil"/>
              <w:bottom w:val="nil"/>
              <w:right w:val="nil"/>
            </w:tcBorders>
            <w:shd w:val="clear" w:color="auto" w:fill="auto"/>
            <w:noWrap/>
            <w:vAlign w:val="bottom"/>
            <w:hideMark/>
          </w:tcPr>
          <w:p w14:paraId="3478F7B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quetiapine</w:t>
            </w:r>
          </w:p>
        </w:tc>
        <w:tc>
          <w:tcPr>
            <w:tcW w:w="1332" w:type="dxa"/>
            <w:tcBorders>
              <w:top w:val="nil"/>
              <w:left w:val="nil"/>
              <w:bottom w:val="nil"/>
              <w:right w:val="nil"/>
            </w:tcBorders>
            <w:shd w:val="clear" w:color="auto" w:fill="auto"/>
            <w:noWrap/>
            <w:vAlign w:val="bottom"/>
            <w:hideMark/>
          </w:tcPr>
          <w:p w14:paraId="1FC4B8B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8F03BD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511435E" w14:textId="77777777" w:rsidTr="001E04CC">
        <w:trPr>
          <w:trHeight w:val="20"/>
        </w:trPr>
        <w:tc>
          <w:tcPr>
            <w:tcW w:w="2430" w:type="dxa"/>
            <w:tcBorders>
              <w:top w:val="nil"/>
              <w:left w:val="nil"/>
              <w:bottom w:val="nil"/>
              <w:right w:val="nil"/>
            </w:tcBorders>
            <w:shd w:val="clear" w:color="auto" w:fill="auto"/>
            <w:noWrap/>
            <w:vAlign w:val="bottom"/>
            <w:hideMark/>
          </w:tcPr>
          <w:p w14:paraId="0E5E429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quinapril</w:t>
            </w:r>
          </w:p>
        </w:tc>
        <w:tc>
          <w:tcPr>
            <w:tcW w:w="1332" w:type="dxa"/>
            <w:tcBorders>
              <w:top w:val="nil"/>
              <w:left w:val="nil"/>
              <w:bottom w:val="nil"/>
              <w:right w:val="nil"/>
            </w:tcBorders>
            <w:shd w:val="clear" w:color="auto" w:fill="auto"/>
            <w:noWrap/>
            <w:vAlign w:val="bottom"/>
            <w:hideMark/>
          </w:tcPr>
          <w:p w14:paraId="512CD7F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06530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2FBE182" w14:textId="77777777" w:rsidTr="001E04CC">
        <w:trPr>
          <w:trHeight w:val="20"/>
        </w:trPr>
        <w:tc>
          <w:tcPr>
            <w:tcW w:w="2430" w:type="dxa"/>
            <w:tcBorders>
              <w:top w:val="nil"/>
              <w:left w:val="nil"/>
              <w:bottom w:val="nil"/>
              <w:right w:val="nil"/>
            </w:tcBorders>
            <w:shd w:val="clear" w:color="auto" w:fill="auto"/>
            <w:noWrap/>
            <w:vAlign w:val="bottom"/>
            <w:hideMark/>
          </w:tcPr>
          <w:p w14:paraId="02522AE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quinapril-hydrochlorothiazide</w:t>
            </w:r>
          </w:p>
        </w:tc>
        <w:tc>
          <w:tcPr>
            <w:tcW w:w="1332" w:type="dxa"/>
            <w:tcBorders>
              <w:top w:val="nil"/>
              <w:left w:val="nil"/>
              <w:bottom w:val="nil"/>
              <w:right w:val="nil"/>
            </w:tcBorders>
            <w:shd w:val="clear" w:color="auto" w:fill="auto"/>
            <w:noWrap/>
            <w:vAlign w:val="bottom"/>
            <w:hideMark/>
          </w:tcPr>
          <w:p w14:paraId="25443A1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574F58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1040B46" w14:textId="77777777" w:rsidTr="001E04CC">
        <w:trPr>
          <w:trHeight w:val="20"/>
        </w:trPr>
        <w:tc>
          <w:tcPr>
            <w:tcW w:w="2430" w:type="dxa"/>
            <w:tcBorders>
              <w:top w:val="nil"/>
              <w:left w:val="nil"/>
              <w:bottom w:val="nil"/>
              <w:right w:val="nil"/>
            </w:tcBorders>
            <w:shd w:val="clear" w:color="auto" w:fill="auto"/>
            <w:noWrap/>
            <w:vAlign w:val="bottom"/>
            <w:hideMark/>
          </w:tcPr>
          <w:p w14:paraId="04070B2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QVAR</w:t>
            </w:r>
          </w:p>
        </w:tc>
        <w:tc>
          <w:tcPr>
            <w:tcW w:w="1332" w:type="dxa"/>
            <w:tcBorders>
              <w:top w:val="nil"/>
              <w:left w:val="nil"/>
              <w:bottom w:val="nil"/>
              <w:right w:val="nil"/>
            </w:tcBorders>
            <w:shd w:val="clear" w:color="auto" w:fill="auto"/>
            <w:noWrap/>
            <w:vAlign w:val="bottom"/>
            <w:hideMark/>
          </w:tcPr>
          <w:p w14:paraId="1D4473B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6193B4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33C2CC5" w14:textId="77777777" w:rsidTr="001E04CC">
        <w:trPr>
          <w:trHeight w:val="20"/>
        </w:trPr>
        <w:tc>
          <w:tcPr>
            <w:tcW w:w="2430" w:type="dxa"/>
            <w:tcBorders>
              <w:top w:val="nil"/>
              <w:left w:val="nil"/>
              <w:bottom w:val="nil"/>
              <w:right w:val="nil"/>
            </w:tcBorders>
            <w:shd w:val="clear" w:color="auto" w:fill="auto"/>
            <w:noWrap/>
            <w:vAlign w:val="bottom"/>
            <w:hideMark/>
          </w:tcPr>
          <w:p w14:paraId="43317FA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ramipril</w:t>
            </w:r>
          </w:p>
        </w:tc>
        <w:tc>
          <w:tcPr>
            <w:tcW w:w="1332" w:type="dxa"/>
            <w:tcBorders>
              <w:top w:val="nil"/>
              <w:left w:val="nil"/>
              <w:bottom w:val="nil"/>
              <w:right w:val="nil"/>
            </w:tcBorders>
            <w:shd w:val="clear" w:color="auto" w:fill="auto"/>
            <w:noWrap/>
            <w:vAlign w:val="bottom"/>
            <w:hideMark/>
          </w:tcPr>
          <w:p w14:paraId="5CFA1F6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2946D9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6E2635" w14:textId="77777777" w:rsidTr="001E04CC">
        <w:trPr>
          <w:trHeight w:val="20"/>
        </w:trPr>
        <w:tc>
          <w:tcPr>
            <w:tcW w:w="2430" w:type="dxa"/>
            <w:tcBorders>
              <w:top w:val="nil"/>
              <w:left w:val="nil"/>
              <w:bottom w:val="nil"/>
              <w:right w:val="nil"/>
            </w:tcBorders>
            <w:shd w:val="clear" w:color="auto" w:fill="auto"/>
            <w:noWrap/>
            <w:vAlign w:val="bottom"/>
            <w:hideMark/>
          </w:tcPr>
          <w:p w14:paraId="068E33ED"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Rapamune</w:t>
            </w:r>
            <w:proofErr w:type="spellEnd"/>
          </w:p>
        </w:tc>
        <w:tc>
          <w:tcPr>
            <w:tcW w:w="1332" w:type="dxa"/>
            <w:tcBorders>
              <w:top w:val="nil"/>
              <w:left w:val="nil"/>
              <w:bottom w:val="nil"/>
              <w:right w:val="nil"/>
            </w:tcBorders>
            <w:shd w:val="clear" w:color="auto" w:fill="auto"/>
            <w:noWrap/>
            <w:vAlign w:val="bottom"/>
            <w:hideMark/>
          </w:tcPr>
          <w:p w14:paraId="186AB19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502C957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275F9B2" w14:textId="77777777" w:rsidTr="001E04CC">
        <w:trPr>
          <w:trHeight w:val="20"/>
        </w:trPr>
        <w:tc>
          <w:tcPr>
            <w:tcW w:w="2430" w:type="dxa"/>
            <w:tcBorders>
              <w:top w:val="nil"/>
              <w:left w:val="nil"/>
              <w:bottom w:val="nil"/>
              <w:right w:val="nil"/>
            </w:tcBorders>
            <w:shd w:val="clear" w:color="auto" w:fill="auto"/>
            <w:noWrap/>
            <w:vAlign w:val="bottom"/>
            <w:hideMark/>
          </w:tcPr>
          <w:p w14:paraId="71BC996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Rebif</w:t>
            </w:r>
            <w:proofErr w:type="spellEnd"/>
          </w:p>
        </w:tc>
        <w:tc>
          <w:tcPr>
            <w:tcW w:w="1332" w:type="dxa"/>
            <w:tcBorders>
              <w:top w:val="nil"/>
              <w:left w:val="nil"/>
              <w:bottom w:val="nil"/>
              <w:right w:val="nil"/>
            </w:tcBorders>
            <w:shd w:val="clear" w:color="auto" w:fill="auto"/>
            <w:noWrap/>
            <w:vAlign w:val="bottom"/>
            <w:hideMark/>
          </w:tcPr>
          <w:p w14:paraId="6B557EDF" w14:textId="1ED22D0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49F1206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9533541" w14:textId="77777777" w:rsidTr="001E04CC">
        <w:trPr>
          <w:trHeight w:val="20"/>
        </w:trPr>
        <w:tc>
          <w:tcPr>
            <w:tcW w:w="2430" w:type="dxa"/>
            <w:tcBorders>
              <w:top w:val="nil"/>
              <w:left w:val="nil"/>
              <w:bottom w:val="nil"/>
              <w:right w:val="nil"/>
            </w:tcBorders>
            <w:shd w:val="clear" w:color="auto" w:fill="auto"/>
            <w:noWrap/>
            <w:vAlign w:val="bottom"/>
            <w:hideMark/>
          </w:tcPr>
          <w:p w14:paraId="42F9046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repaglinide</w:t>
            </w:r>
          </w:p>
        </w:tc>
        <w:tc>
          <w:tcPr>
            <w:tcW w:w="1332" w:type="dxa"/>
            <w:tcBorders>
              <w:top w:val="nil"/>
              <w:left w:val="nil"/>
              <w:bottom w:val="nil"/>
              <w:right w:val="nil"/>
            </w:tcBorders>
            <w:shd w:val="clear" w:color="auto" w:fill="auto"/>
            <w:noWrap/>
            <w:vAlign w:val="bottom"/>
            <w:hideMark/>
          </w:tcPr>
          <w:p w14:paraId="662B6625" w14:textId="75362E79"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29FA7B2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BC2FFD5" w14:textId="77777777" w:rsidTr="001E04CC">
        <w:trPr>
          <w:trHeight w:val="20"/>
        </w:trPr>
        <w:tc>
          <w:tcPr>
            <w:tcW w:w="2430" w:type="dxa"/>
            <w:tcBorders>
              <w:top w:val="nil"/>
              <w:left w:val="nil"/>
              <w:bottom w:val="nil"/>
              <w:right w:val="nil"/>
            </w:tcBorders>
            <w:shd w:val="clear" w:color="auto" w:fill="auto"/>
            <w:noWrap/>
            <w:vAlign w:val="bottom"/>
            <w:hideMark/>
          </w:tcPr>
          <w:p w14:paraId="582EA6E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Rescriptor</w:t>
            </w:r>
            <w:proofErr w:type="spellEnd"/>
          </w:p>
        </w:tc>
        <w:tc>
          <w:tcPr>
            <w:tcW w:w="1332" w:type="dxa"/>
            <w:tcBorders>
              <w:top w:val="nil"/>
              <w:left w:val="nil"/>
              <w:bottom w:val="nil"/>
              <w:right w:val="nil"/>
            </w:tcBorders>
            <w:shd w:val="clear" w:color="auto" w:fill="auto"/>
            <w:noWrap/>
            <w:vAlign w:val="bottom"/>
            <w:hideMark/>
          </w:tcPr>
          <w:p w14:paraId="10C6A14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F26BA3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5A72786" w14:textId="77777777" w:rsidTr="001E04CC">
        <w:trPr>
          <w:trHeight w:val="20"/>
        </w:trPr>
        <w:tc>
          <w:tcPr>
            <w:tcW w:w="2430" w:type="dxa"/>
            <w:tcBorders>
              <w:top w:val="nil"/>
              <w:left w:val="nil"/>
              <w:bottom w:val="nil"/>
              <w:right w:val="nil"/>
            </w:tcBorders>
            <w:shd w:val="clear" w:color="auto" w:fill="auto"/>
            <w:noWrap/>
            <w:vAlign w:val="bottom"/>
            <w:hideMark/>
          </w:tcPr>
          <w:p w14:paraId="02DD9A8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reserpine</w:t>
            </w:r>
          </w:p>
        </w:tc>
        <w:tc>
          <w:tcPr>
            <w:tcW w:w="1332" w:type="dxa"/>
            <w:tcBorders>
              <w:top w:val="nil"/>
              <w:left w:val="nil"/>
              <w:bottom w:val="nil"/>
              <w:right w:val="nil"/>
            </w:tcBorders>
            <w:shd w:val="clear" w:color="auto" w:fill="auto"/>
            <w:noWrap/>
            <w:vAlign w:val="bottom"/>
            <w:hideMark/>
          </w:tcPr>
          <w:p w14:paraId="0A7CC76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FFA053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8ECEF66" w14:textId="77777777" w:rsidTr="001E04CC">
        <w:trPr>
          <w:trHeight w:val="20"/>
        </w:trPr>
        <w:tc>
          <w:tcPr>
            <w:tcW w:w="2430" w:type="dxa"/>
            <w:tcBorders>
              <w:top w:val="nil"/>
              <w:left w:val="nil"/>
              <w:bottom w:val="nil"/>
              <w:right w:val="nil"/>
            </w:tcBorders>
            <w:shd w:val="clear" w:color="auto" w:fill="auto"/>
            <w:noWrap/>
            <w:vAlign w:val="bottom"/>
            <w:hideMark/>
          </w:tcPr>
          <w:p w14:paraId="58A429D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Retrovir</w:t>
            </w:r>
          </w:p>
        </w:tc>
        <w:tc>
          <w:tcPr>
            <w:tcW w:w="1332" w:type="dxa"/>
            <w:tcBorders>
              <w:top w:val="nil"/>
              <w:left w:val="nil"/>
              <w:bottom w:val="nil"/>
              <w:right w:val="nil"/>
            </w:tcBorders>
            <w:shd w:val="clear" w:color="auto" w:fill="auto"/>
            <w:noWrap/>
            <w:vAlign w:val="bottom"/>
            <w:hideMark/>
          </w:tcPr>
          <w:p w14:paraId="2CE678C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0B4F37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E1F918E" w14:textId="77777777" w:rsidTr="001E04CC">
        <w:trPr>
          <w:trHeight w:val="20"/>
        </w:trPr>
        <w:tc>
          <w:tcPr>
            <w:tcW w:w="2430" w:type="dxa"/>
            <w:tcBorders>
              <w:top w:val="nil"/>
              <w:left w:val="nil"/>
              <w:bottom w:val="nil"/>
              <w:right w:val="nil"/>
            </w:tcBorders>
            <w:shd w:val="clear" w:color="auto" w:fill="auto"/>
            <w:noWrap/>
            <w:vAlign w:val="bottom"/>
            <w:hideMark/>
          </w:tcPr>
          <w:p w14:paraId="14A90DB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Reyataz</w:t>
            </w:r>
            <w:proofErr w:type="spellEnd"/>
          </w:p>
        </w:tc>
        <w:tc>
          <w:tcPr>
            <w:tcW w:w="1332" w:type="dxa"/>
            <w:tcBorders>
              <w:top w:val="nil"/>
              <w:left w:val="nil"/>
              <w:bottom w:val="nil"/>
              <w:right w:val="nil"/>
            </w:tcBorders>
            <w:shd w:val="clear" w:color="auto" w:fill="auto"/>
            <w:noWrap/>
            <w:vAlign w:val="bottom"/>
            <w:hideMark/>
          </w:tcPr>
          <w:p w14:paraId="34803AB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365A37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CA6D1BE" w14:textId="77777777" w:rsidTr="001E04CC">
        <w:trPr>
          <w:trHeight w:val="20"/>
        </w:trPr>
        <w:tc>
          <w:tcPr>
            <w:tcW w:w="2430" w:type="dxa"/>
            <w:tcBorders>
              <w:top w:val="nil"/>
              <w:left w:val="nil"/>
              <w:bottom w:val="nil"/>
              <w:right w:val="nil"/>
            </w:tcBorders>
            <w:shd w:val="clear" w:color="auto" w:fill="auto"/>
            <w:noWrap/>
            <w:vAlign w:val="bottom"/>
            <w:hideMark/>
          </w:tcPr>
          <w:p w14:paraId="5C1FB8F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Riomet</w:t>
            </w:r>
            <w:proofErr w:type="spellEnd"/>
          </w:p>
        </w:tc>
        <w:tc>
          <w:tcPr>
            <w:tcW w:w="1332" w:type="dxa"/>
            <w:tcBorders>
              <w:top w:val="nil"/>
              <w:left w:val="nil"/>
              <w:bottom w:val="nil"/>
              <w:right w:val="nil"/>
            </w:tcBorders>
            <w:shd w:val="clear" w:color="auto" w:fill="auto"/>
            <w:noWrap/>
            <w:vAlign w:val="bottom"/>
            <w:hideMark/>
          </w:tcPr>
          <w:p w14:paraId="4808E242" w14:textId="69E96A93"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7DCCCB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93C8F58" w14:textId="77777777" w:rsidTr="001E04CC">
        <w:trPr>
          <w:trHeight w:val="20"/>
        </w:trPr>
        <w:tc>
          <w:tcPr>
            <w:tcW w:w="2430" w:type="dxa"/>
            <w:tcBorders>
              <w:top w:val="nil"/>
              <w:left w:val="nil"/>
              <w:bottom w:val="nil"/>
              <w:right w:val="nil"/>
            </w:tcBorders>
            <w:shd w:val="clear" w:color="auto" w:fill="auto"/>
            <w:noWrap/>
            <w:vAlign w:val="bottom"/>
            <w:hideMark/>
          </w:tcPr>
          <w:p w14:paraId="76C9152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Risperdal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B3D5CA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1C1914B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5C09770" w14:textId="77777777" w:rsidTr="001E04CC">
        <w:trPr>
          <w:trHeight w:val="20"/>
        </w:trPr>
        <w:tc>
          <w:tcPr>
            <w:tcW w:w="2430" w:type="dxa"/>
            <w:tcBorders>
              <w:top w:val="nil"/>
              <w:left w:val="nil"/>
              <w:bottom w:val="nil"/>
              <w:right w:val="nil"/>
            </w:tcBorders>
            <w:shd w:val="clear" w:color="auto" w:fill="auto"/>
            <w:noWrap/>
            <w:vAlign w:val="bottom"/>
            <w:hideMark/>
          </w:tcPr>
          <w:p w14:paraId="7353D4CB"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risperidone</w:t>
            </w:r>
          </w:p>
        </w:tc>
        <w:tc>
          <w:tcPr>
            <w:tcW w:w="1332" w:type="dxa"/>
            <w:tcBorders>
              <w:top w:val="nil"/>
              <w:left w:val="nil"/>
              <w:bottom w:val="nil"/>
              <w:right w:val="nil"/>
            </w:tcBorders>
            <w:shd w:val="clear" w:color="auto" w:fill="auto"/>
            <w:noWrap/>
            <w:vAlign w:val="bottom"/>
            <w:hideMark/>
          </w:tcPr>
          <w:p w14:paraId="721767E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06FAFCC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D45EDD2" w14:textId="77777777" w:rsidTr="001E04CC">
        <w:trPr>
          <w:trHeight w:val="20"/>
        </w:trPr>
        <w:tc>
          <w:tcPr>
            <w:tcW w:w="2430" w:type="dxa"/>
            <w:tcBorders>
              <w:top w:val="nil"/>
              <w:left w:val="nil"/>
              <w:bottom w:val="nil"/>
              <w:right w:val="nil"/>
            </w:tcBorders>
            <w:shd w:val="clear" w:color="auto" w:fill="auto"/>
            <w:noWrap/>
            <w:vAlign w:val="bottom"/>
            <w:hideMark/>
          </w:tcPr>
          <w:p w14:paraId="287E9D8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Sandimmune</w:t>
            </w:r>
            <w:proofErr w:type="spellEnd"/>
            <w:r w:rsidRPr="001A20A2">
              <w:rPr>
                <w:rFonts w:ascii="Calibri" w:eastAsia="Times New Roman" w:hAnsi="Calibri" w:cs="Times New Roman"/>
                <w:color w:val="000000"/>
                <w:sz w:val="16"/>
                <w:szCs w:val="16"/>
              </w:rPr>
              <w:t xml:space="preserve"> </w:t>
            </w:r>
          </w:p>
        </w:tc>
        <w:tc>
          <w:tcPr>
            <w:tcW w:w="1332" w:type="dxa"/>
            <w:tcBorders>
              <w:top w:val="nil"/>
              <w:left w:val="nil"/>
              <w:bottom w:val="nil"/>
              <w:right w:val="nil"/>
            </w:tcBorders>
            <w:shd w:val="clear" w:color="auto" w:fill="auto"/>
            <w:noWrap/>
            <w:vAlign w:val="bottom"/>
            <w:hideMark/>
          </w:tcPr>
          <w:p w14:paraId="1C6DDE7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3DFD662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AB290A5" w14:textId="77777777" w:rsidTr="001E04CC">
        <w:trPr>
          <w:trHeight w:val="20"/>
        </w:trPr>
        <w:tc>
          <w:tcPr>
            <w:tcW w:w="2430" w:type="dxa"/>
            <w:tcBorders>
              <w:top w:val="nil"/>
              <w:left w:val="nil"/>
              <w:bottom w:val="nil"/>
              <w:right w:val="nil"/>
            </w:tcBorders>
            <w:shd w:val="clear" w:color="auto" w:fill="auto"/>
            <w:noWrap/>
            <w:vAlign w:val="bottom"/>
            <w:hideMark/>
          </w:tcPr>
          <w:p w14:paraId="3EC1557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Saphris</w:t>
            </w:r>
          </w:p>
        </w:tc>
        <w:tc>
          <w:tcPr>
            <w:tcW w:w="1332" w:type="dxa"/>
            <w:tcBorders>
              <w:top w:val="nil"/>
              <w:left w:val="nil"/>
              <w:bottom w:val="nil"/>
              <w:right w:val="nil"/>
            </w:tcBorders>
            <w:shd w:val="clear" w:color="auto" w:fill="auto"/>
            <w:noWrap/>
            <w:vAlign w:val="bottom"/>
            <w:hideMark/>
          </w:tcPr>
          <w:p w14:paraId="19F8E80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7CEA7C6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FF73F9D" w14:textId="77777777" w:rsidTr="001E04CC">
        <w:trPr>
          <w:trHeight w:val="20"/>
        </w:trPr>
        <w:tc>
          <w:tcPr>
            <w:tcW w:w="2430" w:type="dxa"/>
            <w:tcBorders>
              <w:top w:val="nil"/>
              <w:left w:val="nil"/>
              <w:bottom w:val="nil"/>
              <w:right w:val="nil"/>
            </w:tcBorders>
            <w:shd w:val="clear" w:color="auto" w:fill="auto"/>
            <w:noWrap/>
            <w:vAlign w:val="bottom"/>
            <w:hideMark/>
          </w:tcPr>
          <w:p w14:paraId="3F63EA1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Sectral</w:t>
            </w:r>
            <w:proofErr w:type="spellEnd"/>
          </w:p>
        </w:tc>
        <w:tc>
          <w:tcPr>
            <w:tcW w:w="1332" w:type="dxa"/>
            <w:tcBorders>
              <w:top w:val="nil"/>
              <w:left w:val="nil"/>
              <w:bottom w:val="nil"/>
              <w:right w:val="nil"/>
            </w:tcBorders>
            <w:shd w:val="clear" w:color="auto" w:fill="auto"/>
            <w:noWrap/>
            <w:vAlign w:val="bottom"/>
            <w:hideMark/>
          </w:tcPr>
          <w:p w14:paraId="7717B67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3BFCBB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43229B8" w14:textId="77777777" w:rsidTr="001E04CC">
        <w:trPr>
          <w:trHeight w:val="20"/>
        </w:trPr>
        <w:tc>
          <w:tcPr>
            <w:tcW w:w="2430" w:type="dxa"/>
            <w:tcBorders>
              <w:top w:val="nil"/>
              <w:left w:val="nil"/>
              <w:bottom w:val="nil"/>
              <w:right w:val="nil"/>
            </w:tcBorders>
            <w:shd w:val="clear" w:color="auto" w:fill="auto"/>
            <w:noWrap/>
            <w:vAlign w:val="bottom"/>
            <w:hideMark/>
          </w:tcPr>
          <w:p w14:paraId="5B5047D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Selzentry</w:t>
            </w:r>
            <w:proofErr w:type="spellEnd"/>
          </w:p>
        </w:tc>
        <w:tc>
          <w:tcPr>
            <w:tcW w:w="1332" w:type="dxa"/>
            <w:tcBorders>
              <w:top w:val="nil"/>
              <w:left w:val="nil"/>
              <w:bottom w:val="nil"/>
              <w:right w:val="nil"/>
            </w:tcBorders>
            <w:shd w:val="clear" w:color="auto" w:fill="auto"/>
            <w:noWrap/>
            <w:vAlign w:val="bottom"/>
            <w:hideMark/>
          </w:tcPr>
          <w:p w14:paraId="31E1133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2AA23F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6B6ABB4" w14:textId="77777777" w:rsidTr="001E04CC">
        <w:trPr>
          <w:trHeight w:val="20"/>
        </w:trPr>
        <w:tc>
          <w:tcPr>
            <w:tcW w:w="2430" w:type="dxa"/>
            <w:tcBorders>
              <w:top w:val="nil"/>
              <w:left w:val="nil"/>
              <w:bottom w:val="nil"/>
              <w:right w:val="nil"/>
            </w:tcBorders>
            <w:shd w:val="clear" w:color="auto" w:fill="auto"/>
            <w:noWrap/>
            <w:vAlign w:val="bottom"/>
            <w:hideMark/>
          </w:tcPr>
          <w:p w14:paraId="43776F2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Serevent </w:t>
            </w:r>
            <w:proofErr w:type="spellStart"/>
            <w:r w:rsidRPr="001A20A2">
              <w:rPr>
                <w:rFonts w:ascii="Calibri" w:eastAsia="Times New Roman" w:hAnsi="Calibri" w:cs="Times New Roman"/>
                <w:color w:val="000000"/>
                <w:sz w:val="16"/>
                <w:szCs w:val="16"/>
              </w:rPr>
              <w:t>Diskus</w:t>
            </w:r>
            <w:proofErr w:type="spellEnd"/>
          </w:p>
        </w:tc>
        <w:tc>
          <w:tcPr>
            <w:tcW w:w="1332" w:type="dxa"/>
            <w:tcBorders>
              <w:top w:val="nil"/>
              <w:left w:val="nil"/>
              <w:bottom w:val="nil"/>
              <w:right w:val="nil"/>
            </w:tcBorders>
            <w:shd w:val="clear" w:color="auto" w:fill="auto"/>
            <w:noWrap/>
            <w:vAlign w:val="bottom"/>
            <w:hideMark/>
          </w:tcPr>
          <w:p w14:paraId="57EF256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C7B714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E7F588A" w14:textId="77777777" w:rsidTr="001E04CC">
        <w:trPr>
          <w:trHeight w:val="20"/>
        </w:trPr>
        <w:tc>
          <w:tcPr>
            <w:tcW w:w="2430" w:type="dxa"/>
            <w:tcBorders>
              <w:top w:val="nil"/>
              <w:left w:val="nil"/>
              <w:bottom w:val="nil"/>
              <w:right w:val="nil"/>
            </w:tcBorders>
            <w:shd w:val="clear" w:color="auto" w:fill="auto"/>
            <w:noWrap/>
            <w:vAlign w:val="bottom"/>
            <w:hideMark/>
          </w:tcPr>
          <w:p w14:paraId="58E6079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Seroquel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0BBDCE4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0B9E2F0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B80C455" w14:textId="77777777" w:rsidTr="001E04CC">
        <w:trPr>
          <w:trHeight w:val="20"/>
        </w:trPr>
        <w:tc>
          <w:tcPr>
            <w:tcW w:w="2430" w:type="dxa"/>
            <w:tcBorders>
              <w:top w:val="nil"/>
              <w:left w:val="nil"/>
              <w:bottom w:val="nil"/>
              <w:right w:val="nil"/>
            </w:tcBorders>
            <w:shd w:val="clear" w:color="auto" w:fill="auto"/>
            <w:noWrap/>
            <w:vAlign w:val="bottom"/>
            <w:hideMark/>
          </w:tcPr>
          <w:p w14:paraId="0674920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Seroquel XR</w:t>
            </w:r>
          </w:p>
        </w:tc>
        <w:tc>
          <w:tcPr>
            <w:tcW w:w="1332" w:type="dxa"/>
            <w:tcBorders>
              <w:top w:val="nil"/>
              <w:left w:val="nil"/>
              <w:bottom w:val="nil"/>
              <w:right w:val="nil"/>
            </w:tcBorders>
            <w:shd w:val="clear" w:color="auto" w:fill="auto"/>
            <w:noWrap/>
            <w:vAlign w:val="bottom"/>
            <w:hideMark/>
          </w:tcPr>
          <w:p w14:paraId="411305F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11D88C0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C3E4E4C" w14:textId="77777777" w:rsidTr="001E04CC">
        <w:trPr>
          <w:trHeight w:val="20"/>
        </w:trPr>
        <w:tc>
          <w:tcPr>
            <w:tcW w:w="2430" w:type="dxa"/>
            <w:tcBorders>
              <w:top w:val="nil"/>
              <w:left w:val="nil"/>
              <w:bottom w:val="nil"/>
              <w:right w:val="nil"/>
            </w:tcBorders>
            <w:shd w:val="clear" w:color="auto" w:fill="auto"/>
            <w:noWrap/>
            <w:vAlign w:val="bottom"/>
            <w:hideMark/>
          </w:tcPr>
          <w:p w14:paraId="55F8B7E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Simcor</w:t>
            </w:r>
            <w:proofErr w:type="spellEnd"/>
          </w:p>
        </w:tc>
        <w:tc>
          <w:tcPr>
            <w:tcW w:w="1332" w:type="dxa"/>
            <w:tcBorders>
              <w:top w:val="nil"/>
              <w:left w:val="nil"/>
              <w:bottom w:val="nil"/>
              <w:right w:val="nil"/>
            </w:tcBorders>
            <w:shd w:val="clear" w:color="auto" w:fill="auto"/>
            <w:noWrap/>
            <w:vAlign w:val="bottom"/>
            <w:hideMark/>
          </w:tcPr>
          <w:p w14:paraId="41B446F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C13BCC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9890ACC" w14:textId="77777777" w:rsidTr="001E04CC">
        <w:trPr>
          <w:trHeight w:val="20"/>
        </w:trPr>
        <w:tc>
          <w:tcPr>
            <w:tcW w:w="2430" w:type="dxa"/>
            <w:tcBorders>
              <w:top w:val="nil"/>
              <w:left w:val="nil"/>
              <w:bottom w:val="nil"/>
              <w:right w:val="nil"/>
            </w:tcBorders>
            <w:shd w:val="clear" w:color="auto" w:fill="auto"/>
            <w:noWrap/>
            <w:vAlign w:val="bottom"/>
            <w:hideMark/>
          </w:tcPr>
          <w:p w14:paraId="5D4EAD4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simvastatin</w:t>
            </w:r>
          </w:p>
        </w:tc>
        <w:tc>
          <w:tcPr>
            <w:tcW w:w="1332" w:type="dxa"/>
            <w:tcBorders>
              <w:top w:val="nil"/>
              <w:left w:val="nil"/>
              <w:bottom w:val="nil"/>
              <w:right w:val="nil"/>
            </w:tcBorders>
            <w:shd w:val="clear" w:color="auto" w:fill="auto"/>
            <w:noWrap/>
            <w:vAlign w:val="bottom"/>
            <w:hideMark/>
          </w:tcPr>
          <w:p w14:paraId="2E5B27D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7A13ED7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0CF1D97" w14:textId="77777777" w:rsidTr="001E04CC">
        <w:trPr>
          <w:trHeight w:val="20"/>
        </w:trPr>
        <w:tc>
          <w:tcPr>
            <w:tcW w:w="2430" w:type="dxa"/>
            <w:tcBorders>
              <w:top w:val="nil"/>
              <w:left w:val="nil"/>
              <w:bottom w:val="nil"/>
              <w:right w:val="nil"/>
            </w:tcBorders>
            <w:shd w:val="clear" w:color="auto" w:fill="auto"/>
            <w:noWrap/>
            <w:vAlign w:val="bottom"/>
            <w:hideMark/>
          </w:tcPr>
          <w:p w14:paraId="497032F6"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Singulair</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705FF50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C493DA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7D2B6AB" w14:textId="77777777" w:rsidTr="001E04CC">
        <w:trPr>
          <w:trHeight w:val="20"/>
        </w:trPr>
        <w:tc>
          <w:tcPr>
            <w:tcW w:w="2430" w:type="dxa"/>
            <w:tcBorders>
              <w:top w:val="nil"/>
              <w:left w:val="nil"/>
              <w:bottom w:val="nil"/>
              <w:right w:val="nil"/>
            </w:tcBorders>
            <w:shd w:val="clear" w:color="auto" w:fill="auto"/>
            <w:noWrap/>
            <w:vAlign w:val="bottom"/>
            <w:hideMark/>
          </w:tcPr>
          <w:p w14:paraId="74AEEF3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sirolimus</w:t>
            </w:r>
          </w:p>
        </w:tc>
        <w:tc>
          <w:tcPr>
            <w:tcW w:w="1332" w:type="dxa"/>
            <w:tcBorders>
              <w:top w:val="nil"/>
              <w:left w:val="nil"/>
              <w:bottom w:val="nil"/>
              <w:right w:val="nil"/>
            </w:tcBorders>
            <w:shd w:val="clear" w:color="auto" w:fill="auto"/>
            <w:noWrap/>
            <w:vAlign w:val="bottom"/>
            <w:hideMark/>
          </w:tcPr>
          <w:p w14:paraId="761CD8A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4BAFF18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CBF1B47" w14:textId="77777777" w:rsidTr="001E04CC">
        <w:trPr>
          <w:trHeight w:val="20"/>
        </w:trPr>
        <w:tc>
          <w:tcPr>
            <w:tcW w:w="2430" w:type="dxa"/>
            <w:tcBorders>
              <w:top w:val="nil"/>
              <w:left w:val="nil"/>
              <w:bottom w:val="nil"/>
              <w:right w:val="nil"/>
            </w:tcBorders>
            <w:shd w:val="clear" w:color="auto" w:fill="auto"/>
            <w:noWrap/>
            <w:vAlign w:val="bottom"/>
            <w:hideMark/>
          </w:tcPr>
          <w:p w14:paraId="29B68F0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Soltamox</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5B9A796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5031420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B862CBD" w14:textId="77777777" w:rsidTr="001E04CC">
        <w:trPr>
          <w:trHeight w:val="20"/>
        </w:trPr>
        <w:tc>
          <w:tcPr>
            <w:tcW w:w="2430" w:type="dxa"/>
            <w:tcBorders>
              <w:top w:val="nil"/>
              <w:left w:val="nil"/>
              <w:bottom w:val="nil"/>
              <w:right w:val="nil"/>
            </w:tcBorders>
            <w:shd w:val="clear" w:color="auto" w:fill="auto"/>
            <w:noWrap/>
            <w:vAlign w:val="bottom"/>
            <w:hideMark/>
          </w:tcPr>
          <w:p w14:paraId="1A863BA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spironolactone</w:t>
            </w:r>
          </w:p>
        </w:tc>
        <w:tc>
          <w:tcPr>
            <w:tcW w:w="1332" w:type="dxa"/>
            <w:tcBorders>
              <w:top w:val="nil"/>
              <w:left w:val="nil"/>
              <w:bottom w:val="nil"/>
              <w:right w:val="nil"/>
            </w:tcBorders>
            <w:shd w:val="clear" w:color="auto" w:fill="auto"/>
            <w:noWrap/>
            <w:vAlign w:val="bottom"/>
            <w:hideMark/>
          </w:tcPr>
          <w:p w14:paraId="2AAA31E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E486C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CB41F27" w14:textId="77777777" w:rsidTr="001E04CC">
        <w:trPr>
          <w:trHeight w:val="20"/>
        </w:trPr>
        <w:tc>
          <w:tcPr>
            <w:tcW w:w="2430" w:type="dxa"/>
            <w:tcBorders>
              <w:top w:val="nil"/>
              <w:left w:val="nil"/>
              <w:bottom w:val="nil"/>
              <w:right w:val="nil"/>
            </w:tcBorders>
            <w:shd w:val="clear" w:color="auto" w:fill="auto"/>
            <w:noWrap/>
            <w:vAlign w:val="bottom"/>
            <w:hideMark/>
          </w:tcPr>
          <w:p w14:paraId="056F1433" w14:textId="0760F873" w:rsidR="00434583" w:rsidRPr="001A20A2" w:rsidRDefault="00753C1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w:t>
            </w:r>
            <w:r w:rsidR="00434583" w:rsidRPr="001A20A2">
              <w:rPr>
                <w:rFonts w:ascii="Calibri" w:eastAsia="Times New Roman" w:hAnsi="Calibri" w:cs="Times New Roman"/>
                <w:color w:val="000000"/>
                <w:sz w:val="16"/>
                <w:szCs w:val="16"/>
              </w:rPr>
              <w:t>pironolactone</w:t>
            </w:r>
            <w:r>
              <w:rPr>
                <w:rFonts w:ascii="Calibri" w:eastAsia="Times New Roman" w:hAnsi="Calibri" w:cs="Times New Roman"/>
                <w:color w:val="000000"/>
                <w:sz w:val="16"/>
                <w:szCs w:val="16"/>
              </w:rPr>
              <w:t>/HCTZ</w:t>
            </w:r>
          </w:p>
        </w:tc>
        <w:tc>
          <w:tcPr>
            <w:tcW w:w="1332" w:type="dxa"/>
            <w:tcBorders>
              <w:top w:val="nil"/>
              <w:left w:val="nil"/>
              <w:bottom w:val="nil"/>
              <w:right w:val="nil"/>
            </w:tcBorders>
            <w:shd w:val="clear" w:color="auto" w:fill="auto"/>
            <w:noWrap/>
            <w:vAlign w:val="bottom"/>
            <w:hideMark/>
          </w:tcPr>
          <w:p w14:paraId="11668B3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5F7C10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3F5F1BE" w14:textId="77777777" w:rsidTr="001E04CC">
        <w:trPr>
          <w:trHeight w:val="20"/>
        </w:trPr>
        <w:tc>
          <w:tcPr>
            <w:tcW w:w="2430" w:type="dxa"/>
            <w:tcBorders>
              <w:top w:val="nil"/>
              <w:left w:val="nil"/>
              <w:bottom w:val="nil"/>
              <w:right w:val="nil"/>
            </w:tcBorders>
            <w:shd w:val="clear" w:color="auto" w:fill="auto"/>
            <w:noWrap/>
            <w:vAlign w:val="bottom"/>
            <w:hideMark/>
          </w:tcPr>
          <w:p w14:paraId="151BE23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Starlix</w:t>
            </w:r>
            <w:proofErr w:type="spellEnd"/>
          </w:p>
        </w:tc>
        <w:tc>
          <w:tcPr>
            <w:tcW w:w="1332" w:type="dxa"/>
            <w:tcBorders>
              <w:top w:val="nil"/>
              <w:left w:val="nil"/>
              <w:bottom w:val="nil"/>
              <w:right w:val="nil"/>
            </w:tcBorders>
            <w:shd w:val="clear" w:color="auto" w:fill="auto"/>
            <w:noWrap/>
            <w:vAlign w:val="bottom"/>
            <w:hideMark/>
          </w:tcPr>
          <w:p w14:paraId="69C19FDB" w14:textId="399F05CD"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441E92E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07B38D0" w14:textId="77777777" w:rsidTr="001E04CC">
        <w:trPr>
          <w:trHeight w:val="20"/>
        </w:trPr>
        <w:tc>
          <w:tcPr>
            <w:tcW w:w="2430" w:type="dxa"/>
            <w:tcBorders>
              <w:top w:val="nil"/>
              <w:left w:val="nil"/>
              <w:bottom w:val="nil"/>
              <w:right w:val="nil"/>
            </w:tcBorders>
            <w:shd w:val="clear" w:color="auto" w:fill="auto"/>
            <w:noWrap/>
            <w:vAlign w:val="bottom"/>
            <w:hideMark/>
          </w:tcPr>
          <w:p w14:paraId="6D47F9B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stavudine</w:t>
            </w:r>
          </w:p>
        </w:tc>
        <w:tc>
          <w:tcPr>
            <w:tcW w:w="1332" w:type="dxa"/>
            <w:tcBorders>
              <w:top w:val="nil"/>
              <w:left w:val="nil"/>
              <w:bottom w:val="nil"/>
              <w:right w:val="nil"/>
            </w:tcBorders>
            <w:shd w:val="clear" w:color="auto" w:fill="auto"/>
            <w:noWrap/>
            <w:vAlign w:val="bottom"/>
            <w:hideMark/>
          </w:tcPr>
          <w:p w14:paraId="7D43A65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7512EC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61EB610" w14:textId="77777777" w:rsidTr="001E04CC">
        <w:trPr>
          <w:trHeight w:val="20"/>
        </w:trPr>
        <w:tc>
          <w:tcPr>
            <w:tcW w:w="2430" w:type="dxa"/>
            <w:tcBorders>
              <w:top w:val="nil"/>
              <w:left w:val="nil"/>
              <w:bottom w:val="nil"/>
              <w:right w:val="nil"/>
            </w:tcBorders>
            <w:shd w:val="clear" w:color="auto" w:fill="auto"/>
            <w:noWrap/>
            <w:vAlign w:val="bottom"/>
            <w:hideMark/>
          </w:tcPr>
          <w:p w14:paraId="423F8530"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Stribild</w:t>
            </w:r>
            <w:proofErr w:type="spellEnd"/>
          </w:p>
        </w:tc>
        <w:tc>
          <w:tcPr>
            <w:tcW w:w="1332" w:type="dxa"/>
            <w:tcBorders>
              <w:top w:val="nil"/>
              <w:left w:val="nil"/>
              <w:bottom w:val="nil"/>
              <w:right w:val="nil"/>
            </w:tcBorders>
            <w:shd w:val="clear" w:color="auto" w:fill="auto"/>
            <w:noWrap/>
            <w:vAlign w:val="bottom"/>
            <w:hideMark/>
          </w:tcPr>
          <w:p w14:paraId="19E5659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1076516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122E556" w14:textId="77777777" w:rsidTr="001E04CC">
        <w:trPr>
          <w:trHeight w:val="20"/>
        </w:trPr>
        <w:tc>
          <w:tcPr>
            <w:tcW w:w="2430" w:type="dxa"/>
            <w:tcBorders>
              <w:top w:val="nil"/>
              <w:left w:val="nil"/>
              <w:bottom w:val="nil"/>
              <w:right w:val="nil"/>
            </w:tcBorders>
            <w:shd w:val="clear" w:color="auto" w:fill="auto"/>
            <w:noWrap/>
            <w:vAlign w:val="bottom"/>
            <w:hideMark/>
          </w:tcPr>
          <w:p w14:paraId="033B5A2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Sular</w:t>
            </w:r>
            <w:proofErr w:type="spellEnd"/>
          </w:p>
        </w:tc>
        <w:tc>
          <w:tcPr>
            <w:tcW w:w="1332" w:type="dxa"/>
            <w:tcBorders>
              <w:top w:val="nil"/>
              <w:left w:val="nil"/>
              <w:bottom w:val="nil"/>
              <w:right w:val="nil"/>
            </w:tcBorders>
            <w:shd w:val="clear" w:color="auto" w:fill="auto"/>
            <w:noWrap/>
            <w:vAlign w:val="bottom"/>
            <w:hideMark/>
          </w:tcPr>
          <w:p w14:paraId="16FD876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740EF2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D36EC14" w14:textId="77777777" w:rsidTr="001E04CC">
        <w:trPr>
          <w:trHeight w:val="20"/>
        </w:trPr>
        <w:tc>
          <w:tcPr>
            <w:tcW w:w="2430" w:type="dxa"/>
            <w:tcBorders>
              <w:top w:val="nil"/>
              <w:left w:val="nil"/>
              <w:bottom w:val="nil"/>
              <w:right w:val="nil"/>
            </w:tcBorders>
            <w:shd w:val="clear" w:color="auto" w:fill="auto"/>
            <w:noWrap/>
            <w:vAlign w:val="bottom"/>
            <w:hideMark/>
          </w:tcPr>
          <w:p w14:paraId="22C4E2F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Sustiva</w:t>
            </w:r>
            <w:proofErr w:type="spellEnd"/>
          </w:p>
        </w:tc>
        <w:tc>
          <w:tcPr>
            <w:tcW w:w="1332" w:type="dxa"/>
            <w:tcBorders>
              <w:top w:val="nil"/>
              <w:left w:val="nil"/>
              <w:bottom w:val="nil"/>
              <w:right w:val="nil"/>
            </w:tcBorders>
            <w:shd w:val="clear" w:color="auto" w:fill="auto"/>
            <w:noWrap/>
            <w:vAlign w:val="bottom"/>
            <w:hideMark/>
          </w:tcPr>
          <w:p w14:paraId="7645007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502EC48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2A10EE2" w14:textId="77777777" w:rsidTr="001E04CC">
        <w:trPr>
          <w:trHeight w:val="20"/>
        </w:trPr>
        <w:tc>
          <w:tcPr>
            <w:tcW w:w="2430" w:type="dxa"/>
            <w:tcBorders>
              <w:top w:val="nil"/>
              <w:left w:val="nil"/>
              <w:bottom w:val="nil"/>
              <w:right w:val="nil"/>
            </w:tcBorders>
            <w:shd w:val="clear" w:color="auto" w:fill="auto"/>
            <w:noWrap/>
            <w:vAlign w:val="bottom"/>
            <w:hideMark/>
          </w:tcPr>
          <w:p w14:paraId="2F0B7E1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Symbicort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66F1862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5AB591A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90CD687" w14:textId="77777777" w:rsidTr="001E04CC">
        <w:trPr>
          <w:trHeight w:val="20"/>
        </w:trPr>
        <w:tc>
          <w:tcPr>
            <w:tcW w:w="2430" w:type="dxa"/>
            <w:tcBorders>
              <w:top w:val="nil"/>
              <w:left w:val="nil"/>
              <w:bottom w:val="nil"/>
              <w:right w:val="nil"/>
            </w:tcBorders>
            <w:shd w:val="clear" w:color="auto" w:fill="auto"/>
            <w:noWrap/>
            <w:vAlign w:val="bottom"/>
            <w:hideMark/>
          </w:tcPr>
          <w:p w14:paraId="77C4A07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SymlinPen</w:t>
            </w:r>
            <w:proofErr w:type="spellEnd"/>
          </w:p>
        </w:tc>
        <w:tc>
          <w:tcPr>
            <w:tcW w:w="1332" w:type="dxa"/>
            <w:tcBorders>
              <w:top w:val="nil"/>
              <w:left w:val="nil"/>
              <w:bottom w:val="nil"/>
              <w:right w:val="nil"/>
            </w:tcBorders>
            <w:shd w:val="clear" w:color="auto" w:fill="auto"/>
            <w:noWrap/>
            <w:vAlign w:val="bottom"/>
            <w:hideMark/>
          </w:tcPr>
          <w:p w14:paraId="4D4C96BA" w14:textId="52C592FB"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0E3F2F7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29F68DF" w14:textId="77777777" w:rsidTr="001E04CC">
        <w:trPr>
          <w:trHeight w:val="20"/>
        </w:trPr>
        <w:tc>
          <w:tcPr>
            <w:tcW w:w="2430" w:type="dxa"/>
            <w:tcBorders>
              <w:top w:val="nil"/>
              <w:left w:val="nil"/>
              <w:bottom w:val="nil"/>
              <w:right w:val="nil"/>
            </w:tcBorders>
            <w:shd w:val="clear" w:color="auto" w:fill="auto"/>
            <w:noWrap/>
            <w:vAlign w:val="bottom"/>
            <w:hideMark/>
          </w:tcPr>
          <w:p w14:paraId="6C8EBAE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tacrolimus</w:t>
            </w:r>
          </w:p>
        </w:tc>
        <w:tc>
          <w:tcPr>
            <w:tcW w:w="1332" w:type="dxa"/>
            <w:tcBorders>
              <w:top w:val="nil"/>
              <w:left w:val="nil"/>
              <w:bottom w:val="nil"/>
              <w:right w:val="nil"/>
            </w:tcBorders>
            <w:shd w:val="clear" w:color="auto" w:fill="auto"/>
            <w:noWrap/>
            <w:vAlign w:val="bottom"/>
            <w:hideMark/>
          </w:tcPr>
          <w:p w14:paraId="3AA5232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6C429D7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B8836D9" w14:textId="77777777" w:rsidTr="001E04CC">
        <w:trPr>
          <w:trHeight w:val="20"/>
        </w:trPr>
        <w:tc>
          <w:tcPr>
            <w:tcW w:w="2430" w:type="dxa"/>
            <w:tcBorders>
              <w:top w:val="nil"/>
              <w:left w:val="nil"/>
              <w:bottom w:val="nil"/>
              <w:right w:val="nil"/>
            </w:tcBorders>
            <w:shd w:val="clear" w:color="auto" w:fill="auto"/>
            <w:noWrap/>
            <w:vAlign w:val="bottom"/>
            <w:hideMark/>
          </w:tcPr>
          <w:p w14:paraId="4887050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tamoxifen</w:t>
            </w:r>
          </w:p>
        </w:tc>
        <w:tc>
          <w:tcPr>
            <w:tcW w:w="1332" w:type="dxa"/>
            <w:tcBorders>
              <w:top w:val="nil"/>
              <w:left w:val="nil"/>
              <w:bottom w:val="nil"/>
              <w:right w:val="nil"/>
            </w:tcBorders>
            <w:shd w:val="clear" w:color="auto" w:fill="auto"/>
            <w:noWrap/>
            <w:vAlign w:val="bottom"/>
            <w:hideMark/>
          </w:tcPr>
          <w:p w14:paraId="7ED9E65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Breast cancer</w:t>
            </w:r>
          </w:p>
        </w:tc>
        <w:tc>
          <w:tcPr>
            <w:tcW w:w="900" w:type="dxa"/>
            <w:tcBorders>
              <w:top w:val="nil"/>
              <w:left w:val="nil"/>
              <w:bottom w:val="nil"/>
              <w:right w:val="nil"/>
            </w:tcBorders>
            <w:shd w:val="clear" w:color="auto" w:fill="auto"/>
            <w:noWrap/>
            <w:vAlign w:val="bottom"/>
            <w:hideMark/>
          </w:tcPr>
          <w:p w14:paraId="0865916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940F886" w14:textId="77777777" w:rsidTr="001E04CC">
        <w:trPr>
          <w:trHeight w:val="20"/>
        </w:trPr>
        <w:tc>
          <w:tcPr>
            <w:tcW w:w="2430" w:type="dxa"/>
            <w:tcBorders>
              <w:top w:val="nil"/>
              <w:left w:val="nil"/>
              <w:bottom w:val="nil"/>
              <w:right w:val="nil"/>
            </w:tcBorders>
            <w:shd w:val="clear" w:color="auto" w:fill="auto"/>
            <w:noWrap/>
            <w:vAlign w:val="bottom"/>
            <w:hideMark/>
          </w:tcPr>
          <w:p w14:paraId="73ACE42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Tarka</w:t>
            </w:r>
            <w:proofErr w:type="spellEnd"/>
          </w:p>
        </w:tc>
        <w:tc>
          <w:tcPr>
            <w:tcW w:w="1332" w:type="dxa"/>
            <w:tcBorders>
              <w:top w:val="nil"/>
              <w:left w:val="nil"/>
              <w:bottom w:val="nil"/>
              <w:right w:val="nil"/>
            </w:tcBorders>
            <w:shd w:val="clear" w:color="auto" w:fill="auto"/>
            <w:noWrap/>
            <w:vAlign w:val="bottom"/>
            <w:hideMark/>
          </w:tcPr>
          <w:p w14:paraId="4ABA2E7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394A9B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27A5CA5" w14:textId="77777777" w:rsidTr="001E04CC">
        <w:trPr>
          <w:trHeight w:val="20"/>
        </w:trPr>
        <w:tc>
          <w:tcPr>
            <w:tcW w:w="2430" w:type="dxa"/>
            <w:tcBorders>
              <w:top w:val="nil"/>
              <w:left w:val="nil"/>
              <w:bottom w:val="nil"/>
              <w:right w:val="nil"/>
            </w:tcBorders>
            <w:shd w:val="clear" w:color="auto" w:fill="auto"/>
            <w:noWrap/>
            <w:vAlign w:val="bottom"/>
            <w:hideMark/>
          </w:tcPr>
          <w:p w14:paraId="2C8B1B5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Taztia</w:t>
            </w:r>
            <w:proofErr w:type="spellEnd"/>
            <w:r w:rsidRPr="001A20A2">
              <w:rPr>
                <w:rFonts w:ascii="Calibri" w:eastAsia="Times New Roman" w:hAnsi="Calibri" w:cs="Times New Roman"/>
                <w:color w:val="000000"/>
                <w:sz w:val="16"/>
                <w:szCs w:val="16"/>
              </w:rPr>
              <w:t xml:space="preserve"> XT</w:t>
            </w:r>
          </w:p>
        </w:tc>
        <w:tc>
          <w:tcPr>
            <w:tcW w:w="1332" w:type="dxa"/>
            <w:tcBorders>
              <w:top w:val="nil"/>
              <w:left w:val="nil"/>
              <w:bottom w:val="nil"/>
              <w:right w:val="nil"/>
            </w:tcBorders>
            <w:shd w:val="clear" w:color="auto" w:fill="auto"/>
            <w:noWrap/>
            <w:vAlign w:val="bottom"/>
            <w:hideMark/>
          </w:tcPr>
          <w:p w14:paraId="6FA50A0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97ED9E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4F3D9AF" w14:textId="77777777" w:rsidTr="001E04CC">
        <w:trPr>
          <w:trHeight w:val="20"/>
        </w:trPr>
        <w:tc>
          <w:tcPr>
            <w:tcW w:w="2430" w:type="dxa"/>
            <w:tcBorders>
              <w:top w:val="nil"/>
              <w:left w:val="nil"/>
              <w:bottom w:val="nil"/>
              <w:right w:val="nil"/>
            </w:tcBorders>
            <w:shd w:val="clear" w:color="auto" w:fill="auto"/>
            <w:noWrap/>
            <w:vAlign w:val="bottom"/>
            <w:hideMark/>
          </w:tcPr>
          <w:p w14:paraId="2B40E4B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Tecfidera</w:t>
            </w:r>
          </w:p>
        </w:tc>
        <w:tc>
          <w:tcPr>
            <w:tcW w:w="1332" w:type="dxa"/>
            <w:tcBorders>
              <w:top w:val="nil"/>
              <w:left w:val="nil"/>
              <w:bottom w:val="nil"/>
              <w:right w:val="nil"/>
            </w:tcBorders>
            <w:shd w:val="clear" w:color="auto" w:fill="auto"/>
            <w:noWrap/>
            <w:vAlign w:val="bottom"/>
            <w:hideMark/>
          </w:tcPr>
          <w:p w14:paraId="7393BC04" w14:textId="44551990"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CNS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MS</w:t>
            </w:r>
          </w:p>
        </w:tc>
        <w:tc>
          <w:tcPr>
            <w:tcW w:w="900" w:type="dxa"/>
            <w:tcBorders>
              <w:top w:val="nil"/>
              <w:left w:val="nil"/>
              <w:bottom w:val="nil"/>
              <w:right w:val="nil"/>
            </w:tcBorders>
            <w:shd w:val="clear" w:color="auto" w:fill="auto"/>
            <w:noWrap/>
            <w:vAlign w:val="bottom"/>
            <w:hideMark/>
          </w:tcPr>
          <w:p w14:paraId="05A0CD6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15C1B37" w14:textId="77777777" w:rsidTr="001E04CC">
        <w:trPr>
          <w:trHeight w:val="20"/>
        </w:trPr>
        <w:tc>
          <w:tcPr>
            <w:tcW w:w="2430" w:type="dxa"/>
            <w:tcBorders>
              <w:top w:val="nil"/>
              <w:left w:val="nil"/>
              <w:bottom w:val="nil"/>
              <w:right w:val="nil"/>
            </w:tcBorders>
            <w:shd w:val="clear" w:color="auto" w:fill="auto"/>
            <w:noWrap/>
            <w:vAlign w:val="bottom"/>
            <w:hideMark/>
          </w:tcPr>
          <w:p w14:paraId="19F2C11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Tekamlo</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0E5E01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DD2218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0705379" w14:textId="77777777" w:rsidTr="001E04CC">
        <w:trPr>
          <w:trHeight w:val="20"/>
        </w:trPr>
        <w:tc>
          <w:tcPr>
            <w:tcW w:w="2430" w:type="dxa"/>
            <w:tcBorders>
              <w:top w:val="nil"/>
              <w:left w:val="nil"/>
              <w:bottom w:val="nil"/>
              <w:right w:val="nil"/>
            </w:tcBorders>
            <w:shd w:val="clear" w:color="auto" w:fill="auto"/>
            <w:noWrap/>
            <w:vAlign w:val="bottom"/>
            <w:hideMark/>
          </w:tcPr>
          <w:p w14:paraId="258D068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Tekturna</w:t>
            </w:r>
            <w:proofErr w:type="spellEnd"/>
          </w:p>
        </w:tc>
        <w:tc>
          <w:tcPr>
            <w:tcW w:w="1332" w:type="dxa"/>
            <w:tcBorders>
              <w:top w:val="nil"/>
              <w:left w:val="nil"/>
              <w:bottom w:val="nil"/>
              <w:right w:val="nil"/>
            </w:tcBorders>
            <w:shd w:val="clear" w:color="auto" w:fill="auto"/>
            <w:noWrap/>
            <w:vAlign w:val="bottom"/>
            <w:hideMark/>
          </w:tcPr>
          <w:p w14:paraId="2E3FC14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EE5C98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BA0A51A" w14:textId="77777777" w:rsidTr="001E04CC">
        <w:trPr>
          <w:trHeight w:val="20"/>
        </w:trPr>
        <w:tc>
          <w:tcPr>
            <w:tcW w:w="2430" w:type="dxa"/>
            <w:tcBorders>
              <w:top w:val="nil"/>
              <w:left w:val="nil"/>
              <w:bottom w:val="nil"/>
              <w:right w:val="nil"/>
            </w:tcBorders>
            <w:shd w:val="clear" w:color="auto" w:fill="auto"/>
            <w:noWrap/>
            <w:vAlign w:val="bottom"/>
            <w:hideMark/>
          </w:tcPr>
          <w:p w14:paraId="603F1B3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Tekturna</w:t>
            </w:r>
            <w:proofErr w:type="spellEnd"/>
            <w:r w:rsidRPr="001A20A2">
              <w:rPr>
                <w:rFonts w:ascii="Calibri" w:eastAsia="Times New Roman" w:hAnsi="Calibri" w:cs="Times New Roman"/>
                <w:color w:val="000000"/>
                <w:sz w:val="16"/>
                <w:szCs w:val="16"/>
              </w:rPr>
              <w:t xml:space="preserve"> HCT</w:t>
            </w:r>
          </w:p>
        </w:tc>
        <w:tc>
          <w:tcPr>
            <w:tcW w:w="1332" w:type="dxa"/>
            <w:tcBorders>
              <w:top w:val="nil"/>
              <w:left w:val="nil"/>
              <w:bottom w:val="nil"/>
              <w:right w:val="nil"/>
            </w:tcBorders>
            <w:shd w:val="clear" w:color="auto" w:fill="auto"/>
            <w:noWrap/>
            <w:vAlign w:val="bottom"/>
            <w:hideMark/>
          </w:tcPr>
          <w:p w14:paraId="70046AD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483B41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13E7D01" w14:textId="77777777" w:rsidTr="001E04CC">
        <w:trPr>
          <w:trHeight w:val="20"/>
        </w:trPr>
        <w:tc>
          <w:tcPr>
            <w:tcW w:w="2430" w:type="dxa"/>
            <w:tcBorders>
              <w:top w:val="nil"/>
              <w:left w:val="nil"/>
              <w:bottom w:val="nil"/>
              <w:right w:val="nil"/>
            </w:tcBorders>
            <w:shd w:val="clear" w:color="auto" w:fill="auto"/>
            <w:noWrap/>
            <w:vAlign w:val="bottom"/>
            <w:hideMark/>
          </w:tcPr>
          <w:p w14:paraId="5CEAD30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telmisartan</w:t>
            </w:r>
          </w:p>
        </w:tc>
        <w:tc>
          <w:tcPr>
            <w:tcW w:w="1332" w:type="dxa"/>
            <w:tcBorders>
              <w:top w:val="nil"/>
              <w:left w:val="nil"/>
              <w:bottom w:val="nil"/>
              <w:right w:val="nil"/>
            </w:tcBorders>
            <w:shd w:val="clear" w:color="auto" w:fill="auto"/>
            <w:noWrap/>
            <w:vAlign w:val="bottom"/>
            <w:hideMark/>
          </w:tcPr>
          <w:p w14:paraId="37AF764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158A85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29836BD" w14:textId="77777777" w:rsidTr="001E04CC">
        <w:trPr>
          <w:trHeight w:val="20"/>
        </w:trPr>
        <w:tc>
          <w:tcPr>
            <w:tcW w:w="2430" w:type="dxa"/>
            <w:tcBorders>
              <w:top w:val="nil"/>
              <w:left w:val="nil"/>
              <w:bottom w:val="nil"/>
              <w:right w:val="nil"/>
            </w:tcBorders>
            <w:shd w:val="clear" w:color="auto" w:fill="auto"/>
            <w:noWrap/>
            <w:vAlign w:val="bottom"/>
            <w:hideMark/>
          </w:tcPr>
          <w:p w14:paraId="754E44B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telmisartan- hydrochlorothiazide</w:t>
            </w:r>
          </w:p>
        </w:tc>
        <w:tc>
          <w:tcPr>
            <w:tcW w:w="1332" w:type="dxa"/>
            <w:tcBorders>
              <w:top w:val="nil"/>
              <w:left w:val="nil"/>
              <w:bottom w:val="nil"/>
              <w:right w:val="nil"/>
            </w:tcBorders>
            <w:shd w:val="clear" w:color="auto" w:fill="auto"/>
            <w:noWrap/>
            <w:vAlign w:val="bottom"/>
            <w:hideMark/>
          </w:tcPr>
          <w:p w14:paraId="56AEE08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DE91A0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6A2808" w14:textId="77777777" w:rsidTr="001E04CC">
        <w:trPr>
          <w:trHeight w:val="20"/>
        </w:trPr>
        <w:tc>
          <w:tcPr>
            <w:tcW w:w="2430" w:type="dxa"/>
            <w:tcBorders>
              <w:top w:val="nil"/>
              <w:left w:val="nil"/>
              <w:bottom w:val="nil"/>
              <w:right w:val="nil"/>
            </w:tcBorders>
            <w:shd w:val="clear" w:color="auto" w:fill="auto"/>
            <w:noWrap/>
            <w:vAlign w:val="bottom"/>
            <w:hideMark/>
          </w:tcPr>
          <w:p w14:paraId="6478D357"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telmisartan-amlodipine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0A5092E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020DA7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78FFED5" w14:textId="77777777" w:rsidTr="001E04CC">
        <w:trPr>
          <w:trHeight w:val="20"/>
        </w:trPr>
        <w:tc>
          <w:tcPr>
            <w:tcW w:w="2430" w:type="dxa"/>
            <w:tcBorders>
              <w:top w:val="nil"/>
              <w:left w:val="nil"/>
              <w:bottom w:val="nil"/>
              <w:right w:val="nil"/>
            </w:tcBorders>
            <w:shd w:val="clear" w:color="auto" w:fill="auto"/>
            <w:noWrap/>
            <w:vAlign w:val="bottom"/>
            <w:hideMark/>
          </w:tcPr>
          <w:p w14:paraId="5E8E66B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Tenex</w:t>
            </w:r>
          </w:p>
        </w:tc>
        <w:tc>
          <w:tcPr>
            <w:tcW w:w="1332" w:type="dxa"/>
            <w:tcBorders>
              <w:top w:val="nil"/>
              <w:left w:val="nil"/>
              <w:bottom w:val="nil"/>
              <w:right w:val="nil"/>
            </w:tcBorders>
            <w:shd w:val="clear" w:color="auto" w:fill="auto"/>
            <w:noWrap/>
            <w:vAlign w:val="bottom"/>
            <w:hideMark/>
          </w:tcPr>
          <w:p w14:paraId="1808447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03760F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A70934B" w14:textId="77777777" w:rsidTr="001E04CC">
        <w:trPr>
          <w:trHeight w:val="20"/>
        </w:trPr>
        <w:tc>
          <w:tcPr>
            <w:tcW w:w="2430" w:type="dxa"/>
            <w:tcBorders>
              <w:top w:val="nil"/>
              <w:left w:val="nil"/>
              <w:bottom w:val="nil"/>
              <w:right w:val="nil"/>
            </w:tcBorders>
            <w:shd w:val="clear" w:color="auto" w:fill="auto"/>
            <w:noWrap/>
            <w:vAlign w:val="bottom"/>
            <w:hideMark/>
          </w:tcPr>
          <w:p w14:paraId="2A300B1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Tenoretic</w:t>
            </w:r>
            <w:proofErr w:type="spellEnd"/>
          </w:p>
        </w:tc>
        <w:tc>
          <w:tcPr>
            <w:tcW w:w="1332" w:type="dxa"/>
            <w:tcBorders>
              <w:top w:val="nil"/>
              <w:left w:val="nil"/>
              <w:bottom w:val="nil"/>
              <w:right w:val="nil"/>
            </w:tcBorders>
            <w:shd w:val="clear" w:color="auto" w:fill="auto"/>
            <w:noWrap/>
            <w:vAlign w:val="bottom"/>
            <w:hideMark/>
          </w:tcPr>
          <w:p w14:paraId="1025754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810E01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138073B" w14:textId="77777777" w:rsidTr="001E04CC">
        <w:trPr>
          <w:trHeight w:val="20"/>
        </w:trPr>
        <w:tc>
          <w:tcPr>
            <w:tcW w:w="2430" w:type="dxa"/>
            <w:tcBorders>
              <w:top w:val="nil"/>
              <w:left w:val="nil"/>
              <w:bottom w:val="nil"/>
              <w:right w:val="nil"/>
            </w:tcBorders>
            <w:shd w:val="clear" w:color="auto" w:fill="auto"/>
            <w:noWrap/>
            <w:vAlign w:val="bottom"/>
            <w:hideMark/>
          </w:tcPr>
          <w:p w14:paraId="1BCF50A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Tenormin</w:t>
            </w:r>
          </w:p>
        </w:tc>
        <w:tc>
          <w:tcPr>
            <w:tcW w:w="1332" w:type="dxa"/>
            <w:tcBorders>
              <w:top w:val="nil"/>
              <w:left w:val="nil"/>
              <w:bottom w:val="nil"/>
              <w:right w:val="nil"/>
            </w:tcBorders>
            <w:shd w:val="clear" w:color="auto" w:fill="auto"/>
            <w:noWrap/>
            <w:vAlign w:val="bottom"/>
            <w:hideMark/>
          </w:tcPr>
          <w:p w14:paraId="7B56F20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190206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266AF0D" w14:textId="77777777" w:rsidTr="001E04CC">
        <w:trPr>
          <w:trHeight w:val="20"/>
        </w:trPr>
        <w:tc>
          <w:tcPr>
            <w:tcW w:w="2430" w:type="dxa"/>
            <w:tcBorders>
              <w:top w:val="nil"/>
              <w:left w:val="nil"/>
              <w:bottom w:val="nil"/>
              <w:right w:val="nil"/>
            </w:tcBorders>
            <w:shd w:val="clear" w:color="auto" w:fill="auto"/>
            <w:noWrap/>
            <w:vAlign w:val="bottom"/>
            <w:hideMark/>
          </w:tcPr>
          <w:p w14:paraId="7D7A26E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terazosin</w:t>
            </w:r>
          </w:p>
        </w:tc>
        <w:tc>
          <w:tcPr>
            <w:tcW w:w="1332" w:type="dxa"/>
            <w:tcBorders>
              <w:top w:val="nil"/>
              <w:left w:val="nil"/>
              <w:bottom w:val="nil"/>
              <w:right w:val="nil"/>
            </w:tcBorders>
            <w:shd w:val="clear" w:color="auto" w:fill="auto"/>
            <w:noWrap/>
            <w:vAlign w:val="bottom"/>
            <w:hideMark/>
          </w:tcPr>
          <w:p w14:paraId="5233DFF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B23AB1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E83790B" w14:textId="77777777" w:rsidTr="001E04CC">
        <w:trPr>
          <w:trHeight w:val="20"/>
        </w:trPr>
        <w:tc>
          <w:tcPr>
            <w:tcW w:w="2430" w:type="dxa"/>
            <w:tcBorders>
              <w:top w:val="nil"/>
              <w:left w:val="nil"/>
              <w:bottom w:val="nil"/>
              <w:right w:val="nil"/>
            </w:tcBorders>
            <w:shd w:val="clear" w:color="auto" w:fill="auto"/>
            <w:noWrap/>
            <w:vAlign w:val="bottom"/>
            <w:hideMark/>
          </w:tcPr>
          <w:p w14:paraId="0856539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terbutaline</w:t>
            </w:r>
          </w:p>
        </w:tc>
        <w:tc>
          <w:tcPr>
            <w:tcW w:w="1332" w:type="dxa"/>
            <w:tcBorders>
              <w:top w:val="nil"/>
              <w:left w:val="nil"/>
              <w:bottom w:val="nil"/>
              <w:right w:val="nil"/>
            </w:tcBorders>
            <w:shd w:val="clear" w:color="auto" w:fill="auto"/>
            <w:noWrap/>
            <w:vAlign w:val="bottom"/>
            <w:hideMark/>
          </w:tcPr>
          <w:p w14:paraId="72D0FDA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56A0B66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5837E5" w14:textId="77777777" w:rsidTr="001E04CC">
        <w:trPr>
          <w:trHeight w:val="20"/>
        </w:trPr>
        <w:tc>
          <w:tcPr>
            <w:tcW w:w="2430" w:type="dxa"/>
            <w:tcBorders>
              <w:top w:val="nil"/>
              <w:left w:val="nil"/>
              <w:bottom w:val="nil"/>
              <w:right w:val="nil"/>
            </w:tcBorders>
            <w:shd w:val="clear" w:color="auto" w:fill="auto"/>
            <w:noWrap/>
            <w:vAlign w:val="bottom"/>
            <w:hideMark/>
          </w:tcPr>
          <w:p w14:paraId="44C78817" w14:textId="61E94E7F"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Teveten</w:t>
            </w:r>
            <w:proofErr w:type="spellEnd"/>
            <w:r w:rsidR="003B602E">
              <w:rPr>
                <w:rFonts w:ascii="Calibri" w:eastAsia="Times New Roman" w:hAnsi="Calibri" w:cs="Times New Roman"/>
                <w:color w:val="000000"/>
                <w:sz w:val="16"/>
                <w:szCs w:val="16"/>
              </w:rPr>
              <w:t xml:space="preserve">  </w:t>
            </w:r>
          </w:p>
        </w:tc>
        <w:tc>
          <w:tcPr>
            <w:tcW w:w="1332" w:type="dxa"/>
            <w:tcBorders>
              <w:top w:val="nil"/>
              <w:left w:val="nil"/>
              <w:bottom w:val="nil"/>
              <w:right w:val="nil"/>
            </w:tcBorders>
            <w:shd w:val="clear" w:color="auto" w:fill="auto"/>
            <w:noWrap/>
            <w:vAlign w:val="bottom"/>
            <w:hideMark/>
          </w:tcPr>
          <w:p w14:paraId="35BCC62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60B94C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717665A" w14:textId="77777777" w:rsidTr="001E04CC">
        <w:trPr>
          <w:trHeight w:val="20"/>
        </w:trPr>
        <w:tc>
          <w:tcPr>
            <w:tcW w:w="2430" w:type="dxa"/>
            <w:tcBorders>
              <w:top w:val="nil"/>
              <w:left w:val="nil"/>
              <w:bottom w:val="nil"/>
              <w:right w:val="nil"/>
            </w:tcBorders>
            <w:shd w:val="clear" w:color="auto" w:fill="auto"/>
            <w:noWrap/>
            <w:vAlign w:val="bottom"/>
            <w:hideMark/>
          </w:tcPr>
          <w:p w14:paraId="4465013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Teveten</w:t>
            </w:r>
            <w:proofErr w:type="spellEnd"/>
            <w:r w:rsidRPr="001A20A2">
              <w:rPr>
                <w:rFonts w:ascii="Calibri" w:eastAsia="Times New Roman" w:hAnsi="Calibri" w:cs="Times New Roman"/>
                <w:color w:val="000000"/>
                <w:sz w:val="16"/>
                <w:szCs w:val="16"/>
              </w:rPr>
              <w:t xml:space="preserve"> HCT</w:t>
            </w:r>
          </w:p>
        </w:tc>
        <w:tc>
          <w:tcPr>
            <w:tcW w:w="1332" w:type="dxa"/>
            <w:tcBorders>
              <w:top w:val="nil"/>
              <w:left w:val="nil"/>
              <w:bottom w:val="nil"/>
              <w:right w:val="nil"/>
            </w:tcBorders>
            <w:shd w:val="clear" w:color="auto" w:fill="auto"/>
            <w:noWrap/>
            <w:vAlign w:val="bottom"/>
            <w:hideMark/>
          </w:tcPr>
          <w:p w14:paraId="71ED721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D3E38D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2CA96E" w14:textId="77777777" w:rsidTr="001E04CC">
        <w:trPr>
          <w:trHeight w:val="20"/>
        </w:trPr>
        <w:tc>
          <w:tcPr>
            <w:tcW w:w="2430" w:type="dxa"/>
            <w:tcBorders>
              <w:top w:val="nil"/>
              <w:left w:val="nil"/>
              <w:bottom w:val="nil"/>
              <w:right w:val="nil"/>
            </w:tcBorders>
            <w:shd w:val="clear" w:color="auto" w:fill="auto"/>
            <w:noWrap/>
            <w:vAlign w:val="bottom"/>
            <w:hideMark/>
          </w:tcPr>
          <w:p w14:paraId="77BE40C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Thalitone</w:t>
            </w:r>
            <w:proofErr w:type="spellEnd"/>
          </w:p>
        </w:tc>
        <w:tc>
          <w:tcPr>
            <w:tcW w:w="1332" w:type="dxa"/>
            <w:tcBorders>
              <w:top w:val="nil"/>
              <w:left w:val="nil"/>
              <w:bottom w:val="nil"/>
              <w:right w:val="nil"/>
            </w:tcBorders>
            <w:shd w:val="clear" w:color="auto" w:fill="auto"/>
            <w:noWrap/>
            <w:vAlign w:val="bottom"/>
            <w:hideMark/>
          </w:tcPr>
          <w:p w14:paraId="58C88B2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08E53A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F45C23C" w14:textId="77777777" w:rsidTr="001E04CC">
        <w:trPr>
          <w:trHeight w:val="20"/>
        </w:trPr>
        <w:tc>
          <w:tcPr>
            <w:tcW w:w="2430" w:type="dxa"/>
            <w:tcBorders>
              <w:top w:val="nil"/>
              <w:left w:val="nil"/>
              <w:bottom w:val="nil"/>
              <w:right w:val="nil"/>
            </w:tcBorders>
            <w:shd w:val="clear" w:color="auto" w:fill="auto"/>
            <w:noWrap/>
            <w:vAlign w:val="bottom"/>
            <w:hideMark/>
          </w:tcPr>
          <w:p w14:paraId="3F6CA06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Theo-24</w:t>
            </w:r>
          </w:p>
        </w:tc>
        <w:tc>
          <w:tcPr>
            <w:tcW w:w="1332" w:type="dxa"/>
            <w:tcBorders>
              <w:top w:val="nil"/>
              <w:left w:val="nil"/>
              <w:bottom w:val="nil"/>
              <w:right w:val="nil"/>
            </w:tcBorders>
            <w:shd w:val="clear" w:color="auto" w:fill="auto"/>
            <w:noWrap/>
            <w:vAlign w:val="bottom"/>
            <w:hideMark/>
          </w:tcPr>
          <w:p w14:paraId="455349A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73DF75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173154C" w14:textId="77777777" w:rsidTr="001E04CC">
        <w:trPr>
          <w:trHeight w:val="20"/>
        </w:trPr>
        <w:tc>
          <w:tcPr>
            <w:tcW w:w="2430" w:type="dxa"/>
            <w:tcBorders>
              <w:top w:val="nil"/>
              <w:left w:val="nil"/>
              <w:bottom w:val="nil"/>
              <w:right w:val="nil"/>
            </w:tcBorders>
            <w:shd w:val="clear" w:color="auto" w:fill="auto"/>
            <w:noWrap/>
            <w:vAlign w:val="bottom"/>
            <w:hideMark/>
          </w:tcPr>
          <w:p w14:paraId="0239292E"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Theochron</w:t>
            </w:r>
            <w:proofErr w:type="spellEnd"/>
          </w:p>
        </w:tc>
        <w:tc>
          <w:tcPr>
            <w:tcW w:w="1332" w:type="dxa"/>
            <w:tcBorders>
              <w:top w:val="nil"/>
              <w:left w:val="nil"/>
              <w:bottom w:val="nil"/>
              <w:right w:val="nil"/>
            </w:tcBorders>
            <w:shd w:val="clear" w:color="auto" w:fill="auto"/>
            <w:noWrap/>
            <w:vAlign w:val="bottom"/>
            <w:hideMark/>
          </w:tcPr>
          <w:p w14:paraId="65ED71B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1309FE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326B095" w14:textId="77777777" w:rsidTr="001E04CC">
        <w:trPr>
          <w:trHeight w:val="20"/>
        </w:trPr>
        <w:tc>
          <w:tcPr>
            <w:tcW w:w="2430" w:type="dxa"/>
            <w:tcBorders>
              <w:top w:val="nil"/>
              <w:left w:val="nil"/>
              <w:bottom w:val="nil"/>
              <w:right w:val="nil"/>
            </w:tcBorders>
            <w:shd w:val="clear" w:color="auto" w:fill="auto"/>
            <w:noWrap/>
            <w:vAlign w:val="bottom"/>
            <w:hideMark/>
          </w:tcPr>
          <w:p w14:paraId="5704B6C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theophylline</w:t>
            </w:r>
          </w:p>
        </w:tc>
        <w:tc>
          <w:tcPr>
            <w:tcW w:w="1332" w:type="dxa"/>
            <w:tcBorders>
              <w:top w:val="nil"/>
              <w:left w:val="nil"/>
              <w:bottom w:val="nil"/>
              <w:right w:val="nil"/>
            </w:tcBorders>
            <w:shd w:val="clear" w:color="auto" w:fill="auto"/>
            <w:noWrap/>
            <w:vAlign w:val="bottom"/>
            <w:hideMark/>
          </w:tcPr>
          <w:p w14:paraId="6AE617D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82E4C0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7179586" w14:textId="77777777" w:rsidTr="001E04CC">
        <w:trPr>
          <w:trHeight w:val="20"/>
        </w:trPr>
        <w:tc>
          <w:tcPr>
            <w:tcW w:w="2430" w:type="dxa"/>
            <w:tcBorders>
              <w:top w:val="nil"/>
              <w:left w:val="nil"/>
              <w:bottom w:val="nil"/>
              <w:right w:val="nil"/>
            </w:tcBorders>
            <w:shd w:val="clear" w:color="auto" w:fill="auto"/>
            <w:noWrap/>
            <w:vAlign w:val="bottom"/>
            <w:hideMark/>
          </w:tcPr>
          <w:p w14:paraId="3E51256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theophylline/guaifenesin</w:t>
            </w:r>
          </w:p>
        </w:tc>
        <w:tc>
          <w:tcPr>
            <w:tcW w:w="1332" w:type="dxa"/>
            <w:tcBorders>
              <w:top w:val="nil"/>
              <w:left w:val="nil"/>
              <w:bottom w:val="nil"/>
              <w:right w:val="nil"/>
            </w:tcBorders>
            <w:shd w:val="clear" w:color="auto" w:fill="auto"/>
            <w:noWrap/>
            <w:vAlign w:val="bottom"/>
            <w:hideMark/>
          </w:tcPr>
          <w:p w14:paraId="4A1417F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FE81FC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D335A6A" w14:textId="77777777" w:rsidTr="001E04CC">
        <w:trPr>
          <w:trHeight w:val="20"/>
        </w:trPr>
        <w:tc>
          <w:tcPr>
            <w:tcW w:w="2430" w:type="dxa"/>
            <w:tcBorders>
              <w:top w:val="nil"/>
              <w:left w:val="nil"/>
              <w:bottom w:val="nil"/>
              <w:right w:val="nil"/>
            </w:tcBorders>
            <w:shd w:val="clear" w:color="auto" w:fill="auto"/>
            <w:noWrap/>
            <w:vAlign w:val="bottom"/>
            <w:hideMark/>
          </w:tcPr>
          <w:p w14:paraId="2ECFD7C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thioridazine</w:t>
            </w:r>
          </w:p>
        </w:tc>
        <w:tc>
          <w:tcPr>
            <w:tcW w:w="1332" w:type="dxa"/>
            <w:tcBorders>
              <w:top w:val="nil"/>
              <w:left w:val="nil"/>
              <w:bottom w:val="nil"/>
              <w:right w:val="nil"/>
            </w:tcBorders>
            <w:shd w:val="clear" w:color="auto" w:fill="auto"/>
            <w:noWrap/>
            <w:vAlign w:val="bottom"/>
            <w:hideMark/>
          </w:tcPr>
          <w:p w14:paraId="7695933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633D2EA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660A6C4" w14:textId="77777777" w:rsidTr="001E04CC">
        <w:trPr>
          <w:trHeight w:val="20"/>
        </w:trPr>
        <w:tc>
          <w:tcPr>
            <w:tcW w:w="2430" w:type="dxa"/>
            <w:tcBorders>
              <w:top w:val="nil"/>
              <w:left w:val="nil"/>
              <w:bottom w:val="nil"/>
              <w:right w:val="nil"/>
            </w:tcBorders>
            <w:shd w:val="clear" w:color="auto" w:fill="auto"/>
            <w:noWrap/>
            <w:vAlign w:val="bottom"/>
            <w:hideMark/>
          </w:tcPr>
          <w:p w14:paraId="7620729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thiothixene</w:t>
            </w:r>
          </w:p>
        </w:tc>
        <w:tc>
          <w:tcPr>
            <w:tcW w:w="1332" w:type="dxa"/>
            <w:tcBorders>
              <w:top w:val="nil"/>
              <w:left w:val="nil"/>
              <w:bottom w:val="nil"/>
              <w:right w:val="nil"/>
            </w:tcBorders>
            <w:shd w:val="clear" w:color="auto" w:fill="auto"/>
            <w:noWrap/>
            <w:vAlign w:val="bottom"/>
            <w:hideMark/>
          </w:tcPr>
          <w:p w14:paraId="55D9F6A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25D7799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90A753A" w14:textId="77777777" w:rsidTr="001E04CC">
        <w:trPr>
          <w:trHeight w:val="20"/>
        </w:trPr>
        <w:tc>
          <w:tcPr>
            <w:tcW w:w="2430" w:type="dxa"/>
            <w:tcBorders>
              <w:top w:val="nil"/>
              <w:left w:val="nil"/>
              <w:bottom w:val="nil"/>
              <w:right w:val="nil"/>
            </w:tcBorders>
            <w:shd w:val="clear" w:color="auto" w:fill="auto"/>
            <w:noWrap/>
            <w:vAlign w:val="bottom"/>
            <w:hideMark/>
          </w:tcPr>
          <w:p w14:paraId="54EA924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Tiazac</w:t>
            </w:r>
            <w:proofErr w:type="spellEnd"/>
          </w:p>
        </w:tc>
        <w:tc>
          <w:tcPr>
            <w:tcW w:w="1332" w:type="dxa"/>
            <w:tcBorders>
              <w:top w:val="nil"/>
              <w:left w:val="nil"/>
              <w:bottom w:val="nil"/>
              <w:right w:val="nil"/>
            </w:tcBorders>
            <w:shd w:val="clear" w:color="auto" w:fill="auto"/>
            <w:noWrap/>
            <w:vAlign w:val="bottom"/>
            <w:hideMark/>
          </w:tcPr>
          <w:p w14:paraId="45FAAF4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3D22BF1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2CF62AA" w14:textId="77777777" w:rsidTr="001E04CC">
        <w:trPr>
          <w:trHeight w:val="20"/>
        </w:trPr>
        <w:tc>
          <w:tcPr>
            <w:tcW w:w="2430" w:type="dxa"/>
            <w:tcBorders>
              <w:top w:val="nil"/>
              <w:left w:val="nil"/>
              <w:bottom w:val="nil"/>
              <w:right w:val="nil"/>
            </w:tcBorders>
            <w:shd w:val="clear" w:color="auto" w:fill="auto"/>
            <w:noWrap/>
            <w:vAlign w:val="bottom"/>
            <w:hideMark/>
          </w:tcPr>
          <w:p w14:paraId="21402D0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ticlopidine</w:t>
            </w:r>
          </w:p>
        </w:tc>
        <w:tc>
          <w:tcPr>
            <w:tcW w:w="1332" w:type="dxa"/>
            <w:tcBorders>
              <w:top w:val="nil"/>
              <w:left w:val="nil"/>
              <w:bottom w:val="nil"/>
              <w:right w:val="nil"/>
            </w:tcBorders>
            <w:shd w:val="clear" w:color="auto" w:fill="auto"/>
            <w:noWrap/>
            <w:vAlign w:val="bottom"/>
            <w:hideMark/>
          </w:tcPr>
          <w:p w14:paraId="360C423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0F559F5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1835EB0" w14:textId="77777777" w:rsidTr="001E04CC">
        <w:trPr>
          <w:trHeight w:val="20"/>
        </w:trPr>
        <w:tc>
          <w:tcPr>
            <w:tcW w:w="2430" w:type="dxa"/>
            <w:tcBorders>
              <w:top w:val="nil"/>
              <w:left w:val="nil"/>
              <w:bottom w:val="nil"/>
              <w:right w:val="nil"/>
            </w:tcBorders>
            <w:shd w:val="clear" w:color="auto" w:fill="auto"/>
            <w:noWrap/>
            <w:vAlign w:val="bottom"/>
            <w:hideMark/>
          </w:tcPr>
          <w:p w14:paraId="4908F03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timolol</w:t>
            </w:r>
          </w:p>
        </w:tc>
        <w:tc>
          <w:tcPr>
            <w:tcW w:w="1332" w:type="dxa"/>
            <w:tcBorders>
              <w:top w:val="nil"/>
              <w:left w:val="nil"/>
              <w:bottom w:val="nil"/>
              <w:right w:val="nil"/>
            </w:tcBorders>
            <w:shd w:val="clear" w:color="auto" w:fill="auto"/>
            <w:noWrap/>
            <w:vAlign w:val="bottom"/>
            <w:hideMark/>
          </w:tcPr>
          <w:p w14:paraId="76F473B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B08892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9A28644" w14:textId="77777777" w:rsidTr="001E04CC">
        <w:trPr>
          <w:trHeight w:val="20"/>
        </w:trPr>
        <w:tc>
          <w:tcPr>
            <w:tcW w:w="2430" w:type="dxa"/>
            <w:tcBorders>
              <w:top w:val="nil"/>
              <w:left w:val="nil"/>
              <w:bottom w:val="nil"/>
              <w:right w:val="nil"/>
            </w:tcBorders>
            <w:shd w:val="clear" w:color="auto" w:fill="auto"/>
            <w:noWrap/>
            <w:vAlign w:val="bottom"/>
            <w:hideMark/>
          </w:tcPr>
          <w:p w14:paraId="17D4498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Tivicay</w:t>
            </w:r>
            <w:proofErr w:type="spellEnd"/>
          </w:p>
        </w:tc>
        <w:tc>
          <w:tcPr>
            <w:tcW w:w="1332" w:type="dxa"/>
            <w:tcBorders>
              <w:top w:val="nil"/>
              <w:left w:val="nil"/>
              <w:bottom w:val="nil"/>
              <w:right w:val="nil"/>
            </w:tcBorders>
            <w:shd w:val="clear" w:color="auto" w:fill="auto"/>
            <w:noWrap/>
            <w:vAlign w:val="bottom"/>
            <w:hideMark/>
          </w:tcPr>
          <w:p w14:paraId="46156D6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3F11D19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053AD393" w14:textId="77777777" w:rsidTr="001E04CC">
        <w:trPr>
          <w:trHeight w:val="20"/>
        </w:trPr>
        <w:tc>
          <w:tcPr>
            <w:tcW w:w="2430" w:type="dxa"/>
            <w:tcBorders>
              <w:top w:val="nil"/>
              <w:left w:val="nil"/>
              <w:bottom w:val="nil"/>
              <w:right w:val="nil"/>
            </w:tcBorders>
            <w:shd w:val="clear" w:color="auto" w:fill="auto"/>
            <w:noWrap/>
            <w:vAlign w:val="bottom"/>
            <w:hideMark/>
          </w:tcPr>
          <w:p w14:paraId="5B05B49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tolbutamide</w:t>
            </w:r>
          </w:p>
        </w:tc>
        <w:tc>
          <w:tcPr>
            <w:tcW w:w="1332" w:type="dxa"/>
            <w:tcBorders>
              <w:top w:val="nil"/>
              <w:left w:val="nil"/>
              <w:bottom w:val="nil"/>
              <w:right w:val="nil"/>
            </w:tcBorders>
            <w:shd w:val="clear" w:color="auto" w:fill="auto"/>
            <w:noWrap/>
            <w:vAlign w:val="bottom"/>
            <w:hideMark/>
          </w:tcPr>
          <w:p w14:paraId="04ED2507" w14:textId="360896F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8B224C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39C68E3" w14:textId="77777777" w:rsidTr="001E04CC">
        <w:trPr>
          <w:trHeight w:val="20"/>
        </w:trPr>
        <w:tc>
          <w:tcPr>
            <w:tcW w:w="2430" w:type="dxa"/>
            <w:tcBorders>
              <w:top w:val="nil"/>
              <w:left w:val="nil"/>
              <w:bottom w:val="nil"/>
              <w:right w:val="nil"/>
            </w:tcBorders>
            <w:shd w:val="clear" w:color="auto" w:fill="auto"/>
            <w:noWrap/>
            <w:vAlign w:val="bottom"/>
            <w:hideMark/>
          </w:tcPr>
          <w:p w14:paraId="3CD34E9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Toprol XL</w:t>
            </w:r>
          </w:p>
        </w:tc>
        <w:tc>
          <w:tcPr>
            <w:tcW w:w="1332" w:type="dxa"/>
            <w:tcBorders>
              <w:top w:val="nil"/>
              <w:left w:val="nil"/>
              <w:bottom w:val="nil"/>
              <w:right w:val="nil"/>
            </w:tcBorders>
            <w:shd w:val="clear" w:color="auto" w:fill="auto"/>
            <w:noWrap/>
            <w:vAlign w:val="bottom"/>
            <w:hideMark/>
          </w:tcPr>
          <w:p w14:paraId="117C07A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E3E35A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141EA7F" w14:textId="77777777" w:rsidTr="001E04CC">
        <w:trPr>
          <w:trHeight w:val="20"/>
        </w:trPr>
        <w:tc>
          <w:tcPr>
            <w:tcW w:w="2430" w:type="dxa"/>
            <w:tcBorders>
              <w:top w:val="nil"/>
              <w:left w:val="nil"/>
              <w:bottom w:val="nil"/>
              <w:right w:val="nil"/>
            </w:tcBorders>
            <w:shd w:val="clear" w:color="auto" w:fill="auto"/>
            <w:noWrap/>
            <w:vAlign w:val="bottom"/>
            <w:hideMark/>
          </w:tcPr>
          <w:p w14:paraId="7270888E"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torsemide</w:t>
            </w:r>
          </w:p>
        </w:tc>
        <w:tc>
          <w:tcPr>
            <w:tcW w:w="1332" w:type="dxa"/>
            <w:tcBorders>
              <w:top w:val="nil"/>
              <w:left w:val="nil"/>
              <w:bottom w:val="nil"/>
              <w:right w:val="nil"/>
            </w:tcBorders>
            <w:shd w:val="clear" w:color="auto" w:fill="auto"/>
            <w:noWrap/>
            <w:vAlign w:val="bottom"/>
            <w:hideMark/>
          </w:tcPr>
          <w:p w14:paraId="6233A35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20E7F9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696FC3E" w14:textId="77777777" w:rsidTr="001E04CC">
        <w:trPr>
          <w:trHeight w:val="20"/>
        </w:trPr>
        <w:tc>
          <w:tcPr>
            <w:tcW w:w="2430" w:type="dxa"/>
            <w:tcBorders>
              <w:top w:val="nil"/>
              <w:left w:val="nil"/>
              <w:bottom w:val="nil"/>
              <w:right w:val="nil"/>
            </w:tcBorders>
            <w:shd w:val="clear" w:color="auto" w:fill="auto"/>
            <w:noWrap/>
            <w:vAlign w:val="bottom"/>
            <w:hideMark/>
          </w:tcPr>
          <w:p w14:paraId="48CDE2C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Tradjenta</w:t>
            </w:r>
            <w:proofErr w:type="spellEnd"/>
          </w:p>
        </w:tc>
        <w:tc>
          <w:tcPr>
            <w:tcW w:w="1332" w:type="dxa"/>
            <w:tcBorders>
              <w:top w:val="nil"/>
              <w:left w:val="nil"/>
              <w:bottom w:val="nil"/>
              <w:right w:val="nil"/>
            </w:tcBorders>
            <w:shd w:val="clear" w:color="auto" w:fill="auto"/>
            <w:noWrap/>
            <w:vAlign w:val="bottom"/>
            <w:hideMark/>
          </w:tcPr>
          <w:p w14:paraId="1D81C190" w14:textId="10DA3E18"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15EB7FE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2333825" w14:textId="77777777" w:rsidTr="001E04CC">
        <w:trPr>
          <w:trHeight w:val="20"/>
        </w:trPr>
        <w:tc>
          <w:tcPr>
            <w:tcW w:w="2430" w:type="dxa"/>
            <w:tcBorders>
              <w:top w:val="nil"/>
              <w:left w:val="nil"/>
              <w:bottom w:val="nil"/>
              <w:right w:val="nil"/>
            </w:tcBorders>
            <w:shd w:val="clear" w:color="auto" w:fill="auto"/>
            <w:noWrap/>
            <w:vAlign w:val="bottom"/>
            <w:hideMark/>
          </w:tcPr>
          <w:p w14:paraId="69578DE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Trandate</w:t>
            </w:r>
            <w:proofErr w:type="spellEnd"/>
          </w:p>
        </w:tc>
        <w:tc>
          <w:tcPr>
            <w:tcW w:w="1332" w:type="dxa"/>
            <w:tcBorders>
              <w:top w:val="nil"/>
              <w:left w:val="nil"/>
              <w:bottom w:val="nil"/>
              <w:right w:val="nil"/>
            </w:tcBorders>
            <w:shd w:val="clear" w:color="auto" w:fill="auto"/>
            <w:noWrap/>
            <w:vAlign w:val="bottom"/>
            <w:hideMark/>
          </w:tcPr>
          <w:p w14:paraId="5EEB6CF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8BF693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0E95F26" w14:textId="77777777" w:rsidTr="001E04CC">
        <w:trPr>
          <w:trHeight w:val="20"/>
        </w:trPr>
        <w:tc>
          <w:tcPr>
            <w:tcW w:w="2430" w:type="dxa"/>
            <w:tcBorders>
              <w:top w:val="nil"/>
              <w:left w:val="nil"/>
              <w:bottom w:val="nil"/>
              <w:right w:val="nil"/>
            </w:tcBorders>
            <w:shd w:val="clear" w:color="auto" w:fill="auto"/>
            <w:noWrap/>
            <w:vAlign w:val="bottom"/>
            <w:hideMark/>
          </w:tcPr>
          <w:p w14:paraId="71FDB7E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trandolapril</w:t>
            </w:r>
          </w:p>
        </w:tc>
        <w:tc>
          <w:tcPr>
            <w:tcW w:w="1332" w:type="dxa"/>
            <w:tcBorders>
              <w:top w:val="nil"/>
              <w:left w:val="nil"/>
              <w:bottom w:val="nil"/>
              <w:right w:val="nil"/>
            </w:tcBorders>
            <w:shd w:val="clear" w:color="auto" w:fill="auto"/>
            <w:noWrap/>
            <w:vAlign w:val="bottom"/>
            <w:hideMark/>
          </w:tcPr>
          <w:p w14:paraId="2D844E2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47B68A6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18DCFAA" w14:textId="77777777" w:rsidTr="001E04CC">
        <w:trPr>
          <w:trHeight w:val="20"/>
        </w:trPr>
        <w:tc>
          <w:tcPr>
            <w:tcW w:w="2430" w:type="dxa"/>
            <w:tcBorders>
              <w:top w:val="nil"/>
              <w:left w:val="nil"/>
              <w:bottom w:val="nil"/>
              <w:right w:val="nil"/>
            </w:tcBorders>
            <w:shd w:val="clear" w:color="auto" w:fill="auto"/>
            <w:noWrap/>
            <w:vAlign w:val="bottom"/>
            <w:hideMark/>
          </w:tcPr>
          <w:p w14:paraId="53F40FB1"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trandolapril-verapamil</w:t>
            </w:r>
          </w:p>
        </w:tc>
        <w:tc>
          <w:tcPr>
            <w:tcW w:w="1332" w:type="dxa"/>
            <w:tcBorders>
              <w:top w:val="nil"/>
              <w:left w:val="nil"/>
              <w:bottom w:val="nil"/>
              <w:right w:val="nil"/>
            </w:tcBorders>
            <w:shd w:val="clear" w:color="auto" w:fill="auto"/>
            <w:noWrap/>
            <w:vAlign w:val="bottom"/>
            <w:hideMark/>
          </w:tcPr>
          <w:p w14:paraId="550ADFC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D38A7E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7D5C0DD" w14:textId="77777777" w:rsidTr="001E04CC">
        <w:trPr>
          <w:trHeight w:val="20"/>
        </w:trPr>
        <w:tc>
          <w:tcPr>
            <w:tcW w:w="2430" w:type="dxa"/>
            <w:tcBorders>
              <w:top w:val="nil"/>
              <w:left w:val="nil"/>
              <w:bottom w:val="nil"/>
              <w:right w:val="nil"/>
            </w:tcBorders>
            <w:shd w:val="clear" w:color="auto" w:fill="auto"/>
            <w:noWrap/>
            <w:vAlign w:val="bottom"/>
            <w:hideMark/>
          </w:tcPr>
          <w:p w14:paraId="58646D92" w14:textId="75C944DA"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triamterene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w:t>
            </w:r>
            <w:r w:rsidR="00753C13">
              <w:rPr>
                <w:rFonts w:ascii="Calibri" w:eastAsia="Times New Roman" w:hAnsi="Calibri" w:cs="Times New Roman"/>
                <w:color w:val="000000"/>
                <w:sz w:val="16"/>
                <w:szCs w:val="16"/>
              </w:rPr>
              <w:t>HCTZ</w:t>
            </w:r>
          </w:p>
        </w:tc>
        <w:tc>
          <w:tcPr>
            <w:tcW w:w="1332" w:type="dxa"/>
            <w:tcBorders>
              <w:top w:val="nil"/>
              <w:left w:val="nil"/>
              <w:bottom w:val="nil"/>
              <w:right w:val="nil"/>
            </w:tcBorders>
            <w:shd w:val="clear" w:color="auto" w:fill="auto"/>
            <w:noWrap/>
            <w:vAlign w:val="bottom"/>
            <w:hideMark/>
          </w:tcPr>
          <w:p w14:paraId="1FCC587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D6A088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55D730D" w14:textId="77777777" w:rsidTr="001E04CC">
        <w:trPr>
          <w:trHeight w:val="20"/>
        </w:trPr>
        <w:tc>
          <w:tcPr>
            <w:tcW w:w="2430" w:type="dxa"/>
            <w:tcBorders>
              <w:top w:val="nil"/>
              <w:left w:val="nil"/>
              <w:bottom w:val="nil"/>
              <w:right w:val="nil"/>
            </w:tcBorders>
            <w:shd w:val="clear" w:color="auto" w:fill="auto"/>
            <w:noWrap/>
            <w:vAlign w:val="bottom"/>
            <w:hideMark/>
          </w:tcPr>
          <w:p w14:paraId="0E54C38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Tribenzor</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64DD61A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BF79D6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6D099415" w14:textId="77777777" w:rsidTr="001E04CC">
        <w:trPr>
          <w:trHeight w:val="20"/>
        </w:trPr>
        <w:tc>
          <w:tcPr>
            <w:tcW w:w="2430" w:type="dxa"/>
            <w:tcBorders>
              <w:top w:val="nil"/>
              <w:left w:val="nil"/>
              <w:bottom w:val="nil"/>
              <w:right w:val="nil"/>
            </w:tcBorders>
            <w:shd w:val="clear" w:color="auto" w:fill="auto"/>
            <w:noWrap/>
            <w:vAlign w:val="bottom"/>
            <w:hideMark/>
          </w:tcPr>
          <w:p w14:paraId="6D1360E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Tricor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B79A46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4A51B0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8C307E7" w14:textId="77777777" w:rsidTr="001E04CC">
        <w:trPr>
          <w:trHeight w:val="20"/>
        </w:trPr>
        <w:tc>
          <w:tcPr>
            <w:tcW w:w="2430" w:type="dxa"/>
            <w:tcBorders>
              <w:top w:val="nil"/>
              <w:left w:val="nil"/>
              <w:bottom w:val="nil"/>
              <w:right w:val="nil"/>
            </w:tcBorders>
            <w:shd w:val="clear" w:color="auto" w:fill="auto"/>
            <w:noWrap/>
            <w:vAlign w:val="bottom"/>
            <w:hideMark/>
          </w:tcPr>
          <w:p w14:paraId="2382D59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trifluoperazine</w:t>
            </w:r>
          </w:p>
        </w:tc>
        <w:tc>
          <w:tcPr>
            <w:tcW w:w="1332" w:type="dxa"/>
            <w:tcBorders>
              <w:top w:val="nil"/>
              <w:left w:val="nil"/>
              <w:bottom w:val="nil"/>
              <w:right w:val="nil"/>
            </w:tcBorders>
            <w:shd w:val="clear" w:color="auto" w:fill="auto"/>
            <w:noWrap/>
            <w:vAlign w:val="bottom"/>
            <w:hideMark/>
          </w:tcPr>
          <w:p w14:paraId="6D49450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2EEA978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E722972" w14:textId="77777777" w:rsidTr="001E04CC">
        <w:trPr>
          <w:trHeight w:val="20"/>
        </w:trPr>
        <w:tc>
          <w:tcPr>
            <w:tcW w:w="2430" w:type="dxa"/>
            <w:tcBorders>
              <w:top w:val="nil"/>
              <w:left w:val="nil"/>
              <w:bottom w:val="nil"/>
              <w:right w:val="nil"/>
            </w:tcBorders>
            <w:shd w:val="clear" w:color="auto" w:fill="auto"/>
            <w:noWrap/>
            <w:vAlign w:val="bottom"/>
            <w:hideMark/>
          </w:tcPr>
          <w:p w14:paraId="6D13132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Triglide</w:t>
            </w:r>
            <w:proofErr w:type="spellEnd"/>
          </w:p>
        </w:tc>
        <w:tc>
          <w:tcPr>
            <w:tcW w:w="1332" w:type="dxa"/>
            <w:tcBorders>
              <w:top w:val="nil"/>
              <w:left w:val="nil"/>
              <w:bottom w:val="nil"/>
              <w:right w:val="nil"/>
            </w:tcBorders>
            <w:shd w:val="clear" w:color="auto" w:fill="auto"/>
            <w:noWrap/>
            <w:vAlign w:val="bottom"/>
            <w:hideMark/>
          </w:tcPr>
          <w:p w14:paraId="0FD321F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31CB471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251F6C6" w14:textId="77777777" w:rsidTr="001E04CC">
        <w:trPr>
          <w:trHeight w:val="20"/>
        </w:trPr>
        <w:tc>
          <w:tcPr>
            <w:tcW w:w="2430" w:type="dxa"/>
            <w:tcBorders>
              <w:top w:val="nil"/>
              <w:left w:val="nil"/>
              <w:bottom w:val="nil"/>
              <w:right w:val="nil"/>
            </w:tcBorders>
            <w:shd w:val="clear" w:color="auto" w:fill="auto"/>
            <w:noWrap/>
            <w:vAlign w:val="bottom"/>
            <w:hideMark/>
          </w:tcPr>
          <w:p w14:paraId="5CACE52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Trilipix</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6FE1360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2DE3AC3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D98059A" w14:textId="77777777" w:rsidTr="001E04CC">
        <w:trPr>
          <w:trHeight w:val="20"/>
        </w:trPr>
        <w:tc>
          <w:tcPr>
            <w:tcW w:w="2430" w:type="dxa"/>
            <w:tcBorders>
              <w:top w:val="nil"/>
              <w:left w:val="nil"/>
              <w:bottom w:val="nil"/>
              <w:right w:val="nil"/>
            </w:tcBorders>
            <w:shd w:val="clear" w:color="auto" w:fill="auto"/>
            <w:noWrap/>
            <w:vAlign w:val="bottom"/>
            <w:hideMark/>
          </w:tcPr>
          <w:p w14:paraId="6D74C00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Trizivir</w:t>
            </w:r>
            <w:proofErr w:type="spellEnd"/>
          </w:p>
        </w:tc>
        <w:tc>
          <w:tcPr>
            <w:tcW w:w="1332" w:type="dxa"/>
            <w:tcBorders>
              <w:top w:val="nil"/>
              <w:left w:val="nil"/>
              <w:bottom w:val="nil"/>
              <w:right w:val="nil"/>
            </w:tcBorders>
            <w:shd w:val="clear" w:color="auto" w:fill="auto"/>
            <w:noWrap/>
            <w:vAlign w:val="bottom"/>
            <w:hideMark/>
          </w:tcPr>
          <w:p w14:paraId="32F7ABE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28B85C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28775F8" w14:textId="77777777" w:rsidTr="001E04CC">
        <w:trPr>
          <w:trHeight w:val="20"/>
        </w:trPr>
        <w:tc>
          <w:tcPr>
            <w:tcW w:w="2430" w:type="dxa"/>
            <w:tcBorders>
              <w:top w:val="nil"/>
              <w:left w:val="nil"/>
              <w:bottom w:val="nil"/>
              <w:right w:val="nil"/>
            </w:tcBorders>
            <w:shd w:val="clear" w:color="auto" w:fill="auto"/>
            <w:noWrap/>
            <w:vAlign w:val="bottom"/>
            <w:hideMark/>
          </w:tcPr>
          <w:p w14:paraId="6C1BA46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Truvada</w:t>
            </w:r>
          </w:p>
        </w:tc>
        <w:tc>
          <w:tcPr>
            <w:tcW w:w="1332" w:type="dxa"/>
            <w:tcBorders>
              <w:top w:val="nil"/>
              <w:left w:val="nil"/>
              <w:bottom w:val="nil"/>
              <w:right w:val="nil"/>
            </w:tcBorders>
            <w:shd w:val="clear" w:color="auto" w:fill="auto"/>
            <w:noWrap/>
            <w:vAlign w:val="bottom"/>
            <w:hideMark/>
          </w:tcPr>
          <w:p w14:paraId="7B7F243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579D245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F767325" w14:textId="77777777" w:rsidTr="001E04CC">
        <w:trPr>
          <w:trHeight w:val="20"/>
        </w:trPr>
        <w:tc>
          <w:tcPr>
            <w:tcW w:w="2430" w:type="dxa"/>
            <w:tcBorders>
              <w:top w:val="nil"/>
              <w:left w:val="nil"/>
              <w:bottom w:val="nil"/>
              <w:right w:val="nil"/>
            </w:tcBorders>
            <w:shd w:val="clear" w:color="auto" w:fill="auto"/>
            <w:noWrap/>
            <w:vAlign w:val="bottom"/>
            <w:hideMark/>
          </w:tcPr>
          <w:p w14:paraId="61C5818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Tudorza</w:t>
            </w:r>
            <w:proofErr w:type="spellEnd"/>
            <w:r w:rsidRPr="001A20A2">
              <w:rPr>
                <w:rFonts w:ascii="Calibri" w:eastAsia="Times New Roman" w:hAnsi="Calibri" w:cs="Times New Roman"/>
                <w:color w:val="000000"/>
                <w:sz w:val="16"/>
                <w:szCs w:val="16"/>
              </w:rPr>
              <w:t xml:space="preserve"> </w:t>
            </w:r>
            <w:proofErr w:type="spellStart"/>
            <w:r w:rsidRPr="001A20A2">
              <w:rPr>
                <w:rFonts w:ascii="Calibri" w:eastAsia="Times New Roman" w:hAnsi="Calibri" w:cs="Times New Roman"/>
                <w:color w:val="000000"/>
                <w:sz w:val="16"/>
                <w:szCs w:val="16"/>
              </w:rPr>
              <w:t>Pressair</w:t>
            </w:r>
            <w:proofErr w:type="spellEnd"/>
          </w:p>
        </w:tc>
        <w:tc>
          <w:tcPr>
            <w:tcW w:w="1332" w:type="dxa"/>
            <w:tcBorders>
              <w:top w:val="nil"/>
              <w:left w:val="nil"/>
              <w:bottom w:val="nil"/>
              <w:right w:val="nil"/>
            </w:tcBorders>
            <w:shd w:val="clear" w:color="auto" w:fill="auto"/>
            <w:noWrap/>
            <w:vAlign w:val="bottom"/>
            <w:hideMark/>
          </w:tcPr>
          <w:p w14:paraId="71083C50"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63FEC27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FE87078" w14:textId="77777777" w:rsidTr="001E04CC">
        <w:trPr>
          <w:trHeight w:val="20"/>
        </w:trPr>
        <w:tc>
          <w:tcPr>
            <w:tcW w:w="2430" w:type="dxa"/>
            <w:tcBorders>
              <w:top w:val="nil"/>
              <w:left w:val="nil"/>
              <w:bottom w:val="nil"/>
              <w:right w:val="nil"/>
            </w:tcBorders>
            <w:shd w:val="clear" w:color="auto" w:fill="auto"/>
            <w:noWrap/>
            <w:vAlign w:val="bottom"/>
            <w:hideMark/>
          </w:tcPr>
          <w:p w14:paraId="3E2C233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Twynsta</w:t>
            </w:r>
            <w:proofErr w:type="spellEnd"/>
            <w:r w:rsidRPr="001A20A2">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3E4FC77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5A46CA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6D42B7D" w14:textId="77777777" w:rsidTr="001E04CC">
        <w:trPr>
          <w:trHeight w:val="20"/>
        </w:trPr>
        <w:tc>
          <w:tcPr>
            <w:tcW w:w="2430" w:type="dxa"/>
            <w:tcBorders>
              <w:top w:val="nil"/>
              <w:left w:val="nil"/>
              <w:bottom w:val="nil"/>
              <w:right w:val="nil"/>
            </w:tcBorders>
            <w:shd w:val="clear" w:color="auto" w:fill="auto"/>
            <w:noWrap/>
            <w:vAlign w:val="bottom"/>
            <w:hideMark/>
          </w:tcPr>
          <w:p w14:paraId="732FA1D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Uniretic</w:t>
            </w:r>
            <w:proofErr w:type="spellEnd"/>
          </w:p>
        </w:tc>
        <w:tc>
          <w:tcPr>
            <w:tcW w:w="1332" w:type="dxa"/>
            <w:tcBorders>
              <w:top w:val="nil"/>
              <w:left w:val="nil"/>
              <w:bottom w:val="nil"/>
              <w:right w:val="nil"/>
            </w:tcBorders>
            <w:shd w:val="clear" w:color="auto" w:fill="auto"/>
            <w:noWrap/>
            <w:vAlign w:val="bottom"/>
            <w:hideMark/>
          </w:tcPr>
          <w:p w14:paraId="056033F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6B708A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E1EA559" w14:textId="77777777" w:rsidTr="001E04CC">
        <w:trPr>
          <w:trHeight w:val="20"/>
        </w:trPr>
        <w:tc>
          <w:tcPr>
            <w:tcW w:w="2430" w:type="dxa"/>
            <w:tcBorders>
              <w:top w:val="nil"/>
              <w:left w:val="nil"/>
              <w:bottom w:val="nil"/>
              <w:right w:val="nil"/>
            </w:tcBorders>
            <w:shd w:val="clear" w:color="auto" w:fill="auto"/>
            <w:noWrap/>
            <w:vAlign w:val="bottom"/>
            <w:hideMark/>
          </w:tcPr>
          <w:p w14:paraId="54952A0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Univasc</w:t>
            </w:r>
            <w:proofErr w:type="spellEnd"/>
          </w:p>
        </w:tc>
        <w:tc>
          <w:tcPr>
            <w:tcW w:w="1332" w:type="dxa"/>
            <w:tcBorders>
              <w:top w:val="nil"/>
              <w:left w:val="nil"/>
              <w:bottom w:val="nil"/>
              <w:right w:val="nil"/>
            </w:tcBorders>
            <w:shd w:val="clear" w:color="auto" w:fill="auto"/>
            <w:noWrap/>
            <w:vAlign w:val="bottom"/>
            <w:hideMark/>
          </w:tcPr>
          <w:p w14:paraId="797B5E8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CE591FF"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B9A30A2" w14:textId="77777777" w:rsidTr="001E04CC">
        <w:trPr>
          <w:trHeight w:val="20"/>
        </w:trPr>
        <w:tc>
          <w:tcPr>
            <w:tcW w:w="2430" w:type="dxa"/>
            <w:tcBorders>
              <w:top w:val="nil"/>
              <w:left w:val="nil"/>
              <w:bottom w:val="nil"/>
              <w:right w:val="nil"/>
            </w:tcBorders>
            <w:shd w:val="clear" w:color="auto" w:fill="auto"/>
            <w:noWrap/>
            <w:vAlign w:val="bottom"/>
            <w:hideMark/>
          </w:tcPr>
          <w:p w14:paraId="58BA2CA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valsartan- hydrochlorothiazide</w:t>
            </w:r>
          </w:p>
        </w:tc>
        <w:tc>
          <w:tcPr>
            <w:tcW w:w="1332" w:type="dxa"/>
            <w:tcBorders>
              <w:top w:val="nil"/>
              <w:left w:val="nil"/>
              <w:bottom w:val="nil"/>
              <w:right w:val="nil"/>
            </w:tcBorders>
            <w:shd w:val="clear" w:color="auto" w:fill="auto"/>
            <w:noWrap/>
            <w:vAlign w:val="bottom"/>
            <w:hideMark/>
          </w:tcPr>
          <w:p w14:paraId="794F32D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E5F5DB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05DD231" w14:textId="77777777" w:rsidTr="001E04CC">
        <w:trPr>
          <w:trHeight w:val="20"/>
        </w:trPr>
        <w:tc>
          <w:tcPr>
            <w:tcW w:w="2430" w:type="dxa"/>
            <w:tcBorders>
              <w:top w:val="nil"/>
              <w:left w:val="nil"/>
              <w:bottom w:val="nil"/>
              <w:right w:val="nil"/>
            </w:tcBorders>
            <w:shd w:val="clear" w:color="auto" w:fill="auto"/>
            <w:noWrap/>
            <w:vAlign w:val="bottom"/>
            <w:hideMark/>
          </w:tcPr>
          <w:p w14:paraId="45488EE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Vascepa</w:t>
            </w:r>
            <w:proofErr w:type="spellEnd"/>
          </w:p>
        </w:tc>
        <w:tc>
          <w:tcPr>
            <w:tcW w:w="1332" w:type="dxa"/>
            <w:tcBorders>
              <w:top w:val="nil"/>
              <w:left w:val="nil"/>
              <w:bottom w:val="nil"/>
              <w:right w:val="nil"/>
            </w:tcBorders>
            <w:shd w:val="clear" w:color="auto" w:fill="auto"/>
            <w:noWrap/>
            <w:vAlign w:val="bottom"/>
            <w:hideMark/>
          </w:tcPr>
          <w:p w14:paraId="0B9EAB1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6115E77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59274C6" w14:textId="77777777" w:rsidTr="001E04CC">
        <w:trPr>
          <w:trHeight w:val="20"/>
        </w:trPr>
        <w:tc>
          <w:tcPr>
            <w:tcW w:w="2430" w:type="dxa"/>
            <w:tcBorders>
              <w:top w:val="nil"/>
              <w:left w:val="nil"/>
              <w:bottom w:val="nil"/>
              <w:right w:val="nil"/>
            </w:tcBorders>
            <w:shd w:val="clear" w:color="auto" w:fill="auto"/>
            <w:noWrap/>
            <w:vAlign w:val="bottom"/>
            <w:hideMark/>
          </w:tcPr>
          <w:p w14:paraId="4A55755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Vaseretic</w:t>
            </w:r>
            <w:proofErr w:type="spellEnd"/>
          </w:p>
        </w:tc>
        <w:tc>
          <w:tcPr>
            <w:tcW w:w="1332" w:type="dxa"/>
            <w:tcBorders>
              <w:top w:val="nil"/>
              <w:left w:val="nil"/>
              <w:bottom w:val="nil"/>
              <w:right w:val="nil"/>
            </w:tcBorders>
            <w:shd w:val="clear" w:color="auto" w:fill="auto"/>
            <w:noWrap/>
            <w:vAlign w:val="bottom"/>
            <w:hideMark/>
          </w:tcPr>
          <w:p w14:paraId="4B839F1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37BF5D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8F63051" w14:textId="77777777" w:rsidTr="001E04CC">
        <w:trPr>
          <w:trHeight w:val="20"/>
        </w:trPr>
        <w:tc>
          <w:tcPr>
            <w:tcW w:w="2430" w:type="dxa"/>
            <w:tcBorders>
              <w:top w:val="nil"/>
              <w:left w:val="nil"/>
              <w:bottom w:val="nil"/>
              <w:right w:val="nil"/>
            </w:tcBorders>
            <w:shd w:val="clear" w:color="auto" w:fill="auto"/>
            <w:noWrap/>
            <w:vAlign w:val="bottom"/>
            <w:hideMark/>
          </w:tcPr>
          <w:p w14:paraId="2E96909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Vasotec</w:t>
            </w:r>
          </w:p>
        </w:tc>
        <w:tc>
          <w:tcPr>
            <w:tcW w:w="1332" w:type="dxa"/>
            <w:tcBorders>
              <w:top w:val="nil"/>
              <w:left w:val="nil"/>
              <w:bottom w:val="nil"/>
              <w:right w:val="nil"/>
            </w:tcBorders>
            <w:shd w:val="clear" w:color="auto" w:fill="auto"/>
            <w:noWrap/>
            <w:vAlign w:val="bottom"/>
            <w:hideMark/>
          </w:tcPr>
          <w:p w14:paraId="6135E7B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6C064E4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59CEF68" w14:textId="77777777" w:rsidTr="001E04CC">
        <w:trPr>
          <w:trHeight w:val="20"/>
        </w:trPr>
        <w:tc>
          <w:tcPr>
            <w:tcW w:w="2430" w:type="dxa"/>
            <w:tcBorders>
              <w:top w:val="nil"/>
              <w:left w:val="nil"/>
              <w:bottom w:val="nil"/>
              <w:right w:val="nil"/>
            </w:tcBorders>
            <w:shd w:val="clear" w:color="auto" w:fill="auto"/>
            <w:noWrap/>
            <w:vAlign w:val="bottom"/>
            <w:hideMark/>
          </w:tcPr>
          <w:p w14:paraId="27A87F8D"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Ventolin HFA</w:t>
            </w:r>
          </w:p>
        </w:tc>
        <w:tc>
          <w:tcPr>
            <w:tcW w:w="1332" w:type="dxa"/>
            <w:tcBorders>
              <w:top w:val="nil"/>
              <w:left w:val="nil"/>
              <w:bottom w:val="nil"/>
              <w:right w:val="nil"/>
            </w:tcBorders>
            <w:shd w:val="clear" w:color="auto" w:fill="auto"/>
            <w:noWrap/>
            <w:vAlign w:val="bottom"/>
            <w:hideMark/>
          </w:tcPr>
          <w:p w14:paraId="0631FBD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4696789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69F139" w14:textId="77777777" w:rsidTr="001E04CC">
        <w:trPr>
          <w:trHeight w:val="20"/>
        </w:trPr>
        <w:tc>
          <w:tcPr>
            <w:tcW w:w="2430" w:type="dxa"/>
            <w:tcBorders>
              <w:top w:val="nil"/>
              <w:left w:val="nil"/>
              <w:bottom w:val="nil"/>
              <w:right w:val="nil"/>
            </w:tcBorders>
            <w:shd w:val="clear" w:color="auto" w:fill="auto"/>
            <w:noWrap/>
            <w:vAlign w:val="bottom"/>
            <w:hideMark/>
          </w:tcPr>
          <w:p w14:paraId="4099254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verapamil</w:t>
            </w:r>
          </w:p>
        </w:tc>
        <w:tc>
          <w:tcPr>
            <w:tcW w:w="1332" w:type="dxa"/>
            <w:tcBorders>
              <w:top w:val="nil"/>
              <w:left w:val="nil"/>
              <w:bottom w:val="nil"/>
              <w:right w:val="nil"/>
            </w:tcBorders>
            <w:shd w:val="clear" w:color="auto" w:fill="auto"/>
            <w:noWrap/>
            <w:vAlign w:val="bottom"/>
            <w:hideMark/>
          </w:tcPr>
          <w:p w14:paraId="4E36D22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828199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896AB56" w14:textId="77777777" w:rsidTr="001E04CC">
        <w:trPr>
          <w:trHeight w:val="20"/>
        </w:trPr>
        <w:tc>
          <w:tcPr>
            <w:tcW w:w="2430" w:type="dxa"/>
            <w:tcBorders>
              <w:top w:val="nil"/>
              <w:left w:val="nil"/>
              <w:bottom w:val="nil"/>
              <w:right w:val="nil"/>
            </w:tcBorders>
            <w:shd w:val="clear" w:color="auto" w:fill="auto"/>
            <w:noWrap/>
            <w:vAlign w:val="bottom"/>
            <w:hideMark/>
          </w:tcPr>
          <w:p w14:paraId="6C57E2D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verapamil ER</w:t>
            </w:r>
          </w:p>
        </w:tc>
        <w:tc>
          <w:tcPr>
            <w:tcW w:w="1332" w:type="dxa"/>
            <w:tcBorders>
              <w:top w:val="nil"/>
              <w:left w:val="nil"/>
              <w:bottom w:val="nil"/>
              <w:right w:val="nil"/>
            </w:tcBorders>
            <w:shd w:val="clear" w:color="auto" w:fill="auto"/>
            <w:noWrap/>
            <w:vAlign w:val="bottom"/>
            <w:hideMark/>
          </w:tcPr>
          <w:p w14:paraId="02A6F2E2"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9C07D6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0018107" w14:textId="77777777" w:rsidTr="001E04CC">
        <w:trPr>
          <w:trHeight w:val="20"/>
        </w:trPr>
        <w:tc>
          <w:tcPr>
            <w:tcW w:w="2430" w:type="dxa"/>
            <w:tcBorders>
              <w:top w:val="nil"/>
              <w:left w:val="nil"/>
              <w:bottom w:val="nil"/>
              <w:right w:val="nil"/>
            </w:tcBorders>
            <w:shd w:val="clear" w:color="auto" w:fill="auto"/>
            <w:noWrap/>
            <w:vAlign w:val="bottom"/>
            <w:hideMark/>
          </w:tcPr>
          <w:p w14:paraId="5737DC7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Verelan</w:t>
            </w:r>
            <w:proofErr w:type="spellEnd"/>
          </w:p>
        </w:tc>
        <w:tc>
          <w:tcPr>
            <w:tcW w:w="1332" w:type="dxa"/>
            <w:tcBorders>
              <w:top w:val="nil"/>
              <w:left w:val="nil"/>
              <w:bottom w:val="nil"/>
              <w:right w:val="nil"/>
            </w:tcBorders>
            <w:shd w:val="clear" w:color="auto" w:fill="auto"/>
            <w:noWrap/>
            <w:vAlign w:val="bottom"/>
            <w:hideMark/>
          </w:tcPr>
          <w:p w14:paraId="151142A8"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236EBD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D40F6B1" w14:textId="77777777" w:rsidTr="001E04CC">
        <w:trPr>
          <w:trHeight w:val="20"/>
        </w:trPr>
        <w:tc>
          <w:tcPr>
            <w:tcW w:w="2430" w:type="dxa"/>
            <w:tcBorders>
              <w:top w:val="nil"/>
              <w:left w:val="nil"/>
              <w:bottom w:val="nil"/>
              <w:right w:val="nil"/>
            </w:tcBorders>
            <w:shd w:val="clear" w:color="auto" w:fill="auto"/>
            <w:noWrap/>
            <w:vAlign w:val="bottom"/>
            <w:hideMark/>
          </w:tcPr>
          <w:p w14:paraId="74BFA3A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Verelan</w:t>
            </w:r>
            <w:proofErr w:type="spellEnd"/>
            <w:r w:rsidRPr="001A20A2">
              <w:rPr>
                <w:rFonts w:ascii="Calibri" w:eastAsia="Times New Roman" w:hAnsi="Calibri" w:cs="Times New Roman"/>
                <w:color w:val="000000"/>
                <w:sz w:val="16"/>
                <w:szCs w:val="16"/>
              </w:rPr>
              <w:t xml:space="preserve"> PM</w:t>
            </w:r>
          </w:p>
        </w:tc>
        <w:tc>
          <w:tcPr>
            <w:tcW w:w="1332" w:type="dxa"/>
            <w:tcBorders>
              <w:top w:val="nil"/>
              <w:left w:val="nil"/>
              <w:bottom w:val="nil"/>
              <w:right w:val="nil"/>
            </w:tcBorders>
            <w:shd w:val="clear" w:color="auto" w:fill="auto"/>
            <w:noWrap/>
            <w:vAlign w:val="bottom"/>
            <w:hideMark/>
          </w:tcPr>
          <w:p w14:paraId="76F76EF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0D69572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616D23F" w14:textId="77777777" w:rsidTr="001E04CC">
        <w:trPr>
          <w:trHeight w:val="20"/>
        </w:trPr>
        <w:tc>
          <w:tcPr>
            <w:tcW w:w="2430" w:type="dxa"/>
            <w:tcBorders>
              <w:top w:val="nil"/>
              <w:left w:val="nil"/>
              <w:bottom w:val="nil"/>
              <w:right w:val="nil"/>
            </w:tcBorders>
            <w:shd w:val="clear" w:color="auto" w:fill="auto"/>
            <w:noWrap/>
            <w:vAlign w:val="bottom"/>
            <w:hideMark/>
          </w:tcPr>
          <w:p w14:paraId="6044AC61"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Versacloz</w:t>
            </w:r>
            <w:proofErr w:type="spellEnd"/>
          </w:p>
        </w:tc>
        <w:tc>
          <w:tcPr>
            <w:tcW w:w="1332" w:type="dxa"/>
            <w:tcBorders>
              <w:top w:val="nil"/>
              <w:left w:val="nil"/>
              <w:bottom w:val="nil"/>
              <w:right w:val="nil"/>
            </w:tcBorders>
            <w:shd w:val="clear" w:color="auto" w:fill="auto"/>
            <w:noWrap/>
            <w:vAlign w:val="bottom"/>
            <w:hideMark/>
          </w:tcPr>
          <w:p w14:paraId="4595FB6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25DA630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4EC0AB74" w14:textId="77777777" w:rsidTr="001E04CC">
        <w:trPr>
          <w:trHeight w:val="20"/>
        </w:trPr>
        <w:tc>
          <w:tcPr>
            <w:tcW w:w="2430" w:type="dxa"/>
            <w:tcBorders>
              <w:top w:val="nil"/>
              <w:left w:val="nil"/>
              <w:bottom w:val="nil"/>
              <w:right w:val="nil"/>
            </w:tcBorders>
            <w:shd w:val="clear" w:color="auto" w:fill="auto"/>
            <w:noWrap/>
            <w:vAlign w:val="bottom"/>
            <w:hideMark/>
          </w:tcPr>
          <w:p w14:paraId="748CA3A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Victoza</w:t>
            </w:r>
          </w:p>
        </w:tc>
        <w:tc>
          <w:tcPr>
            <w:tcW w:w="1332" w:type="dxa"/>
            <w:tcBorders>
              <w:top w:val="nil"/>
              <w:left w:val="nil"/>
              <w:bottom w:val="nil"/>
              <w:right w:val="nil"/>
            </w:tcBorders>
            <w:shd w:val="clear" w:color="auto" w:fill="auto"/>
            <w:noWrap/>
            <w:vAlign w:val="bottom"/>
            <w:hideMark/>
          </w:tcPr>
          <w:p w14:paraId="526E7B81" w14:textId="2CD04122"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Diabetes </w:t>
            </w:r>
            <w:r w:rsidR="00AB0018">
              <w:rPr>
                <w:rFonts w:ascii="Calibri" w:eastAsia="Times New Roman" w:hAnsi="Calibri" w:cs="Times New Roman"/>
                <w:color w:val="000000"/>
                <w:sz w:val="16"/>
                <w:szCs w:val="16"/>
              </w:rPr>
              <w:t>–</w:t>
            </w:r>
            <w:r w:rsidRPr="001A20A2">
              <w:rPr>
                <w:rFonts w:ascii="Calibri" w:eastAsia="Times New Roman" w:hAnsi="Calibri" w:cs="Times New Roman"/>
                <w:color w:val="000000"/>
                <w:sz w:val="16"/>
                <w:szCs w:val="16"/>
              </w:rPr>
              <w:t xml:space="preserve"> Oral</w:t>
            </w:r>
          </w:p>
        </w:tc>
        <w:tc>
          <w:tcPr>
            <w:tcW w:w="900" w:type="dxa"/>
            <w:tcBorders>
              <w:top w:val="nil"/>
              <w:left w:val="nil"/>
              <w:bottom w:val="nil"/>
              <w:right w:val="nil"/>
            </w:tcBorders>
            <w:shd w:val="clear" w:color="auto" w:fill="auto"/>
            <w:noWrap/>
            <w:vAlign w:val="bottom"/>
            <w:hideMark/>
          </w:tcPr>
          <w:p w14:paraId="7384F53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3F37545" w14:textId="77777777" w:rsidTr="001E04CC">
        <w:trPr>
          <w:trHeight w:val="20"/>
        </w:trPr>
        <w:tc>
          <w:tcPr>
            <w:tcW w:w="2430" w:type="dxa"/>
            <w:tcBorders>
              <w:top w:val="nil"/>
              <w:left w:val="nil"/>
              <w:bottom w:val="nil"/>
              <w:right w:val="nil"/>
            </w:tcBorders>
            <w:shd w:val="clear" w:color="auto" w:fill="auto"/>
            <w:noWrap/>
            <w:vAlign w:val="bottom"/>
            <w:hideMark/>
          </w:tcPr>
          <w:p w14:paraId="507E64DF"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Videx</w:t>
            </w:r>
            <w:proofErr w:type="spellEnd"/>
          </w:p>
        </w:tc>
        <w:tc>
          <w:tcPr>
            <w:tcW w:w="1332" w:type="dxa"/>
            <w:tcBorders>
              <w:top w:val="nil"/>
              <w:left w:val="nil"/>
              <w:bottom w:val="nil"/>
              <w:right w:val="nil"/>
            </w:tcBorders>
            <w:shd w:val="clear" w:color="auto" w:fill="auto"/>
            <w:noWrap/>
            <w:vAlign w:val="bottom"/>
            <w:hideMark/>
          </w:tcPr>
          <w:p w14:paraId="1BF08FC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6C8E48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6FC0296" w14:textId="77777777" w:rsidTr="001E04CC">
        <w:trPr>
          <w:trHeight w:val="20"/>
        </w:trPr>
        <w:tc>
          <w:tcPr>
            <w:tcW w:w="2430" w:type="dxa"/>
            <w:tcBorders>
              <w:top w:val="nil"/>
              <w:left w:val="nil"/>
              <w:bottom w:val="nil"/>
              <w:right w:val="nil"/>
            </w:tcBorders>
            <w:shd w:val="clear" w:color="auto" w:fill="auto"/>
            <w:noWrap/>
            <w:vAlign w:val="bottom"/>
            <w:hideMark/>
          </w:tcPr>
          <w:p w14:paraId="7DE69F52"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Videx</w:t>
            </w:r>
            <w:proofErr w:type="spellEnd"/>
            <w:r w:rsidRPr="001A20A2">
              <w:rPr>
                <w:rFonts w:ascii="Calibri" w:eastAsia="Times New Roman" w:hAnsi="Calibri" w:cs="Times New Roman"/>
                <w:color w:val="000000"/>
                <w:sz w:val="16"/>
                <w:szCs w:val="16"/>
              </w:rPr>
              <w:t xml:space="preserve"> EC</w:t>
            </w:r>
          </w:p>
        </w:tc>
        <w:tc>
          <w:tcPr>
            <w:tcW w:w="1332" w:type="dxa"/>
            <w:tcBorders>
              <w:top w:val="nil"/>
              <w:left w:val="nil"/>
              <w:bottom w:val="nil"/>
              <w:right w:val="nil"/>
            </w:tcBorders>
            <w:shd w:val="clear" w:color="auto" w:fill="auto"/>
            <w:noWrap/>
            <w:vAlign w:val="bottom"/>
            <w:hideMark/>
          </w:tcPr>
          <w:p w14:paraId="137B030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12FEF4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AF8FEB9" w14:textId="77777777" w:rsidTr="001E04CC">
        <w:trPr>
          <w:trHeight w:val="20"/>
        </w:trPr>
        <w:tc>
          <w:tcPr>
            <w:tcW w:w="2430" w:type="dxa"/>
            <w:tcBorders>
              <w:top w:val="nil"/>
              <w:left w:val="nil"/>
              <w:bottom w:val="nil"/>
              <w:right w:val="nil"/>
            </w:tcBorders>
            <w:shd w:val="clear" w:color="auto" w:fill="auto"/>
            <w:noWrap/>
            <w:vAlign w:val="bottom"/>
            <w:hideMark/>
          </w:tcPr>
          <w:p w14:paraId="1CFC158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Viracept</w:t>
            </w:r>
            <w:proofErr w:type="spellEnd"/>
          </w:p>
        </w:tc>
        <w:tc>
          <w:tcPr>
            <w:tcW w:w="1332" w:type="dxa"/>
            <w:tcBorders>
              <w:top w:val="nil"/>
              <w:left w:val="nil"/>
              <w:bottom w:val="nil"/>
              <w:right w:val="nil"/>
            </w:tcBorders>
            <w:shd w:val="clear" w:color="auto" w:fill="auto"/>
            <w:noWrap/>
            <w:vAlign w:val="bottom"/>
            <w:hideMark/>
          </w:tcPr>
          <w:p w14:paraId="0DD2982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323441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06A6DFE" w14:textId="77777777" w:rsidTr="001E04CC">
        <w:trPr>
          <w:trHeight w:val="20"/>
        </w:trPr>
        <w:tc>
          <w:tcPr>
            <w:tcW w:w="2430" w:type="dxa"/>
            <w:tcBorders>
              <w:top w:val="nil"/>
              <w:left w:val="nil"/>
              <w:bottom w:val="nil"/>
              <w:right w:val="nil"/>
            </w:tcBorders>
            <w:shd w:val="clear" w:color="auto" w:fill="auto"/>
            <w:noWrap/>
            <w:vAlign w:val="bottom"/>
            <w:hideMark/>
          </w:tcPr>
          <w:p w14:paraId="1D50F88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Viramune</w:t>
            </w:r>
            <w:proofErr w:type="spellEnd"/>
          </w:p>
        </w:tc>
        <w:tc>
          <w:tcPr>
            <w:tcW w:w="1332" w:type="dxa"/>
            <w:tcBorders>
              <w:top w:val="nil"/>
              <w:left w:val="nil"/>
              <w:bottom w:val="nil"/>
              <w:right w:val="nil"/>
            </w:tcBorders>
            <w:shd w:val="clear" w:color="auto" w:fill="auto"/>
            <w:noWrap/>
            <w:vAlign w:val="bottom"/>
            <w:hideMark/>
          </w:tcPr>
          <w:p w14:paraId="465ABCB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2068D60"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A8ACCFC" w14:textId="77777777" w:rsidTr="001E04CC">
        <w:trPr>
          <w:trHeight w:val="20"/>
        </w:trPr>
        <w:tc>
          <w:tcPr>
            <w:tcW w:w="2430" w:type="dxa"/>
            <w:tcBorders>
              <w:top w:val="nil"/>
              <w:left w:val="nil"/>
              <w:bottom w:val="nil"/>
              <w:right w:val="nil"/>
            </w:tcBorders>
            <w:shd w:val="clear" w:color="auto" w:fill="auto"/>
            <w:noWrap/>
            <w:vAlign w:val="bottom"/>
            <w:hideMark/>
          </w:tcPr>
          <w:p w14:paraId="3E0AAC79"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Viramune</w:t>
            </w:r>
            <w:proofErr w:type="spellEnd"/>
            <w:r w:rsidRPr="001A20A2">
              <w:rPr>
                <w:rFonts w:ascii="Calibri" w:eastAsia="Times New Roman" w:hAnsi="Calibri" w:cs="Times New Roman"/>
                <w:color w:val="000000"/>
                <w:sz w:val="16"/>
                <w:szCs w:val="16"/>
              </w:rPr>
              <w:t xml:space="preserve"> XR</w:t>
            </w:r>
          </w:p>
        </w:tc>
        <w:tc>
          <w:tcPr>
            <w:tcW w:w="1332" w:type="dxa"/>
            <w:tcBorders>
              <w:top w:val="nil"/>
              <w:left w:val="nil"/>
              <w:bottom w:val="nil"/>
              <w:right w:val="nil"/>
            </w:tcBorders>
            <w:shd w:val="clear" w:color="auto" w:fill="auto"/>
            <w:noWrap/>
            <w:vAlign w:val="bottom"/>
            <w:hideMark/>
          </w:tcPr>
          <w:p w14:paraId="3A8779E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7A5C1B2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AF0CFB2" w14:textId="77777777" w:rsidTr="001E04CC">
        <w:trPr>
          <w:trHeight w:val="20"/>
        </w:trPr>
        <w:tc>
          <w:tcPr>
            <w:tcW w:w="2430" w:type="dxa"/>
            <w:tcBorders>
              <w:top w:val="nil"/>
              <w:left w:val="nil"/>
              <w:bottom w:val="nil"/>
              <w:right w:val="nil"/>
            </w:tcBorders>
            <w:shd w:val="clear" w:color="auto" w:fill="auto"/>
            <w:noWrap/>
            <w:vAlign w:val="bottom"/>
            <w:hideMark/>
          </w:tcPr>
          <w:p w14:paraId="79E6B855"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Viread</w:t>
            </w:r>
            <w:proofErr w:type="spellEnd"/>
          </w:p>
        </w:tc>
        <w:tc>
          <w:tcPr>
            <w:tcW w:w="1332" w:type="dxa"/>
            <w:tcBorders>
              <w:top w:val="nil"/>
              <w:left w:val="nil"/>
              <w:bottom w:val="nil"/>
              <w:right w:val="nil"/>
            </w:tcBorders>
            <w:shd w:val="clear" w:color="auto" w:fill="auto"/>
            <w:noWrap/>
            <w:vAlign w:val="bottom"/>
            <w:hideMark/>
          </w:tcPr>
          <w:p w14:paraId="233A9E73"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1ADD682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7EB77A9A" w14:textId="77777777" w:rsidTr="001E04CC">
        <w:trPr>
          <w:trHeight w:val="20"/>
        </w:trPr>
        <w:tc>
          <w:tcPr>
            <w:tcW w:w="2430" w:type="dxa"/>
            <w:tcBorders>
              <w:top w:val="nil"/>
              <w:left w:val="nil"/>
              <w:bottom w:val="nil"/>
              <w:right w:val="nil"/>
            </w:tcBorders>
            <w:shd w:val="clear" w:color="auto" w:fill="auto"/>
            <w:noWrap/>
            <w:vAlign w:val="bottom"/>
            <w:hideMark/>
          </w:tcPr>
          <w:p w14:paraId="435CB65B"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VoSpire</w:t>
            </w:r>
            <w:proofErr w:type="spellEnd"/>
            <w:r w:rsidRPr="001A20A2">
              <w:rPr>
                <w:rFonts w:ascii="Calibri" w:eastAsia="Times New Roman" w:hAnsi="Calibri" w:cs="Times New Roman"/>
                <w:color w:val="000000"/>
                <w:sz w:val="16"/>
                <w:szCs w:val="16"/>
              </w:rPr>
              <w:t xml:space="preserve"> ER</w:t>
            </w:r>
          </w:p>
        </w:tc>
        <w:tc>
          <w:tcPr>
            <w:tcW w:w="1332" w:type="dxa"/>
            <w:tcBorders>
              <w:top w:val="nil"/>
              <w:left w:val="nil"/>
              <w:bottom w:val="nil"/>
              <w:right w:val="nil"/>
            </w:tcBorders>
            <w:shd w:val="clear" w:color="auto" w:fill="auto"/>
            <w:noWrap/>
            <w:vAlign w:val="bottom"/>
            <w:hideMark/>
          </w:tcPr>
          <w:p w14:paraId="56CCA0F7"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34810C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528D1A6" w14:textId="77777777" w:rsidTr="001E04CC">
        <w:trPr>
          <w:trHeight w:val="20"/>
        </w:trPr>
        <w:tc>
          <w:tcPr>
            <w:tcW w:w="2430" w:type="dxa"/>
            <w:tcBorders>
              <w:top w:val="nil"/>
              <w:left w:val="nil"/>
              <w:bottom w:val="nil"/>
              <w:right w:val="nil"/>
            </w:tcBorders>
            <w:shd w:val="clear" w:color="auto" w:fill="auto"/>
            <w:noWrap/>
            <w:vAlign w:val="bottom"/>
            <w:hideMark/>
          </w:tcPr>
          <w:p w14:paraId="5FE75284"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Vytorin</w:t>
            </w:r>
            <w:proofErr w:type="spellEnd"/>
          </w:p>
        </w:tc>
        <w:tc>
          <w:tcPr>
            <w:tcW w:w="1332" w:type="dxa"/>
            <w:tcBorders>
              <w:top w:val="nil"/>
              <w:left w:val="nil"/>
              <w:bottom w:val="nil"/>
              <w:right w:val="nil"/>
            </w:tcBorders>
            <w:shd w:val="clear" w:color="auto" w:fill="auto"/>
            <w:noWrap/>
            <w:vAlign w:val="bottom"/>
            <w:hideMark/>
          </w:tcPr>
          <w:p w14:paraId="48558A5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14A9E7A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1148BE17" w14:textId="77777777" w:rsidTr="001E04CC">
        <w:trPr>
          <w:trHeight w:val="20"/>
        </w:trPr>
        <w:tc>
          <w:tcPr>
            <w:tcW w:w="2430" w:type="dxa"/>
            <w:tcBorders>
              <w:top w:val="nil"/>
              <w:left w:val="nil"/>
              <w:bottom w:val="nil"/>
              <w:right w:val="nil"/>
            </w:tcBorders>
            <w:shd w:val="clear" w:color="auto" w:fill="auto"/>
            <w:noWrap/>
            <w:vAlign w:val="bottom"/>
            <w:hideMark/>
          </w:tcPr>
          <w:p w14:paraId="19FFC14C"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warfarin</w:t>
            </w:r>
          </w:p>
        </w:tc>
        <w:tc>
          <w:tcPr>
            <w:tcW w:w="1332" w:type="dxa"/>
            <w:tcBorders>
              <w:top w:val="nil"/>
              <w:left w:val="nil"/>
              <w:bottom w:val="nil"/>
              <w:right w:val="nil"/>
            </w:tcBorders>
            <w:shd w:val="clear" w:color="auto" w:fill="auto"/>
            <w:noWrap/>
            <w:vAlign w:val="bottom"/>
            <w:hideMark/>
          </w:tcPr>
          <w:p w14:paraId="03A73AFC"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418E75C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5C0C9B" w14:textId="77777777" w:rsidTr="001E04CC">
        <w:trPr>
          <w:trHeight w:val="20"/>
        </w:trPr>
        <w:tc>
          <w:tcPr>
            <w:tcW w:w="2430" w:type="dxa"/>
            <w:tcBorders>
              <w:top w:val="nil"/>
              <w:left w:val="nil"/>
              <w:bottom w:val="nil"/>
              <w:right w:val="nil"/>
            </w:tcBorders>
            <w:shd w:val="clear" w:color="auto" w:fill="auto"/>
            <w:noWrap/>
            <w:vAlign w:val="bottom"/>
            <w:hideMark/>
          </w:tcPr>
          <w:p w14:paraId="2EB142B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Welchol</w:t>
            </w:r>
          </w:p>
        </w:tc>
        <w:tc>
          <w:tcPr>
            <w:tcW w:w="1332" w:type="dxa"/>
            <w:tcBorders>
              <w:top w:val="nil"/>
              <w:left w:val="nil"/>
              <w:bottom w:val="nil"/>
              <w:right w:val="nil"/>
            </w:tcBorders>
            <w:shd w:val="clear" w:color="auto" w:fill="auto"/>
            <w:noWrap/>
            <w:vAlign w:val="bottom"/>
            <w:hideMark/>
          </w:tcPr>
          <w:p w14:paraId="6158149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0B1B60C5"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02C866D" w14:textId="77777777" w:rsidTr="001E04CC">
        <w:trPr>
          <w:trHeight w:val="20"/>
        </w:trPr>
        <w:tc>
          <w:tcPr>
            <w:tcW w:w="2430" w:type="dxa"/>
            <w:tcBorders>
              <w:top w:val="nil"/>
              <w:left w:val="nil"/>
              <w:bottom w:val="nil"/>
              <w:right w:val="nil"/>
            </w:tcBorders>
            <w:shd w:val="clear" w:color="auto" w:fill="auto"/>
            <w:noWrap/>
            <w:vAlign w:val="bottom"/>
            <w:hideMark/>
          </w:tcPr>
          <w:p w14:paraId="4A5C6223"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Xarelto</w:t>
            </w:r>
          </w:p>
        </w:tc>
        <w:tc>
          <w:tcPr>
            <w:tcW w:w="1332" w:type="dxa"/>
            <w:tcBorders>
              <w:top w:val="nil"/>
              <w:left w:val="nil"/>
              <w:bottom w:val="nil"/>
              <w:right w:val="nil"/>
            </w:tcBorders>
            <w:shd w:val="clear" w:color="auto" w:fill="auto"/>
            <w:noWrap/>
            <w:vAlign w:val="bottom"/>
            <w:hideMark/>
          </w:tcPr>
          <w:p w14:paraId="552DABA9"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Blood clot/platelet</w:t>
            </w:r>
          </w:p>
        </w:tc>
        <w:tc>
          <w:tcPr>
            <w:tcW w:w="900" w:type="dxa"/>
            <w:tcBorders>
              <w:top w:val="nil"/>
              <w:left w:val="nil"/>
              <w:bottom w:val="nil"/>
              <w:right w:val="nil"/>
            </w:tcBorders>
            <w:shd w:val="clear" w:color="auto" w:fill="auto"/>
            <w:noWrap/>
            <w:vAlign w:val="bottom"/>
            <w:hideMark/>
          </w:tcPr>
          <w:p w14:paraId="541F4F2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EADC9E7" w14:textId="77777777" w:rsidTr="001E04CC">
        <w:trPr>
          <w:trHeight w:val="20"/>
        </w:trPr>
        <w:tc>
          <w:tcPr>
            <w:tcW w:w="2430" w:type="dxa"/>
            <w:tcBorders>
              <w:top w:val="nil"/>
              <w:left w:val="nil"/>
              <w:bottom w:val="nil"/>
              <w:right w:val="nil"/>
            </w:tcBorders>
            <w:shd w:val="clear" w:color="auto" w:fill="auto"/>
            <w:noWrap/>
            <w:vAlign w:val="bottom"/>
            <w:hideMark/>
          </w:tcPr>
          <w:p w14:paraId="572DD5B8"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Xopenex HFA</w:t>
            </w:r>
          </w:p>
        </w:tc>
        <w:tc>
          <w:tcPr>
            <w:tcW w:w="1332" w:type="dxa"/>
            <w:tcBorders>
              <w:top w:val="nil"/>
              <w:left w:val="nil"/>
              <w:bottom w:val="nil"/>
              <w:right w:val="nil"/>
            </w:tcBorders>
            <w:shd w:val="clear" w:color="auto" w:fill="auto"/>
            <w:noWrap/>
            <w:vAlign w:val="bottom"/>
            <w:hideMark/>
          </w:tcPr>
          <w:p w14:paraId="146CD0AF"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2D8E7F13"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CBD3463" w14:textId="77777777" w:rsidTr="001E04CC">
        <w:trPr>
          <w:trHeight w:val="20"/>
        </w:trPr>
        <w:tc>
          <w:tcPr>
            <w:tcW w:w="2430" w:type="dxa"/>
            <w:tcBorders>
              <w:top w:val="nil"/>
              <w:left w:val="nil"/>
              <w:bottom w:val="nil"/>
              <w:right w:val="nil"/>
            </w:tcBorders>
            <w:shd w:val="clear" w:color="auto" w:fill="auto"/>
            <w:noWrap/>
            <w:vAlign w:val="bottom"/>
            <w:hideMark/>
          </w:tcPr>
          <w:p w14:paraId="7C27802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Xopenex Nebulized Solution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126B4A5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390F585A"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D4EFC5" w14:textId="77777777" w:rsidTr="001E04CC">
        <w:trPr>
          <w:trHeight w:val="20"/>
        </w:trPr>
        <w:tc>
          <w:tcPr>
            <w:tcW w:w="2430" w:type="dxa"/>
            <w:tcBorders>
              <w:top w:val="nil"/>
              <w:left w:val="nil"/>
              <w:bottom w:val="nil"/>
              <w:right w:val="nil"/>
            </w:tcBorders>
            <w:shd w:val="clear" w:color="auto" w:fill="auto"/>
            <w:noWrap/>
            <w:vAlign w:val="bottom"/>
            <w:hideMark/>
          </w:tcPr>
          <w:p w14:paraId="218F7C9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zafirlukast</w:t>
            </w:r>
          </w:p>
        </w:tc>
        <w:tc>
          <w:tcPr>
            <w:tcW w:w="1332" w:type="dxa"/>
            <w:tcBorders>
              <w:top w:val="nil"/>
              <w:left w:val="nil"/>
              <w:bottom w:val="nil"/>
              <w:right w:val="nil"/>
            </w:tcBorders>
            <w:shd w:val="clear" w:color="auto" w:fill="auto"/>
            <w:noWrap/>
            <w:vAlign w:val="bottom"/>
            <w:hideMark/>
          </w:tcPr>
          <w:p w14:paraId="18AAFF9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731C758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FF6D95D" w14:textId="77777777" w:rsidTr="001E04CC">
        <w:trPr>
          <w:trHeight w:val="20"/>
        </w:trPr>
        <w:tc>
          <w:tcPr>
            <w:tcW w:w="2430" w:type="dxa"/>
            <w:tcBorders>
              <w:top w:val="nil"/>
              <w:left w:val="nil"/>
              <w:bottom w:val="nil"/>
              <w:right w:val="nil"/>
            </w:tcBorders>
            <w:shd w:val="clear" w:color="auto" w:fill="auto"/>
            <w:noWrap/>
            <w:vAlign w:val="bottom"/>
            <w:hideMark/>
          </w:tcPr>
          <w:p w14:paraId="74FF0FA3"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Zaroxolyn</w:t>
            </w:r>
            <w:proofErr w:type="spellEnd"/>
          </w:p>
        </w:tc>
        <w:tc>
          <w:tcPr>
            <w:tcW w:w="1332" w:type="dxa"/>
            <w:tcBorders>
              <w:top w:val="nil"/>
              <w:left w:val="nil"/>
              <w:bottom w:val="nil"/>
              <w:right w:val="nil"/>
            </w:tcBorders>
            <w:shd w:val="clear" w:color="auto" w:fill="auto"/>
            <w:noWrap/>
            <w:vAlign w:val="bottom"/>
            <w:hideMark/>
          </w:tcPr>
          <w:p w14:paraId="7807CD7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5E61FB69"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7010C86" w14:textId="77777777" w:rsidTr="001E04CC">
        <w:trPr>
          <w:trHeight w:val="20"/>
        </w:trPr>
        <w:tc>
          <w:tcPr>
            <w:tcW w:w="2430" w:type="dxa"/>
            <w:tcBorders>
              <w:top w:val="nil"/>
              <w:left w:val="nil"/>
              <w:bottom w:val="nil"/>
              <w:right w:val="nil"/>
            </w:tcBorders>
            <w:shd w:val="clear" w:color="auto" w:fill="auto"/>
            <w:noWrap/>
            <w:vAlign w:val="bottom"/>
            <w:hideMark/>
          </w:tcPr>
          <w:p w14:paraId="6BFDA60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Zebeta</w:t>
            </w:r>
            <w:proofErr w:type="spellEnd"/>
          </w:p>
        </w:tc>
        <w:tc>
          <w:tcPr>
            <w:tcW w:w="1332" w:type="dxa"/>
            <w:tcBorders>
              <w:top w:val="nil"/>
              <w:left w:val="nil"/>
              <w:bottom w:val="nil"/>
              <w:right w:val="nil"/>
            </w:tcBorders>
            <w:shd w:val="clear" w:color="auto" w:fill="auto"/>
            <w:noWrap/>
            <w:vAlign w:val="bottom"/>
            <w:hideMark/>
          </w:tcPr>
          <w:p w14:paraId="7CD7C52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CB2EB7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2787A478" w14:textId="77777777" w:rsidTr="001E04CC">
        <w:trPr>
          <w:trHeight w:val="20"/>
        </w:trPr>
        <w:tc>
          <w:tcPr>
            <w:tcW w:w="2430" w:type="dxa"/>
            <w:tcBorders>
              <w:top w:val="nil"/>
              <w:left w:val="nil"/>
              <w:bottom w:val="nil"/>
              <w:right w:val="nil"/>
            </w:tcBorders>
            <w:shd w:val="clear" w:color="auto" w:fill="auto"/>
            <w:noWrap/>
            <w:vAlign w:val="bottom"/>
            <w:hideMark/>
          </w:tcPr>
          <w:p w14:paraId="7E4A631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Zerit</w:t>
            </w:r>
            <w:proofErr w:type="spellEnd"/>
          </w:p>
        </w:tc>
        <w:tc>
          <w:tcPr>
            <w:tcW w:w="1332" w:type="dxa"/>
            <w:tcBorders>
              <w:top w:val="nil"/>
              <w:left w:val="nil"/>
              <w:bottom w:val="nil"/>
              <w:right w:val="nil"/>
            </w:tcBorders>
            <w:shd w:val="clear" w:color="auto" w:fill="auto"/>
            <w:noWrap/>
            <w:vAlign w:val="bottom"/>
            <w:hideMark/>
          </w:tcPr>
          <w:p w14:paraId="06C877A6"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53A2CC62"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217E728" w14:textId="77777777" w:rsidTr="001E04CC">
        <w:trPr>
          <w:trHeight w:val="20"/>
        </w:trPr>
        <w:tc>
          <w:tcPr>
            <w:tcW w:w="2430" w:type="dxa"/>
            <w:tcBorders>
              <w:top w:val="nil"/>
              <w:left w:val="nil"/>
              <w:bottom w:val="nil"/>
              <w:right w:val="nil"/>
            </w:tcBorders>
            <w:shd w:val="clear" w:color="auto" w:fill="auto"/>
            <w:noWrap/>
            <w:vAlign w:val="bottom"/>
            <w:hideMark/>
          </w:tcPr>
          <w:p w14:paraId="19BD5368"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Zestoretic</w:t>
            </w:r>
            <w:proofErr w:type="spellEnd"/>
          </w:p>
        </w:tc>
        <w:tc>
          <w:tcPr>
            <w:tcW w:w="1332" w:type="dxa"/>
            <w:tcBorders>
              <w:top w:val="nil"/>
              <w:left w:val="nil"/>
              <w:bottom w:val="nil"/>
              <w:right w:val="nil"/>
            </w:tcBorders>
            <w:shd w:val="clear" w:color="auto" w:fill="auto"/>
            <w:noWrap/>
            <w:vAlign w:val="bottom"/>
            <w:hideMark/>
          </w:tcPr>
          <w:p w14:paraId="0F357F0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1256AC2D"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34827D32" w14:textId="77777777" w:rsidTr="001E04CC">
        <w:trPr>
          <w:trHeight w:val="20"/>
        </w:trPr>
        <w:tc>
          <w:tcPr>
            <w:tcW w:w="2430" w:type="dxa"/>
            <w:tcBorders>
              <w:top w:val="nil"/>
              <w:left w:val="nil"/>
              <w:bottom w:val="nil"/>
              <w:right w:val="nil"/>
            </w:tcBorders>
            <w:shd w:val="clear" w:color="auto" w:fill="auto"/>
            <w:noWrap/>
            <w:vAlign w:val="bottom"/>
            <w:hideMark/>
          </w:tcPr>
          <w:p w14:paraId="0A0BB4D6"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Zestril</w:t>
            </w:r>
          </w:p>
        </w:tc>
        <w:tc>
          <w:tcPr>
            <w:tcW w:w="1332" w:type="dxa"/>
            <w:tcBorders>
              <w:top w:val="nil"/>
              <w:left w:val="nil"/>
              <w:bottom w:val="nil"/>
              <w:right w:val="nil"/>
            </w:tcBorders>
            <w:shd w:val="clear" w:color="auto" w:fill="auto"/>
            <w:noWrap/>
            <w:vAlign w:val="bottom"/>
            <w:hideMark/>
          </w:tcPr>
          <w:p w14:paraId="7E253E4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75D2D6AC"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CBDA1B0" w14:textId="77777777" w:rsidTr="001E04CC">
        <w:trPr>
          <w:trHeight w:val="20"/>
        </w:trPr>
        <w:tc>
          <w:tcPr>
            <w:tcW w:w="2430" w:type="dxa"/>
            <w:tcBorders>
              <w:top w:val="nil"/>
              <w:left w:val="nil"/>
              <w:bottom w:val="nil"/>
              <w:right w:val="nil"/>
            </w:tcBorders>
            <w:shd w:val="clear" w:color="auto" w:fill="auto"/>
            <w:noWrap/>
            <w:vAlign w:val="bottom"/>
            <w:hideMark/>
          </w:tcPr>
          <w:p w14:paraId="0D09B29F"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Zetia</w:t>
            </w:r>
          </w:p>
        </w:tc>
        <w:tc>
          <w:tcPr>
            <w:tcW w:w="1332" w:type="dxa"/>
            <w:tcBorders>
              <w:top w:val="nil"/>
              <w:left w:val="nil"/>
              <w:bottom w:val="nil"/>
              <w:right w:val="nil"/>
            </w:tcBorders>
            <w:shd w:val="clear" w:color="auto" w:fill="auto"/>
            <w:noWrap/>
            <w:vAlign w:val="bottom"/>
            <w:hideMark/>
          </w:tcPr>
          <w:p w14:paraId="48162DDE"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15EA68A8"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4C105FFE" w14:textId="77777777" w:rsidTr="001E04CC">
        <w:trPr>
          <w:trHeight w:val="20"/>
        </w:trPr>
        <w:tc>
          <w:tcPr>
            <w:tcW w:w="2430" w:type="dxa"/>
            <w:tcBorders>
              <w:top w:val="nil"/>
              <w:left w:val="nil"/>
              <w:bottom w:val="nil"/>
              <w:right w:val="nil"/>
            </w:tcBorders>
            <w:shd w:val="clear" w:color="auto" w:fill="auto"/>
            <w:noWrap/>
            <w:vAlign w:val="bottom"/>
            <w:hideMark/>
          </w:tcPr>
          <w:p w14:paraId="71F0C0AA"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Ziac</w:t>
            </w:r>
            <w:proofErr w:type="spellEnd"/>
          </w:p>
        </w:tc>
        <w:tc>
          <w:tcPr>
            <w:tcW w:w="1332" w:type="dxa"/>
            <w:tcBorders>
              <w:top w:val="nil"/>
              <w:left w:val="nil"/>
              <w:bottom w:val="nil"/>
              <w:right w:val="nil"/>
            </w:tcBorders>
            <w:shd w:val="clear" w:color="auto" w:fill="auto"/>
            <w:noWrap/>
            <w:vAlign w:val="bottom"/>
            <w:hideMark/>
          </w:tcPr>
          <w:p w14:paraId="3C1C30E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Hypertension</w:t>
            </w:r>
          </w:p>
        </w:tc>
        <w:tc>
          <w:tcPr>
            <w:tcW w:w="900" w:type="dxa"/>
            <w:tcBorders>
              <w:top w:val="nil"/>
              <w:left w:val="nil"/>
              <w:bottom w:val="nil"/>
              <w:right w:val="nil"/>
            </w:tcBorders>
            <w:shd w:val="clear" w:color="auto" w:fill="auto"/>
            <w:noWrap/>
            <w:vAlign w:val="bottom"/>
            <w:hideMark/>
          </w:tcPr>
          <w:p w14:paraId="208C93D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02784466" w14:textId="77777777" w:rsidTr="001E04CC">
        <w:trPr>
          <w:trHeight w:val="20"/>
        </w:trPr>
        <w:tc>
          <w:tcPr>
            <w:tcW w:w="2430" w:type="dxa"/>
            <w:tcBorders>
              <w:top w:val="nil"/>
              <w:left w:val="nil"/>
              <w:bottom w:val="nil"/>
              <w:right w:val="nil"/>
            </w:tcBorders>
            <w:shd w:val="clear" w:color="auto" w:fill="auto"/>
            <w:noWrap/>
            <w:vAlign w:val="bottom"/>
            <w:hideMark/>
          </w:tcPr>
          <w:p w14:paraId="2B3F78A7"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Ziagen</w:t>
            </w:r>
            <w:proofErr w:type="spellEnd"/>
          </w:p>
        </w:tc>
        <w:tc>
          <w:tcPr>
            <w:tcW w:w="1332" w:type="dxa"/>
            <w:tcBorders>
              <w:top w:val="nil"/>
              <w:left w:val="nil"/>
              <w:bottom w:val="nil"/>
              <w:right w:val="nil"/>
            </w:tcBorders>
            <w:shd w:val="clear" w:color="auto" w:fill="auto"/>
            <w:noWrap/>
            <w:vAlign w:val="bottom"/>
            <w:hideMark/>
          </w:tcPr>
          <w:p w14:paraId="3D046F4B"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6E2E54CE"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5DC932A5" w14:textId="77777777" w:rsidTr="001E04CC">
        <w:trPr>
          <w:trHeight w:val="20"/>
        </w:trPr>
        <w:tc>
          <w:tcPr>
            <w:tcW w:w="2430" w:type="dxa"/>
            <w:tcBorders>
              <w:top w:val="nil"/>
              <w:left w:val="nil"/>
              <w:bottom w:val="nil"/>
              <w:right w:val="nil"/>
            </w:tcBorders>
            <w:shd w:val="clear" w:color="auto" w:fill="auto"/>
            <w:noWrap/>
            <w:vAlign w:val="bottom"/>
            <w:hideMark/>
          </w:tcPr>
          <w:p w14:paraId="5AE49D59"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zidovudine</w:t>
            </w:r>
          </w:p>
        </w:tc>
        <w:tc>
          <w:tcPr>
            <w:tcW w:w="1332" w:type="dxa"/>
            <w:tcBorders>
              <w:top w:val="nil"/>
              <w:left w:val="nil"/>
              <w:bottom w:val="nil"/>
              <w:right w:val="nil"/>
            </w:tcBorders>
            <w:shd w:val="clear" w:color="auto" w:fill="auto"/>
            <w:noWrap/>
            <w:vAlign w:val="bottom"/>
            <w:hideMark/>
          </w:tcPr>
          <w:p w14:paraId="0F754431"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HIV/AIDS</w:t>
            </w:r>
          </w:p>
        </w:tc>
        <w:tc>
          <w:tcPr>
            <w:tcW w:w="900" w:type="dxa"/>
            <w:tcBorders>
              <w:top w:val="nil"/>
              <w:left w:val="nil"/>
              <w:bottom w:val="nil"/>
              <w:right w:val="nil"/>
            </w:tcBorders>
            <w:shd w:val="clear" w:color="auto" w:fill="auto"/>
            <w:noWrap/>
            <w:vAlign w:val="bottom"/>
            <w:hideMark/>
          </w:tcPr>
          <w:p w14:paraId="20C5C2A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3021F087" w14:textId="77777777" w:rsidTr="001E04CC">
        <w:trPr>
          <w:trHeight w:val="20"/>
        </w:trPr>
        <w:tc>
          <w:tcPr>
            <w:tcW w:w="2430" w:type="dxa"/>
            <w:tcBorders>
              <w:top w:val="nil"/>
              <w:left w:val="nil"/>
              <w:bottom w:val="nil"/>
              <w:right w:val="nil"/>
            </w:tcBorders>
            <w:shd w:val="clear" w:color="auto" w:fill="auto"/>
            <w:noWrap/>
            <w:vAlign w:val="bottom"/>
            <w:hideMark/>
          </w:tcPr>
          <w:p w14:paraId="0AA8C3B4"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ziprasidone</w:t>
            </w:r>
          </w:p>
        </w:tc>
        <w:tc>
          <w:tcPr>
            <w:tcW w:w="1332" w:type="dxa"/>
            <w:tcBorders>
              <w:top w:val="nil"/>
              <w:left w:val="nil"/>
              <w:bottom w:val="nil"/>
              <w:right w:val="nil"/>
            </w:tcBorders>
            <w:shd w:val="clear" w:color="auto" w:fill="auto"/>
            <w:noWrap/>
            <w:vAlign w:val="bottom"/>
            <w:hideMark/>
          </w:tcPr>
          <w:p w14:paraId="0768891D"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060E444"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622ED3BC" w14:textId="77777777" w:rsidTr="001E04CC">
        <w:trPr>
          <w:trHeight w:val="20"/>
        </w:trPr>
        <w:tc>
          <w:tcPr>
            <w:tcW w:w="2430" w:type="dxa"/>
            <w:tcBorders>
              <w:top w:val="nil"/>
              <w:left w:val="nil"/>
              <w:bottom w:val="nil"/>
              <w:right w:val="nil"/>
            </w:tcBorders>
            <w:shd w:val="clear" w:color="auto" w:fill="auto"/>
            <w:noWrap/>
            <w:vAlign w:val="bottom"/>
            <w:hideMark/>
          </w:tcPr>
          <w:p w14:paraId="21152D22"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Zocor</w:t>
            </w:r>
          </w:p>
        </w:tc>
        <w:tc>
          <w:tcPr>
            <w:tcW w:w="1332" w:type="dxa"/>
            <w:tcBorders>
              <w:top w:val="nil"/>
              <w:left w:val="nil"/>
              <w:bottom w:val="nil"/>
              <w:right w:val="nil"/>
            </w:tcBorders>
            <w:shd w:val="clear" w:color="auto" w:fill="auto"/>
            <w:noWrap/>
            <w:vAlign w:val="bottom"/>
            <w:hideMark/>
          </w:tcPr>
          <w:p w14:paraId="44712CC5"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High cholesterol</w:t>
            </w:r>
          </w:p>
        </w:tc>
        <w:tc>
          <w:tcPr>
            <w:tcW w:w="900" w:type="dxa"/>
            <w:tcBorders>
              <w:top w:val="nil"/>
              <w:left w:val="nil"/>
              <w:bottom w:val="nil"/>
              <w:right w:val="nil"/>
            </w:tcBorders>
            <w:shd w:val="clear" w:color="auto" w:fill="auto"/>
            <w:noWrap/>
            <w:vAlign w:val="bottom"/>
            <w:hideMark/>
          </w:tcPr>
          <w:p w14:paraId="44CF5CF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51877152" w14:textId="77777777" w:rsidTr="001E04CC">
        <w:trPr>
          <w:trHeight w:val="20"/>
        </w:trPr>
        <w:tc>
          <w:tcPr>
            <w:tcW w:w="2430" w:type="dxa"/>
            <w:tcBorders>
              <w:top w:val="nil"/>
              <w:left w:val="nil"/>
              <w:bottom w:val="nil"/>
              <w:right w:val="nil"/>
            </w:tcBorders>
            <w:shd w:val="clear" w:color="auto" w:fill="auto"/>
            <w:noWrap/>
            <w:vAlign w:val="bottom"/>
            <w:hideMark/>
          </w:tcPr>
          <w:p w14:paraId="397DC93C" w14:textId="77777777" w:rsidR="00434583" w:rsidRPr="001A20A2" w:rsidRDefault="00434583" w:rsidP="00AB0018">
            <w:pPr>
              <w:spacing w:after="0" w:line="240" w:lineRule="auto"/>
              <w:rPr>
                <w:rFonts w:ascii="Calibri" w:eastAsia="Times New Roman" w:hAnsi="Calibri" w:cs="Times New Roman"/>
                <w:color w:val="000000"/>
                <w:sz w:val="16"/>
                <w:szCs w:val="16"/>
              </w:rPr>
            </w:pPr>
            <w:proofErr w:type="spellStart"/>
            <w:r w:rsidRPr="001A20A2">
              <w:rPr>
                <w:rFonts w:ascii="Calibri" w:eastAsia="Times New Roman" w:hAnsi="Calibri" w:cs="Times New Roman"/>
                <w:color w:val="000000"/>
                <w:sz w:val="16"/>
                <w:szCs w:val="16"/>
              </w:rPr>
              <w:t>Zortress</w:t>
            </w:r>
            <w:proofErr w:type="spellEnd"/>
          </w:p>
        </w:tc>
        <w:tc>
          <w:tcPr>
            <w:tcW w:w="1332" w:type="dxa"/>
            <w:tcBorders>
              <w:top w:val="nil"/>
              <w:left w:val="nil"/>
              <w:bottom w:val="nil"/>
              <w:right w:val="nil"/>
            </w:tcBorders>
            <w:shd w:val="clear" w:color="auto" w:fill="auto"/>
            <w:noWrap/>
            <w:vAlign w:val="bottom"/>
            <w:hideMark/>
          </w:tcPr>
          <w:p w14:paraId="299DD8E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Organ rejection</w:t>
            </w:r>
          </w:p>
        </w:tc>
        <w:tc>
          <w:tcPr>
            <w:tcW w:w="900" w:type="dxa"/>
            <w:tcBorders>
              <w:top w:val="nil"/>
              <w:left w:val="nil"/>
              <w:bottom w:val="nil"/>
              <w:right w:val="nil"/>
            </w:tcBorders>
            <w:shd w:val="clear" w:color="auto" w:fill="auto"/>
            <w:noWrap/>
            <w:vAlign w:val="bottom"/>
            <w:hideMark/>
          </w:tcPr>
          <w:p w14:paraId="2796715B"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1</w:t>
            </w:r>
          </w:p>
        </w:tc>
      </w:tr>
      <w:tr w:rsidR="00434583" w:rsidRPr="001A20A2" w14:paraId="7A237C70" w14:textId="77777777" w:rsidTr="001E04CC">
        <w:trPr>
          <w:trHeight w:val="20"/>
        </w:trPr>
        <w:tc>
          <w:tcPr>
            <w:tcW w:w="2430" w:type="dxa"/>
            <w:tcBorders>
              <w:top w:val="nil"/>
              <w:left w:val="nil"/>
              <w:bottom w:val="nil"/>
              <w:right w:val="nil"/>
            </w:tcBorders>
            <w:shd w:val="clear" w:color="auto" w:fill="auto"/>
            <w:noWrap/>
            <w:vAlign w:val="bottom"/>
            <w:hideMark/>
          </w:tcPr>
          <w:p w14:paraId="541338A5"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Zyflo</w:t>
            </w:r>
          </w:p>
        </w:tc>
        <w:tc>
          <w:tcPr>
            <w:tcW w:w="1332" w:type="dxa"/>
            <w:tcBorders>
              <w:top w:val="nil"/>
              <w:left w:val="nil"/>
              <w:bottom w:val="nil"/>
              <w:right w:val="nil"/>
            </w:tcBorders>
            <w:shd w:val="clear" w:color="auto" w:fill="auto"/>
            <w:noWrap/>
            <w:vAlign w:val="bottom"/>
            <w:hideMark/>
          </w:tcPr>
          <w:p w14:paraId="0070F454"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0859DA97"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15F76C75" w14:textId="77777777" w:rsidTr="001E04CC">
        <w:trPr>
          <w:trHeight w:val="20"/>
        </w:trPr>
        <w:tc>
          <w:tcPr>
            <w:tcW w:w="2430" w:type="dxa"/>
            <w:tcBorders>
              <w:top w:val="nil"/>
              <w:left w:val="nil"/>
              <w:bottom w:val="nil"/>
              <w:right w:val="nil"/>
            </w:tcBorders>
            <w:shd w:val="clear" w:color="auto" w:fill="auto"/>
            <w:noWrap/>
            <w:vAlign w:val="bottom"/>
            <w:hideMark/>
          </w:tcPr>
          <w:p w14:paraId="3E69D920"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Zyflo CR</w:t>
            </w:r>
          </w:p>
        </w:tc>
        <w:tc>
          <w:tcPr>
            <w:tcW w:w="1332" w:type="dxa"/>
            <w:tcBorders>
              <w:top w:val="nil"/>
              <w:left w:val="nil"/>
              <w:bottom w:val="nil"/>
              <w:right w:val="nil"/>
            </w:tcBorders>
            <w:shd w:val="clear" w:color="auto" w:fill="auto"/>
            <w:noWrap/>
            <w:vAlign w:val="bottom"/>
            <w:hideMark/>
          </w:tcPr>
          <w:p w14:paraId="7DBB693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Asthma/COPD</w:t>
            </w:r>
          </w:p>
        </w:tc>
        <w:tc>
          <w:tcPr>
            <w:tcW w:w="900" w:type="dxa"/>
            <w:tcBorders>
              <w:top w:val="nil"/>
              <w:left w:val="nil"/>
              <w:bottom w:val="nil"/>
              <w:right w:val="nil"/>
            </w:tcBorders>
            <w:shd w:val="clear" w:color="auto" w:fill="auto"/>
            <w:noWrap/>
            <w:vAlign w:val="bottom"/>
            <w:hideMark/>
          </w:tcPr>
          <w:p w14:paraId="19C0D6A6"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r w:rsidR="00434583" w:rsidRPr="001A20A2" w14:paraId="25D10A58" w14:textId="77777777" w:rsidTr="001E04CC">
        <w:trPr>
          <w:trHeight w:val="20"/>
        </w:trPr>
        <w:tc>
          <w:tcPr>
            <w:tcW w:w="2430" w:type="dxa"/>
            <w:tcBorders>
              <w:top w:val="nil"/>
              <w:left w:val="nil"/>
              <w:bottom w:val="nil"/>
              <w:right w:val="nil"/>
            </w:tcBorders>
            <w:shd w:val="clear" w:color="auto" w:fill="auto"/>
            <w:noWrap/>
            <w:vAlign w:val="bottom"/>
            <w:hideMark/>
          </w:tcPr>
          <w:p w14:paraId="5008894A" w14:textId="77777777" w:rsidR="00434583" w:rsidRPr="001A20A2" w:rsidRDefault="00434583" w:rsidP="00AB0018">
            <w:pPr>
              <w:spacing w:after="0" w:line="240" w:lineRule="auto"/>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 xml:space="preserve">Zyprexa </w:t>
            </w:r>
            <w:r>
              <w:rPr>
                <w:rFonts w:ascii="Calibri" w:eastAsia="Times New Roman" w:hAnsi="Calibri" w:cs="Times New Roman"/>
                <w:color w:val="000000"/>
                <w:sz w:val="16"/>
                <w:szCs w:val="16"/>
              </w:rPr>
              <w:t>**</w:t>
            </w:r>
          </w:p>
        </w:tc>
        <w:tc>
          <w:tcPr>
            <w:tcW w:w="1332" w:type="dxa"/>
            <w:tcBorders>
              <w:top w:val="nil"/>
              <w:left w:val="nil"/>
              <w:bottom w:val="nil"/>
              <w:right w:val="nil"/>
            </w:tcBorders>
            <w:shd w:val="clear" w:color="auto" w:fill="auto"/>
            <w:noWrap/>
            <w:vAlign w:val="bottom"/>
            <w:hideMark/>
          </w:tcPr>
          <w:p w14:paraId="7287ABFA" w14:textId="77777777" w:rsidR="00434583" w:rsidRPr="001A20A2" w:rsidRDefault="00434583" w:rsidP="00AB0018">
            <w:pPr>
              <w:spacing w:after="0" w:line="240" w:lineRule="auto"/>
              <w:rPr>
                <w:rFonts w:ascii="Calibri" w:eastAsia="Times New Roman" w:hAnsi="Calibri" w:cs="Times New Roman"/>
                <w:color w:val="000000"/>
                <w:sz w:val="16"/>
                <w:szCs w:val="16"/>
              </w:rPr>
            </w:pPr>
            <w:r>
              <w:rPr>
                <w:rFonts w:ascii="Calibri" w:eastAsia="Times New Roman" w:hAnsi="Calibri" w:cs="Times New Roman"/>
                <w:color w:val="000000"/>
                <w:sz w:val="16"/>
                <w:szCs w:val="16"/>
              </w:rPr>
              <w:t>Psychosis</w:t>
            </w:r>
          </w:p>
        </w:tc>
        <w:tc>
          <w:tcPr>
            <w:tcW w:w="900" w:type="dxa"/>
            <w:tcBorders>
              <w:top w:val="nil"/>
              <w:left w:val="nil"/>
              <w:bottom w:val="nil"/>
              <w:right w:val="nil"/>
            </w:tcBorders>
            <w:shd w:val="clear" w:color="auto" w:fill="auto"/>
            <w:noWrap/>
            <w:vAlign w:val="bottom"/>
            <w:hideMark/>
          </w:tcPr>
          <w:p w14:paraId="59DD9CB1" w14:textId="77777777" w:rsidR="00434583" w:rsidRPr="001A20A2" w:rsidRDefault="00434583" w:rsidP="00AB0018">
            <w:pPr>
              <w:spacing w:after="0" w:line="240" w:lineRule="auto"/>
              <w:jc w:val="center"/>
              <w:rPr>
                <w:rFonts w:ascii="Calibri" w:eastAsia="Times New Roman" w:hAnsi="Calibri" w:cs="Times New Roman"/>
                <w:color w:val="000000"/>
                <w:sz w:val="16"/>
                <w:szCs w:val="16"/>
              </w:rPr>
            </w:pPr>
            <w:r w:rsidRPr="001A20A2">
              <w:rPr>
                <w:rFonts w:ascii="Calibri" w:eastAsia="Times New Roman" w:hAnsi="Calibri" w:cs="Times New Roman"/>
                <w:color w:val="000000"/>
                <w:sz w:val="16"/>
                <w:szCs w:val="16"/>
              </w:rPr>
              <w:t>0</w:t>
            </w:r>
          </w:p>
        </w:tc>
      </w:tr>
    </w:tbl>
    <w:p w14:paraId="38E2366F" w14:textId="77777777" w:rsidR="00AB0018" w:rsidRDefault="00AB0018" w:rsidP="00AB0018">
      <w:pPr>
        <w:spacing w:after="0" w:line="240" w:lineRule="auto"/>
        <w:rPr>
          <w:rFonts w:ascii="Calibri" w:eastAsia="Times New Roman" w:hAnsi="Calibri" w:cs="Times New Roman"/>
          <w:color w:val="000000"/>
          <w:sz w:val="16"/>
          <w:szCs w:val="16"/>
        </w:rPr>
        <w:sectPr w:rsidR="00AB0018" w:rsidSect="00AB0018">
          <w:type w:val="continuous"/>
          <w:pgSz w:w="12240" w:h="15840"/>
          <w:pgMar w:top="1440" w:right="1440" w:bottom="1440" w:left="1440" w:header="720" w:footer="720" w:gutter="0"/>
          <w:cols w:num="2" w:space="720"/>
          <w:docGrid w:linePitch="360"/>
        </w:sectPr>
      </w:pPr>
    </w:p>
    <w:p w14:paraId="5F8695DA" w14:textId="06860EBB" w:rsidR="00AB0018" w:rsidRPr="007926D2" w:rsidRDefault="00AB0018" w:rsidP="00AB0018">
      <w:pPr>
        <w:spacing w:line="240" w:lineRule="auto"/>
        <w:rPr>
          <w:sz w:val="16"/>
          <w:szCs w:val="16"/>
        </w:rPr>
        <w:sectPr w:rsidR="00AB0018" w:rsidRPr="007926D2" w:rsidSect="00AB0018">
          <w:type w:val="continuous"/>
          <w:pgSz w:w="12240" w:h="15840"/>
          <w:pgMar w:top="1440" w:right="1440" w:bottom="1440" w:left="1440" w:header="720" w:footer="720" w:gutter="0"/>
          <w:cols w:space="720"/>
          <w:docGrid w:linePitch="360"/>
        </w:sectPr>
      </w:pPr>
      <w:r w:rsidRPr="007926D2">
        <w:rPr>
          <w:sz w:val="16"/>
          <w:szCs w:val="16"/>
        </w:rPr>
        <w:t xml:space="preserve">* </w:t>
      </w:r>
      <w:r w:rsidR="007926D2" w:rsidRPr="007926D2">
        <w:rPr>
          <w:sz w:val="16"/>
          <w:szCs w:val="16"/>
        </w:rPr>
        <w:t>Capitalized medications listed by brand name, others by generic name</w:t>
      </w:r>
      <w:r w:rsidR="003B602E">
        <w:rPr>
          <w:sz w:val="16"/>
          <w:szCs w:val="16"/>
        </w:rPr>
        <w:t xml:space="preserve">; </w:t>
      </w:r>
      <w:r w:rsidRPr="007926D2">
        <w:rPr>
          <w:sz w:val="16"/>
          <w:szCs w:val="16"/>
        </w:rPr>
        <w:t xml:space="preserve">** Can be excluded from </w:t>
      </w:r>
      <w:r w:rsidR="00F513ED">
        <w:rPr>
          <w:sz w:val="16"/>
          <w:szCs w:val="16"/>
        </w:rPr>
        <w:t>the PDL by an employer</w:t>
      </w:r>
    </w:p>
    <w:p w14:paraId="2E397AFF" w14:textId="20698374" w:rsidR="00977D23" w:rsidRPr="00EE5FD0" w:rsidRDefault="00753C13" w:rsidP="00434583">
      <w:pPr>
        <w:rPr>
          <w:b/>
        </w:rPr>
      </w:pPr>
      <w:r>
        <w:rPr>
          <w:b/>
        </w:rPr>
        <w:lastRenderedPageBreak/>
        <w:t>SDC</w:t>
      </w:r>
      <w:r w:rsidR="00977D23" w:rsidRPr="00EE5FD0">
        <w:rPr>
          <w:b/>
        </w:rPr>
        <w:t xml:space="preserve"> Table 3</w:t>
      </w:r>
      <w:r w:rsidR="00095A9D">
        <w:rPr>
          <w:b/>
        </w:rPr>
        <w:t>.</w:t>
      </w:r>
      <w:r w:rsidR="00977D23" w:rsidRPr="00EE5FD0">
        <w:rPr>
          <w:b/>
        </w:rPr>
        <w:t xml:space="preserve"> Diagnosis and medication codes used to define diabetes patients</w:t>
      </w:r>
    </w:p>
    <w:tbl>
      <w:tblPr>
        <w:tblW w:w="9432" w:type="dxa"/>
        <w:tblInd w:w="108" w:type="dxa"/>
        <w:tblLook w:val="04A0" w:firstRow="1" w:lastRow="0" w:firstColumn="1" w:lastColumn="0" w:noHBand="0" w:noVBand="1"/>
      </w:tblPr>
      <w:tblGrid>
        <w:gridCol w:w="4842"/>
        <w:gridCol w:w="4590"/>
      </w:tblGrid>
      <w:tr w:rsidR="00977D23" w:rsidRPr="000C06BD" w14:paraId="3909EA05" w14:textId="77777777" w:rsidTr="00415CD5">
        <w:trPr>
          <w:trHeight w:val="206"/>
        </w:trPr>
        <w:tc>
          <w:tcPr>
            <w:tcW w:w="4842" w:type="dxa"/>
            <w:tcBorders>
              <w:bottom w:val="single" w:sz="4" w:space="0" w:color="auto"/>
            </w:tcBorders>
            <w:shd w:val="clear" w:color="auto" w:fill="auto"/>
            <w:noWrap/>
          </w:tcPr>
          <w:p w14:paraId="2AAE510B" w14:textId="77777777" w:rsidR="00977D23" w:rsidRPr="000C06BD" w:rsidRDefault="00977D23" w:rsidP="00415CD5">
            <w:pPr>
              <w:spacing w:after="0" w:line="240" w:lineRule="auto"/>
              <w:rPr>
                <w:rFonts w:asciiTheme="minorHAnsi" w:hAnsiTheme="minorHAnsi" w:cstheme="minorHAnsi"/>
                <w:b/>
              </w:rPr>
            </w:pPr>
            <w:r w:rsidRPr="000C06BD">
              <w:rPr>
                <w:rFonts w:asciiTheme="minorHAnsi" w:hAnsiTheme="minorHAnsi" w:cstheme="minorHAnsi"/>
                <w:b/>
              </w:rPr>
              <w:t>Code Description</w:t>
            </w:r>
          </w:p>
        </w:tc>
        <w:tc>
          <w:tcPr>
            <w:tcW w:w="4590" w:type="dxa"/>
            <w:tcBorders>
              <w:bottom w:val="single" w:sz="4" w:space="0" w:color="auto"/>
            </w:tcBorders>
            <w:shd w:val="clear" w:color="auto" w:fill="auto"/>
            <w:noWrap/>
          </w:tcPr>
          <w:p w14:paraId="7C67E6B0" w14:textId="77777777" w:rsidR="00977D23" w:rsidRPr="000C06BD" w:rsidRDefault="00977D23" w:rsidP="00415CD5">
            <w:pPr>
              <w:spacing w:after="0" w:line="240" w:lineRule="auto"/>
              <w:rPr>
                <w:rFonts w:asciiTheme="minorHAnsi" w:hAnsiTheme="minorHAnsi" w:cstheme="minorHAnsi"/>
                <w:b/>
              </w:rPr>
            </w:pPr>
            <w:r w:rsidRPr="000C06BD">
              <w:rPr>
                <w:rFonts w:asciiTheme="minorHAnsi" w:hAnsiTheme="minorHAnsi" w:cstheme="minorHAnsi"/>
                <w:b/>
              </w:rPr>
              <w:t>ICD-9-CM, DRG, or AHFS Code</w:t>
            </w:r>
          </w:p>
        </w:tc>
      </w:tr>
      <w:tr w:rsidR="00977D23" w:rsidRPr="000C06BD" w14:paraId="77B1C726" w14:textId="77777777" w:rsidTr="00415CD5">
        <w:trPr>
          <w:trHeight w:val="206"/>
        </w:trPr>
        <w:tc>
          <w:tcPr>
            <w:tcW w:w="4842" w:type="dxa"/>
            <w:tcBorders>
              <w:top w:val="single" w:sz="4" w:space="0" w:color="auto"/>
            </w:tcBorders>
            <w:shd w:val="clear" w:color="auto" w:fill="auto"/>
            <w:noWrap/>
          </w:tcPr>
          <w:p w14:paraId="4C6393DD" w14:textId="0A3FC69E" w:rsidR="00977D23" w:rsidRPr="000C06BD" w:rsidRDefault="005B0DF6" w:rsidP="00415CD5">
            <w:pPr>
              <w:spacing w:after="0" w:line="240" w:lineRule="auto"/>
              <w:rPr>
                <w:rFonts w:asciiTheme="minorHAnsi" w:hAnsiTheme="minorHAnsi" w:cstheme="minorHAnsi"/>
              </w:rPr>
            </w:pPr>
            <w:r w:rsidRPr="000C06BD">
              <w:rPr>
                <w:rFonts w:asciiTheme="minorHAnsi" w:hAnsiTheme="minorHAnsi" w:cstheme="minorHAnsi"/>
              </w:rPr>
              <w:t>I</w:t>
            </w:r>
            <w:r w:rsidR="00977D23" w:rsidRPr="000C06BD">
              <w:rPr>
                <w:rFonts w:asciiTheme="minorHAnsi" w:hAnsiTheme="minorHAnsi" w:cstheme="minorHAnsi"/>
              </w:rPr>
              <w:t>nclude</w:t>
            </w:r>
            <w:r w:rsidRPr="000C06BD">
              <w:rPr>
                <w:rFonts w:asciiTheme="minorHAnsi" w:hAnsiTheme="minorHAnsi" w:cstheme="minorHAnsi"/>
              </w:rPr>
              <w:t xml:space="preserve"> if</w:t>
            </w:r>
            <w:r w:rsidR="00977D23" w:rsidRPr="000C06BD">
              <w:rPr>
                <w:rFonts w:asciiTheme="minorHAnsi" w:hAnsiTheme="minorHAnsi" w:cstheme="minorHAnsi"/>
              </w:rPr>
              <w:t>:</w:t>
            </w:r>
          </w:p>
        </w:tc>
        <w:tc>
          <w:tcPr>
            <w:tcW w:w="4590" w:type="dxa"/>
            <w:tcBorders>
              <w:top w:val="single" w:sz="4" w:space="0" w:color="auto"/>
            </w:tcBorders>
            <w:shd w:val="clear" w:color="auto" w:fill="auto"/>
            <w:noWrap/>
          </w:tcPr>
          <w:p w14:paraId="232C5B28" w14:textId="77777777" w:rsidR="00977D23" w:rsidRPr="000C06BD" w:rsidRDefault="00977D23" w:rsidP="00415CD5">
            <w:pPr>
              <w:spacing w:after="0" w:line="240" w:lineRule="auto"/>
              <w:rPr>
                <w:rFonts w:asciiTheme="minorHAnsi" w:hAnsiTheme="minorHAnsi" w:cstheme="minorHAnsi"/>
              </w:rPr>
            </w:pPr>
          </w:p>
        </w:tc>
      </w:tr>
      <w:tr w:rsidR="00977D23" w:rsidRPr="000C06BD" w14:paraId="46874157" w14:textId="77777777" w:rsidTr="00415CD5">
        <w:trPr>
          <w:trHeight w:val="206"/>
        </w:trPr>
        <w:tc>
          <w:tcPr>
            <w:tcW w:w="4842" w:type="dxa"/>
            <w:shd w:val="clear" w:color="auto" w:fill="auto"/>
            <w:noWrap/>
          </w:tcPr>
          <w:p w14:paraId="7A31F0CA"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Diabetes diagnosis</w:t>
            </w:r>
          </w:p>
        </w:tc>
        <w:tc>
          <w:tcPr>
            <w:tcW w:w="4590" w:type="dxa"/>
            <w:shd w:val="clear" w:color="auto" w:fill="auto"/>
            <w:noWrap/>
          </w:tcPr>
          <w:p w14:paraId="68EF7C7A"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250.0-250.93</w:t>
            </w:r>
          </w:p>
        </w:tc>
      </w:tr>
      <w:tr w:rsidR="00977D23" w:rsidRPr="000C06BD" w14:paraId="16FC5E50" w14:textId="77777777" w:rsidTr="00415CD5">
        <w:trPr>
          <w:trHeight w:val="206"/>
        </w:trPr>
        <w:tc>
          <w:tcPr>
            <w:tcW w:w="4842" w:type="dxa"/>
            <w:shd w:val="clear" w:color="auto" w:fill="auto"/>
            <w:noWrap/>
          </w:tcPr>
          <w:p w14:paraId="4DE28B75"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Polyneuropathy in diabetes</w:t>
            </w:r>
          </w:p>
        </w:tc>
        <w:tc>
          <w:tcPr>
            <w:tcW w:w="4590" w:type="dxa"/>
            <w:shd w:val="clear" w:color="auto" w:fill="auto"/>
            <w:noWrap/>
          </w:tcPr>
          <w:p w14:paraId="070CF414"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357.2</w:t>
            </w:r>
          </w:p>
        </w:tc>
      </w:tr>
      <w:tr w:rsidR="00977D23" w:rsidRPr="000C06BD" w14:paraId="209501CB" w14:textId="77777777" w:rsidTr="00415CD5">
        <w:trPr>
          <w:trHeight w:val="206"/>
        </w:trPr>
        <w:tc>
          <w:tcPr>
            <w:tcW w:w="4842" w:type="dxa"/>
            <w:shd w:val="clear" w:color="auto" w:fill="auto"/>
            <w:noWrap/>
          </w:tcPr>
          <w:p w14:paraId="6ABADBA2"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Diabetic retinopathy</w:t>
            </w:r>
          </w:p>
        </w:tc>
        <w:tc>
          <w:tcPr>
            <w:tcW w:w="4590" w:type="dxa"/>
            <w:shd w:val="clear" w:color="auto" w:fill="auto"/>
            <w:noWrap/>
          </w:tcPr>
          <w:p w14:paraId="1D88B503"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362.0</w:t>
            </w:r>
          </w:p>
        </w:tc>
      </w:tr>
      <w:tr w:rsidR="00977D23" w:rsidRPr="000C06BD" w14:paraId="78D7B066" w14:textId="77777777" w:rsidTr="00415CD5">
        <w:trPr>
          <w:trHeight w:val="206"/>
        </w:trPr>
        <w:tc>
          <w:tcPr>
            <w:tcW w:w="4842" w:type="dxa"/>
            <w:shd w:val="clear" w:color="auto" w:fill="auto"/>
            <w:noWrap/>
          </w:tcPr>
          <w:p w14:paraId="0F728A16"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Diabetic cataract</w:t>
            </w:r>
          </w:p>
        </w:tc>
        <w:tc>
          <w:tcPr>
            <w:tcW w:w="4590" w:type="dxa"/>
            <w:shd w:val="clear" w:color="auto" w:fill="auto"/>
            <w:noWrap/>
          </w:tcPr>
          <w:p w14:paraId="38283074"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366.41</w:t>
            </w:r>
          </w:p>
        </w:tc>
      </w:tr>
      <w:tr w:rsidR="00977D23" w:rsidRPr="000C06BD" w14:paraId="773A0B55" w14:textId="77777777" w:rsidTr="00415CD5">
        <w:trPr>
          <w:trHeight w:val="206"/>
        </w:trPr>
        <w:tc>
          <w:tcPr>
            <w:tcW w:w="4842" w:type="dxa"/>
            <w:shd w:val="clear" w:color="auto" w:fill="auto"/>
            <w:noWrap/>
          </w:tcPr>
          <w:p w14:paraId="0597263B"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Diabetes mellitus complicating pregnancy</w:t>
            </w:r>
          </w:p>
        </w:tc>
        <w:tc>
          <w:tcPr>
            <w:tcW w:w="4590" w:type="dxa"/>
            <w:shd w:val="clear" w:color="auto" w:fill="auto"/>
            <w:noWrap/>
          </w:tcPr>
          <w:p w14:paraId="12A24B93"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648.03, 648.04</w:t>
            </w:r>
          </w:p>
        </w:tc>
      </w:tr>
      <w:tr w:rsidR="00977D23" w:rsidRPr="000C06BD" w14:paraId="7671C41B" w14:textId="77777777" w:rsidTr="00415CD5">
        <w:trPr>
          <w:trHeight w:val="206"/>
        </w:trPr>
        <w:tc>
          <w:tcPr>
            <w:tcW w:w="4842" w:type="dxa"/>
            <w:shd w:val="clear" w:color="auto" w:fill="auto"/>
            <w:noWrap/>
          </w:tcPr>
          <w:p w14:paraId="08D1C048" w14:textId="77777777" w:rsidR="00977D23" w:rsidRPr="000C06BD" w:rsidRDefault="00977D23" w:rsidP="00415CD5">
            <w:pPr>
              <w:spacing w:after="0" w:line="240" w:lineRule="auto"/>
              <w:ind w:left="252"/>
              <w:rPr>
                <w:rFonts w:asciiTheme="minorHAnsi" w:hAnsiTheme="minorHAnsi" w:cstheme="minorHAnsi"/>
                <w:vertAlign w:val="superscript"/>
              </w:rPr>
            </w:pPr>
            <w:r w:rsidRPr="000C06BD">
              <w:rPr>
                <w:rFonts w:asciiTheme="minorHAnsi" w:hAnsiTheme="minorHAnsi" w:cstheme="minorHAnsi"/>
              </w:rPr>
              <w:t>Uncomplicated diabetes, age over 35</w:t>
            </w:r>
            <w:r w:rsidRPr="000C06BD">
              <w:rPr>
                <w:rFonts w:asciiTheme="minorHAnsi" w:hAnsiTheme="minorHAnsi" w:cstheme="minorHAnsi"/>
                <w:vertAlign w:val="superscript"/>
              </w:rPr>
              <w:t>1</w:t>
            </w:r>
          </w:p>
        </w:tc>
        <w:tc>
          <w:tcPr>
            <w:tcW w:w="4590" w:type="dxa"/>
            <w:shd w:val="clear" w:color="auto" w:fill="auto"/>
            <w:noWrap/>
          </w:tcPr>
          <w:p w14:paraId="71CA3C21"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294</w:t>
            </w:r>
          </w:p>
        </w:tc>
      </w:tr>
      <w:tr w:rsidR="00977D23" w:rsidRPr="000C06BD" w14:paraId="727BAE3A" w14:textId="77777777" w:rsidTr="00415CD5">
        <w:trPr>
          <w:trHeight w:val="206"/>
        </w:trPr>
        <w:tc>
          <w:tcPr>
            <w:tcW w:w="4842" w:type="dxa"/>
            <w:shd w:val="clear" w:color="auto" w:fill="auto"/>
            <w:noWrap/>
          </w:tcPr>
          <w:p w14:paraId="057D4569" w14:textId="77777777" w:rsidR="00977D23" w:rsidRPr="000C06BD" w:rsidRDefault="00977D23" w:rsidP="00415CD5">
            <w:pPr>
              <w:spacing w:after="0" w:line="240" w:lineRule="auto"/>
              <w:ind w:left="252"/>
              <w:rPr>
                <w:rFonts w:asciiTheme="minorHAnsi" w:hAnsiTheme="minorHAnsi" w:cstheme="minorHAnsi"/>
                <w:vertAlign w:val="superscript"/>
              </w:rPr>
            </w:pPr>
            <w:r w:rsidRPr="000C06BD">
              <w:rPr>
                <w:rFonts w:asciiTheme="minorHAnsi" w:hAnsiTheme="minorHAnsi" w:cstheme="minorHAnsi"/>
              </w:rPr>
              <w:t>Uncomplicated diabetes, age 35 and under</w:t>
            </w:r>
            <w:r w:rsidRPr="000C06BD">
              <w:rPr>
                <w:rFonts w:asciiTheme="minorHAnsi" w:hAnsiTheme="minorHAnsi" w:cstheme="minorHAnsi"/>
                <w:vertAlign w:val="superscript"/>
              </w:rPr>
              <w:t>1</w:t>
            </w:r>
          </w:p>
        </w:tc>
        <w:tc>
          <w:tcPr>
            <w:tcW w:w="4590" w:type="dxa"/>
            <w:shd w:val="clear" w:color="auto" w:fill="auto"/>
            <w:noWrap/>
          </w:tcPr>
          <w:p w14:paraId="31DC7B87"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295</w:t>
            </w:r>
          </w:p>
        </w:tc>
      </w:tr>
      <w:tr w:rsidR="00977D23" w:rsidRPr="000C06BD" w14:paraId="15C2F44A" w14:textId="77777777" w:rsidTr="00415CD5">
        <w:trPr>
          <w:trHeight w:val="206"/>
        </w:trPr>
        <w:tc>
          <w:tcPr>
            <w:tcW w:w="4842" w:type="dxa"/>
            <w:shd w:val="clear" w:color="auto" w:fill="auto"/>
            <w:noWrap/>
          </w:tcPr>
          <w:p w14:paraId="0DD7CC27" w14:textId="77777777" w:rsidR="00977D23" w:rsidRPr="000C06BD" w:rsidRDefault="00977D23" w:rsidP="00415CD5">
            <w:pPr>
              <w:spacing w:after="0" w:line="240" w:lineRule="auto"/>
              <w:ind w:left="252"/>
              <w:rPr>
                <w:rFonts w:asciiTheme="minorHAnsi" w:hAnsiTheme="minorHAnsi" w:cstheme="minorHAnsi"/>
                <w:vertAlign w:val="superscript"/>
              </w:rPr>
            </w:pPr>
            <w:r w:rsidRPr="000C06BD">
              <w:rPr>
                <w:rFonts w:asciiTheme="minorHAnsi" w:hAnsiTheme="minorHAnsi" w:cstheme="minorHAnsi"/>
              </w:rPr>
              <w:t>Diabetes with MCC</w:t>
            </w:r>
            <w:r w:rsidRPr="000C06BD">
              <w:rPr>
                <w:rFonts w:asciiTheme="minorHAnsi" w:hAnsiTheme="minorHAnsi" w:cstheme="minorHAnsi"/>
                <w:vertAlign w:val="superscript"/>
              </w:rPr>
              <w:t>2</w:t>
            </w:r>
          </w:p>
        </w:tc>
        <w:tc>
          <w:tcPr>
            <w:tcW w:w="4590" w:type="dxa"/>
            <w:shd w:val="clear" w:color="auto" w:fill="auto"/>
            <w:noWrap/>
          </w:tcPr>
          <w:p w14:paraId="2ABFA8FE"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637</w:t>
            </w:r>
          </w:p>
        </w:tc>
      </w:tr>
      <w:tr w:rsidR="00977D23" w:rsidRPr="000C06BD" w14:paraId="59AEB432" w14:textId="77777777" w:rsidTr="00415CD5">
        <w:trPr>
          <w:trHeight w:val="206"/>
        </w:trPr>
        <w:tc>
          <w:tcPr>
            <w:tcW w:w="4842" w:type="dxa"/>
            <w:shd w:val="clear" w:color="auto" w:fill="auto"/>
            <w:noWrap/>
          </w:tcPr>
          <w:p w14:paraId="73227074" w14:textId="77777777" w:rsidR="00977D23" w:rsidRPr="000C06BD" w:rsidRDefault="00977D23" w:rsidP="00415CD5">
            <w:pPr>
              <w:spacing w:after="0" w:line="240" w:lineRule="auto"/>
              <w:ind w:left="252"/>
              <w:rPr>
                <w:rFonts w:asciiTheme="minorHAnsi" w:hAnsiTheme="minorHAnsi" w:cstheme="minorHAnsi"/>
                <w:vertAlign w:val="superscript"/>
              </w:rPr>
            </w:pPr>
            <w:r w:rsidRPr="000C06BD">
              <w:rPr>
                <w:rFonts w:asciiTheme="minorHAnsi" w:hAnsiTheme="minorHAnsi" w:cstheme="minorHAnsi"/>
              </w:rPr>
              <w:t>Diabetes with CC</w:t>
            </w:r>
            <w:r w:rsidRPr="000C06BD">
              <w:rPr>
                <w:rFonts w:asciiTheme="minorHAnsi" w:hAnsiTheme="minorHAnsi" w:cstheme="minorHAnsi"/>
                <w:vertAlign w:val="superscript"/>
              </w:rPr>
              <w:t>2</w:t>
            </w:r>
          </w:p>
        </w:tc>
        <w:tc>
          <w:tcPr>
            <w:tcW w:w="4590" w:type="dxa"/>
            <w:shd w:val="clear" w:color="auto" w:fill="auto"/>
            <w:noWrap/>
          </w:tcPr>
          <w:p w14:paraId="0B410D7A"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638</w:t>
            </w:r>
          </w:p>
        </w:tc>
      </w:tr>
      <w:tr w:rsidR="00977D23" w:rsidRPr="000C06BD" w14:paraId="0D97A1F7" w14:textId="77777777" w:rsidTr="00415CD5">
        <w:trPr>
          <w:trHeight w:val="206"/>
        </w:trPr>
        <w:tc>
          <w:tcPr>
            <w:tcW w:w="4842" w:type="dxa"/>
            <w:shd w:val="clear" w:color="auto" w:fill="auto"/>
            <w:noWrap/>
          </w:tcPr>
          <w:p w14:paraId="1E43C8D1" w14:textId="77777777" w:rsidR="00977D23" w:rsidRPr="000C06BD" w:rsidRDefault="00977D23" w:rsidP="00415CD5">
            <w:pPr>
              <w:spacing w:after="0" w:line="240" w:lineRule="auto"/>
              <w:ind w:left="252"/>
              <w:rPr>
                <w:rFonts w:asciiTheme="minorHAnsi" w:hAnsiTheme="minorHAnsi" w:cstheme="minorHAnsi"/>
                <w:vertAlign w:val="superscript"/>
              </w:rPr>
            </w:pPr>
            <w:r w:rsidRPr="000C06BD">
              <w:rPr>
                <w:rFonts w:asciiTheme="minorHAnsi" w:hAnsiTheme="minorHAnsi" w:cstheme="minorHAnsi"/>
              </w:rPr>
              <w:t>Diabetes without CC/MCC</w:t>
            </w:r>
            <w:r w:rsidRPr="000C06BD">
              <w:rPr>
                <w:rFonts w:asciiTheme="minorHAnsi" w:hAnsiTheme="minorHAnsi" w:cstheme="minorHAnsi"/>
                <w:vertAlign w:val="superscript"/>
              </w:rPr>
              <w:t>2</w:t>
            </w:r>
          </w:p>
        </w:tc>
        <w:tc>
          <w:tcPr>
            <w:tcW w:w="4590" w:type="dxa"/>
            <w:shd w:val="clear" w:color="auto" w:fill="auto"/>
            <w:noWrap/>
          </w:tcPr>
          <w:p w14:paraId="297BCDEC"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639</w:t>
            </w:r>
          </w:p>
        </w:tc>
      </w:tr>
      <w:tr w:rsidR="005B0DF6" w:rsidRPr="000C06BD" w14:paraId="5EB2EB7F" w14:textId="77777777" w:rsidTr="00415CD5">
        <w:trPr>
          <w:trHeight w:val="206"/>
        </w:trPr>
        <w:tc>
          <w:tcPr>
            <w:tcW w:w="4842" w:type="dxa"/>
            <w:shd w:val="clear" w:color="auto" w:fill="auto"/>
            <w:noWrap/>
          </w:tcPr>
          <w:p w14:paraId="67FA5DA3" w14:textId="0CCB4273" w:rsidR="005B0DF6" w:rsidRPr="000C06BD" w:rsidRDefault="005B0DF6" w:rsidP="00415CD5">
            <w:pPr>
              <w:spacing w:after="0" w:line="240" w:lineRule="auto"/>
              <w:ind w:left="252"/>
              <w:rPr>
                <w:rFonts w:asciiTheme="minorHAnsi" w:hAnsiTheme="minorHAnsi" w:cstheme="minorHAnsi"/>
              </w:rPr>
            </w:pPr>
            <w:r w:rsidRPr="000C06BD">
              <w:rPr>
                <w:rFonts w:asciiTheme="minorHAnsi" w:hAnsiTheme="minorHAnsi" w:cstheme="minorHAnsi"/>
              </w:rPr>
              <w:t>Oral antidiabetic medication</w:t>
            </w:r>
            <w:r w:rsidR="006028DA" w:rsidRPr="000C06BD">
              <w:rPr>
                <w:rFonts w:asciiTheme="minorHAnsi" w:hAnsiTheme="minorHAnsi" w:cstheme="minorHAnsi"/>
              </w:rPr>
              <w:t>s</w:t>
            </w:r>
            <w:r w:rsidR="006028DA" w:rsidRPr="000C06BD">
              <w:rPr>
                <w:rFonts w:asciiTheme="minorHAnsi" w:hAnsiTheme="minorHAnsi" w:cstheme="minorHAnsi"/>
                <w:vertAlign w:val="superscript"/>
              </w:rPr>
              <w:t>3</w:t>
            </w:r>
          </w:p>
        </w:tc>
        <w:tc>
          <w:tcPr>
            <w:tcW w:w="4590" w:type="dxa"/>
            <w:shd w:val="clear" w:color="auto" w:fill="auto"/>
            <w:noWrap/>
          </w:tcPr>
          <w:p w14:paraId="18C76C90" w14:textId="1461423D" w:rsidR="005B0DF6" w:rsidRPr="000C06BD" w:rsidRDefault="006028DA" w:rsidP="00415CD5">
            <w:pPr>
              <w:spacing w:after="0" w:line="240" w:lineRule="auto"/>
              <w:rPr>
                <w:rFonts w:asciiTheme="minorHAnsi" w:eastAsiaTheme="minorHAnsi" w:hAnsiTheme="minorHAnsi" w:cstheme="minorHAnsi"/>
                <w:color w:val="000000"/>
              </w:rPr>
            </w:pPr>
            <w:r w:rsidRPr="000C06BD">
              <w:rPr>
                <w:rFonts w:asciiTheme="minorHAnsi" w:hAnsiTheme="minorHAnsi" w:cstheme="minorHAnsi"/>
              </w:rPr>
              <w:t xml:space="preserve">68200200, 68200300, </w:t>
            </w:r>
            <w:r w:rsidRPr="000C06BD">
              <w:rPr>
                <w:rFonts w:asciiTheme="minorHAnsi" w:eastAsiaTheme="minorHAnsi" w:hAnsiTheme="minorHAnsi" w:cstheme="minorHAnsi"/>
                <w:color w:val="000000"/>
              </w:rPr>
              <w:t>68200500, 68200600,</w:t>
            </w:r>
          </w:p>
          <w:p w14:paraId="2443D531" w14:textId="77777777" w:rsidR="006028DA" w:rsidRPr="000C06BD" w:rsidRDefault="00415CD5" w:rsidP="00415CD5">
            <w:pPr>
              <w:spacing w:after="0" w:line="240" w:lineRule="auto"/>
              <w:rPr>
                <w:rFonts w:asciiTheme="minorHAnsi" w:eastAsiaTheme="minorHAnsi" w:hAnsiTheme="minorHAnsi" w:cstheme="minorHAnsi"/>
                <w:color w:val="000000"/>
              </w:rPr>
            </w:pPr>
            <w:r w:rsidRPr="000C06BD">
              <w:rPr>
                <w:rFonts w:asciiTheme="minorHAnsi" w:eastAsiaTheme="minorHAnsi" w:hAnsiTheme="minorHAnsi" w:cstheme="minorHAnsi"/>
                <w:color w:val="000000"/>
              </w:rPr>
              <w:t>68201600, 68201800, 68202000, 68202800,</w:t>
            </w:r>
          </w:p>
          <w:p w14:paraId="0AE718E6" w14:textId="6883D7EA" w:rsidR="00415CD5" w:rsidRPr="000C06BD" w:rsidRDefault="00415CD5" w:rsidP="00415CD5">
            <w:pPr>
              <w:spacing w:after="0" w:line="240" w:lineRule="auto"/>
              <w:rPr>
                <w:rFonts w:asciiTheme="minorHAnsi" w:hAnsiTheme="minorHAnsi" w:cstheme="minorHAnsi"/>
              </w:rPr>
            </w:pPr>
            <w:r w:rsidRPr="000C06BD">
              <w:rPr>
                <w:rFonts w:asciiTheme="minorHAnsi" w:eastAsiaTheme="minorHAnsi" w:hAnsiTheme="minorHAnsi" w:cstheme="minorHAnsi"/>
                <w:color w:val="000000"/>
              </w:rPr>
              <w:t>68209200</w:t>
            </w:r>
          </w:p>
        </w:tc>
      </w:tr>
      <w:tr w:rsidR="005B0DF6" w:rsidRPr="000C06BD" w14:paraId="363F73D4" w14:textId="77777777" w:rsidTr="00415CD5">
        <w:trPr>
          <w:trHeight w:val="206"/>
        </w:trPr>
        <w:tc>
          <w:tcPr>
            <w:tcW w:w="4842" w:type="dxa"/>
            <w:shd w:val="clear" w:color="auto" w:fill="auto"/>
            <w:noWrap/>
          </w:tcPr>
          <w:p w14:paraId="327194F5" w14:textId="41C41F3A" w:rsidR="005B0DF6" w:rsidRPr="000C06BD" w:rsidRDefault="005B0DF6" w:rsidP="00415CD5">
            <w:pPr>
              <w:spacing w:after="0" w:line="240" w:lineRule="auto"/>
              <w:ind w:left="252"/>
              <w:rPr>
                <w:rFonts w:asciiTheme="minorHAnsi" w:hAnsiTheme="minorHAnsi" w:cstheme="minorHAnsi"/>
              </w:rPr>
            </w:pPr>
            <w:r w:rsidRPr="000C06BD">
              <w:rPr>
                <w:rFonts w:asciiTheme="minorHAnsi" w:hAnsiTheme="minorHAnsi" w:cstheme="minorHAnsi"/>
              </w:rPr>
              <w:t>Insulin</w:t>
            </w:r>
            <w:r w:rsidR="006028DA" w:rsidRPr="000C06BD">
              <w:rPr>
                <w:rFonts w:asciiTheme="minorHAnsi" w:hAnsiTheme="minorHAnsi" w:cstheme="minorHAnsi"/>
              </w:rPr>
              <w:t>s</w:t>
            </w:r>
          </w:p>
        </w:tc>
        <w:tc>
          <w:tcPr>
            <w:tcW w:w="4590" w:type="dxa"/>
            <w:shd w:val="clear" w:color="auto" w:fill="auto"/>
            <w:noWrap/>
          </w:tcPr>
          <w:p w14:paraId="4A6C427C" w14:textId="44D10CDB" w:rsidR="005B0DF6" w:rsidRPr="000C06BD" w:rsidRDefault="006028DA" w:rsidP="00415CD5">
            <w:pPr>
              <w:spacing w:after="0" w:line="240" w:lineRule="auto"/>
              <w:rPr>
                <w:rFonts w:asciiTheme="minorHAnsi" w:hAnsiTheme="minorHAnsi" w:cstheme="minorHAnsi"/>
              </w:rPr>
            </w:pPr>
            <w:r w:rsidRPr="000C06BD">
              <w:rPr>
                <w:rFonts w:asciiTheme="minorHAnsi" w:eastAsiaTheme="minorHAnsi" w:hAnsiTheme="minorHAnsi" w:cstheme="minorHAnsi"/>
                <w:color w:val="000000"/>
              </w:rPr>
              <w:t>682008xx</w:t>
            </w:r>
          </w:p>
        </w:tc>
      </w:tr>
      <w:tr w:rsidR="00977D23" w:rsidRPr="000C06BD" w14:paraId="061E6EF0" w14:textId="77777777" w:rsidTr="00415CD5">
        <w:trPr>
          <w:trHeight w:val="206"/>
        </w:trPr>
        <w:tc>
          <w:tcPr>
            <w:tcW w:w="4842" w:type="dxa"/>
            <w:shd w:val="clear" w:color="auto" w:fill="auto"/>
            <w:noWrap/>
          </w:tcPr>
          <w:p w14:paraId="0D2D424C" w14:textId="18266D20" w:rsidR="00977D23" w:rsidRPr="000C06BD" w:rsidRDefault="005B0DF6" w:rsidP="00415CD5">
            <w:pPr>
              <w:spacing w:after="0" w:line="240" w:lineRule="auto"/>
              <w:rPr>
                <w:rFonts w:asciiTheme="minorHAnsi" w:hAnsiTheme="minorHAnsi" w:cstheme="minorHAnsi"/>
              </w:rPr>
            </w:pPr>
            <w:r w:rsidRPr="000C06BD">
              <w:rPr>
                <w:rFonts w:asciiTheme="minorHAnsi" w:hAnsiTheme="minorHAnsi" w:cstheme="minorHAnsi"/>
              </w:rPr>
              <w:t>E</w:t>
            </w:r>
            <w:r w:rsidR="00977D23" w:rsidRPr="000C06BD">
              <w:rPr>
                <w:rFonts w:asciiTheme="minorHAnsi" w:hAnsiTheme="minorHAnsi" w:cstheme="minorHAnsi"/>
              </w:rPr>
              <w:t>xclude</w:t>
            </w:r>
            <w:r w:rsidRPr="000C06BD">
              <w:rPr>
                <w:rFonts w:asciiTheme="minorHAnsi" w:hAnsiTheme="minorHAnsi" w:cstheme="minorHAnsi"/>
              </w:rPr>
              <w:t xml:space="preserve"> if</w:t>
            </w:r>
            <w:r w:rsidR="00977D23" w:rsidRPr="000C06BD">
              <w:rPr>
                <w:rFonts w:asciiTheme="minorHAnsi" w:hAnsiTheme="minorHAnsi" w:cstheme="minorHAnsi"/>
              </w:rPr>
              <w:t>:</w:t>
            </w:r>
          </w:p>
        </w:tc>
        <w:tc>
          <w:tcPr>
            <w:tcW w:w="4590" w:type="dxa"/>
            <w:shd w:val="clear" w:color="auto" w:fill="auto"/>
            <w:noWrap/>
          </w:tcPr>
          <w:p w14:paraId="1C550E9D" w14:textId="77777777" w:rsidR="00977D23" w:rsidRPr="000C06BD" w:rsidRDefault="00977D23" w:rsidP="00415CD5">
            <w:pPr>
              <w:spacing w:after="0" w:line="240" w:lineRule="auto"/>
              <w:rPr>
                <w:rFonts w:asciiTheme="minorHAnsi" w:hAnsiTheme="minorHAnsi" w:cstheme="minorHAnsi"/>
              </w:rPr>
            </w:pPr>
          </w:p>
        </w:tc>
      </w:tr>
      <w:tr w:rsidR="00977D23" w:rsidRPr="000C06BD" w14:paraId="5EAB587B" w14:textId="77777777" w:rsidTr="00415CD5">
        <w:trPr>
          <w:trHeight w:val="206"/>
        </w:trPr>
        <w:tc>
          <w:tcPr>
            <w:tcW w:w="4842" w:type="dxa"/>
            <w:shd w:val="clear" w:color="auto" w:fill="auto"/>
            <w:noWrap/>
          </w:tcPr>
          <w:p w14:paraId="58928EC1"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Polycystic ovary syndrome</w:t>
            </w:r>
          </w:p>
        </w:tc>
        <w:tc>
          <w:tcPr>
            <w:tcW w:w="4590" w:type="dxa"/>
            <w:shd w:val="clear" w:color="auto" w:fill="auto"/>
            <w:noWrap/>
          </w:tcPr>
          <w:p w14:paraId="097B6A58"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256.4</w:t>
            </w:r>
          </w:p>
        </w:tc>
      </w:tr>
      <w:tr w:rsidR="00977D23" w:rsidRPr="000C06BD" w14:paraId="512B13BF" w14:textId="77777777" w:rsidTr="00415CD5">
        <w:trPr>
          <w:trHeight w:val="206"/>
        </w:trPr>
        <w:tc>
          <w:tcPr>
            <w:tcW w:w="4842" w:type="dxa"/>
            <w:shd w:val="clear" w:color="auto" w:fill="auto"/>
            <w:noWrap/>
          </w:tcPr>
          <w:p w14:paraId="6E6E4E75"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Other specified disorders of pancreatic internal secretion</w:t>
            </w:r>
          </w:p>
        </w:tc>
        <w:tc>
          <w:tcPr>
            <w:tcW w:w="4590" w:type="dxa"/>
            <w:shd w:val="clear" w:color="auto" w:fill="auto"/>
            <w:noWrap/>
          </w:tcPr>
          <w:p w14:paraId="18C4CE4D"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251.8</w:t>
            </w:r>
          </w:p>
        </w:tc>
      </w:tr>
      <w:tr w:rsidR="00977D23" w:rsidRPr="000C06BD" w14:paraId="0C30B5BC" w14:textId="77777777" w:rsidTr="00415CD5">
        <w:trPr>
          <w:trHeight w:val="206"/>
        </w:trPr>
        <w:tc>
          <w:tcPr>
            <w:tcW w:w="4842" w:type="dxa"/>
            <w:shd w:val="clear" w:color="auto" w:fill="auto"/>
            <w:noWrap/>
          </w:tcPr>
          <w:p w14:paraId="7CA173EE" w14:textId="77777777" w:rsidR="00977D23" w:rsidRPr="000C06BD" w:rsidRDefault="00977D23" w:rsidP="00415CD5">
            <w:pPr>
              <w:spacing w:after="0" w:line="240" w:lineRule="auto"/>
              <w:ind w:left="252"/>
              <w:rPr>
                <w:rFonts w:asciiTheme="minorHAnsi" w:hAnsiTheme="minorHAnsi" w:cstheme="minorHAnsi"/>
              </w:rPr>
            </w:pPr>
            <w:r w:rsidRPr="000C06BD">
              <w:rPr>
                <w:rFonts w:asciiTheme="minorHAnsi" w:hAnsiTheme="minorHAnsi" w:cstheme="minorHAnsi"/>
              </w:rPr>
              <w:t>Poisoning by adrenal cortical steroid</w:t>
            </w:r>
          </w:p>
        </w:tc>
        <w:tc>
          <w:tcPr>
            <w:tcW w:w="4590" w:type="dxa"/>
            <w:shd w:val="clear" w:color="auto" w:fill="auto"/>
            <w:noWrap/>
          </w:tcPr>
          <w:p w14:paraId="58E960BA" w14:textId="77777777"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962.0</w:t>
            </w:r>
          </w:p>
        </w:tc>
      </w:tr>
      <w:tr w:rsidR="00977D23" w:rsidRPr="000C06BD" w14:paraId="4733AF4C" w14:textId="77777777" w:rsidTr="00415CD5">
        <w:trPr>
          <w:trHeight w:val="206"/>
        </w:trPr>
        <w:tc>
          <w:tcPr>
            <w:tcW w:w="9432" w:type="dxa"/>
            <w:gridSpan w:val="2"/>
            <w:tcBorders>
              <w:top w:val="single" w:sz="4" w:space="0" w:color="auto"/>
            </w:tcBorders>
            <w:shd w:val="clear" w:color="auto" w:fill="auto"/>
            <w:noWrap/>
            <w:vAlign w:val="bottom"/>
          </w:tcPr>
          <w:p w14:paraId="43B8B1EE" w14:textId="0540CDDE"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vertAlign w:val="superscript"/>
              </w:rPr>
              <w:t>1</w:t>
            </w:r>
            <w:r w:rsidRPr="000C06BD">
              <w:rPr>
                <w:rFonts w:asciiTheme="minorHAnsi" w:hAnsiTheme="minorHAnsi" w:cstheme="minorHAnsi"/>
              </w:rPr>
              <w:t xml:space="preserve">Used before 10/1/2007; </w:t>
            </w:r>
            <w:r w:rsidRPr="000C06BD">
              <w:rPr>
                <w:rFonts w:asciiTheme="minorHAnsi" w:hAnsiTheme="minorHAnsi" w:cstheme="minorHAnsi"/>
                <w:vertAlign w:val="superscript"/>
              </w:rPr>
              <w:t>2</w:t>
            </w:r>
            <w:r w:rsidRPr="000C06BD">
              <w:rPr>
                <w:rFonts w:asciiTheme="minorHAnsi" w:hAnsiTheme="minorHAnsi" w:cstheme="minorHAnsi"/>
              </w:rPr>
              <w:t xml:space="preserve">Used on or after 10/1/2007 </w:t>
            </w:r>
            <w:r w:rsidR="006028DA" w:rsidRPr="000C06BD">
              <w:rPr>
                <w:rFonts w:asciiTheme="minorHAnsi" w:hAnsiTheme="minorHAnsi" w:cstheme="minorHAnsi"/>
                <w:vertAlign w:val="superscript"/>
              </w:rPr>
              <w:t>3</w:t>
            </w:r>
            <w:r w:rsidR="006028DA" w:rsidRPr="000C06BD">
              <w:rPr>
                <w:rFonts w:asciiTheme="minorHAnsi" w:hAnsiTheme="minorHAnsi" w:cstheme="minorHAnsi"/>
              </w:rPr>
              <w:t xml:space="preserve">68200400 (biguanides) alone not </w:t>
            </w:r>
            <w:proofErr w:type="gramStart"/>
            <w:r w:rsidR="006028DA" w:rsidRPr="000C06BD">
              <w:rPr>
                <w:rFonts w:asciiTheme="minorHAnsi" w:hAnsiTheme="minorHAnsi" w:cstheme="minorHAnsi"/>
              </w:rPr>
              <w:t>sufficient</w:t>
            </w:r>
            <w:proofErr w:type="gramEnd"/>
            <w:r w:rsidR="00415CD5" w:rsidRPr="000C06BD">
              <w:rPr>
                <w:rFonts w:asciiTheme="minorHAnsi" w:hAnsiTheme="minorHAnsi" w:cstheme="minorHAnsi"/>
              </w:rPr>
              <w:t xml:space="preserve"> for diagnosis</w:t>
            </w:r>
          </w:p>
          <w:p w14:paraId="1F8EDFFD" w14:textId="2D3DCDE5" w:rsidR="00977D23" w:rsidRPr="000C06BD" w:rsidRDefault="00977D23" w:rsidP="00415CD5">
            <w:pPr>
              <w:spacing w:after="0" w:line="240" w:lineRule="auto"/>
              <w:rPr>
                <w:rFonts w:asciiTheme="minorHAnsi" w:hAnsiTheme="minorHAnsi" w:cstheme="minorHAnsi"/>
              </w:rPr>
            </w:pPr>
            <w:r w:rsidRPr="000C06BD">
              <w:rPr>
                <w:rFonts w:asciiTheme="minorHAnsi" w:hAnsiTheme="minorHAnsi" w:cstheme="minorHAnsi"/>
              </w:rPr>
              <w:t xml:space="preserve">Abbreviations: </w:t>
            </w:r>
            <w:r w:rsidRPr="000C06BD">
              <w:rPr>
                <w:rFonts w:asciiTheme="minorHAnsi" w:hAnsiTheme="minorHAnsi" w:cstheme="minorHAnsi"/>
                <w:iCs/>
              </w:rPr>
              <w:t>ICD-9-CM</w:t>
            </w:r>
            <w:r w:rsidRPr="000C06BD">
              <w:rPr>
                <w:rFonts w:asciiTheme="minorHAnsi" w:hAnsiTheme="minorHAnsi" w:cstheme="minorHAnsi"/>
              </w:rPr>
              <w:t xml:space="preserve">, </w:t>
            </w:r>
            <w:r w:rsidRPr="000C06BD">
              <w:rPr>
                <w:rFonts w:asciiTheme="minorHAnsi" w:hAnsiTheme="minorHAnsi" w:cstheme="minorHAnsi"/>
                <w:iCs/>
              </w:rPr>
              <w:t>International Classification of Diseases, 9th Revision, Clinical Modification</w:t>
            </w:r>
            <w:r w:rsidRPr="000C06BD">
              <w:rPr>
                <w:rFonts w:asciiTheme="minorHAnsi" w:hAnsiTheme="minorHAnsi" w:cstheme="minorHAnsi"/>
              </w:rPr>
              <w:t>; DRG, Diagnosis Related Group; AHFS, American Hospital Formulary Service</w:t>
            </w:r>
            <w:r w:rsidR="00F34864">
              <w:rPr>
                <w:rFonts w:asciiTheme="minorHAnsi" w:hAnsiTheme="minorHAnsi" w:cstheme="minorHAnsi"/>
              </w:rPr>
              <w:t xml:space="preserve">; MCC, major complications </w:t>
            </w:r>
            <w:r w:rsidR="005444DB">
              <w:rPr>
                <w:rFonts w:asciiTheme="minorHAnsi" w:hAnsiTheme="minorHAnsi" w:cstheme="minorHAnsi"/>
              </w:rPr>
              <w:t>and</w:t>
            </w:r>
            <w:r w:rsidR="00F34864">
              <w:rPr>
                <w:rFonts w:asciiTheme="minorHAnsi" w:hAnsiTheme="minorHAnsi" w:cstheme="minorHAnsi"/>
              </w:rPr>
              <w:t xml:space="preserve"> comorbid conditions; CC, complications and </w:t>
            </w:r>
            <w:r w:rsidR="005444DB">
              <w:rPr>
                <w:rFonts w:asciiTheme="minorHAnsi" w:hAnsiTheme="minorHAnsi" w:cstheme="minorHAnsi"/>
              </w:rPr>
              <w:t>comorbid conditions</w:t>
            </w:r>
          </w:p>
        </w:tc>
      </w:tr>
    </w:tbl>
    <w:p w14:paraId="513054A3" w14:textId="68656113" w:rsidR="00EE5FD0" w:rsidRDefault="00EE5FD0" w:rsidP="00434583"/>
    <w:p w14:paraId="144A16EF" w14:textId="05203426" w:rsidR="00EE5FD0" w:rsidRDefault="00EE5FD0">
      <w:pPr>
        <w:spacing w:after="160" w:line="259" w:lineRule="auto"/>
        <w:rPr>
          <w:b/>
        </w:rPr>
      </w:pPr>
      <w:r>
        <w:br w:type="page"/>
      </w:r>
      <w:r w:rsidR="00753C13">
        <w:rPr>
          <w:b/>
        </w:rPr>
        <w:lastRenderedPageBreak/>
        <w:t xml:space="preserve">SDC </w:t>
      </w:r>
      <w:r w:rsidRPr="00EE5FD0">
        <w:rPr>
          <w:b/>
        </w:rPr>
        <w:t>Table 4</w:t>
      </w:r>
      <w:r w:rsidR="00095A9D">
        <w:rPr>
          <w:b/>
        </w:rPr>
        <w:t>.</w:t>
      </w:r>
      <w:r w:rsidRPr="00EE5FD0">
        <w:rPr>
          <w:b/>
        </w:rPr>
        <w:t xml:space="preserve"> Individual medication classes </w:t>
      </w:r>
      <w:r w:rsidR="006E66AC">
        <w:rPr>
          <w:b/>
        </w:rPr>
        <w:t>included in study</w:t>
      </w:r>
      <w:r w:rsidRPr="00EE5FD0">
        <w:rPr>
          <w:b/>
        </w:rPr>
        <w:t xml:space="preserve">, </w:t>
      </w:r>
      <w:r w:rsidR="006E66AC">
        <w:rPr>
          <w:b/>
        </w:rPr>
        <w:t xml:space="preserve">relevant </w:t>
      </w:r>
      <w:r w:rsidRPr="00EE5FD0">
        <w:rPr>
          <w:b/>
        </w:rPr>
        <w:t xml:space="preserve">AHFS categories, and </w:t>
      </w:r>
      <w:r w:rsidR="006E66AC">
        <w:rPr>
          <w:b/>
        </w:rPr>
        <w:t xml:space="preserve">whether </w:t>
      </w:r>
      <w:r w:rsidRPr="00EE5FD0">
        <w:rPr>
          <w:b/>
        </w:rPr>
        <w:t>list</w:t>
      </w:r>
      <w:r w:rsidR="006E66AC">
        <w:rPr>
          <w:b/>
        </w:rPr>
        <w:t>ed</w:t>
      </w:r>
      <w:r w:rsidRPr="00EE5FD0">
        <w:rPr>
          <w:b/>
        </w:rPr>
        <w:t xml:space="preserve"> on core or expanded PDL</w:t>
      </w:r>
    </w:p>
    <w:p w14:paraId="014DE89B" w14:textId="77777777" w:rsidR="000C06BD" w:rsidRPr="00EE5FD0" w:rsidRDefault="000C06BD">
      <w:pPr>
        <w:spacing w:after="160" w:line="259" w:lineRule="auto"/>
        <w:rPr>
          <w:b/>
        </w:rPr>
      </w:pPr>
    </w:p>
    <w:tbl>
      <w:tblPr>
        <w:tblStyle w:val="TableGrid"/>
        <w:tblW w:w="9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4415"/>
        <w:gridCol w:w="1528"/>
      </w:tblGrid>
      <w:tr w:rsidR="00EE5FD0" w:rsidRPr="000C06BD" w14:paraId="17B3CF65" w14:textId="77777777" w:rsidTr="00415CD5">
        <w:tc>
          <w:tcPr>
            <w:tcW w:w="3775" w:type="dxa"/>
            <w:tcBorders>
              <w:bottom w:val="single" w:sz="4" w:space="0" w:color="auto"/>
            </w:tcBorders>
          </w:tcPr>
          <w:p w14:paraId="34594DAE" w14:textId="1A6388F3" w:rsidR="00EE5FD0" w:rsidRPr="000C06BD" w:rsidRDefault="00EE5FD0" w:rsidP="000C06BD">
            <w:pPr>
              <w:spacing w:after="0" w:line="240" w:lineRule="auto"/>
              <w:rPr>
                <w:rFonts w:asciiTheme="minorHAnsi" w:hAnsiTheme="minorHAnsi" w:cstheme="minorHAnsi"/>
                <w:b/>
              </w:rPr>
            </w:pPr>
            <w:r w:rsidRPr="000C06BD">
              <w:rPr>
                <w:rFonts w:asciiTheme="minorHAnsi" w:hAnsiTheme="minorHAnsi" w:cstheme="minorHAnsi"/>
                <w:b/>
              </w:rPr>
              <w:t>Therapeutic class</w:t>
            </w:r>
          </w:p>
        </w:tc>
        <w:tc>
          <w:tcPr>
            <w:tcW w:w="4415" w:type="dxa"/>
            <w:tcBorders>
              <w:bottom w:val="single" w:sz="4" w:space="0" w:color="auto"/>
            </w:tcBorders>
          </w:tcPr>
          <w:p w14:paraId="6105E526" w14:textId="24E2E0B4" w:rsidR="00EE5FD0" w:rsidRPr="000C06BD" w:rsidRDefault="00FD5E1A" w:rsidP="000C06BD">
            <w:pPr>
              <w:spacing w:after="0" w:line="240" w:lineRule="auto"/>
              <w:rPr>
                <w:rFonts w:asciiTheme="minorHAnsi" w:hAnsiTheme="minorHAnsi" w:cstheme="minorHAnsi"/>
                <w:b/>
              </w:rPr>
            </w:pPr>
            <w:r w:rsidRPr="000C06BD">
              <w:rPr>
                <w:rFonts w:asciiTheme="minorHAnsi" w:hAnsiTheme="minorHAnsi" w:cstheme="minorHAnsi"/>
                <w:b/>
              </w:rPr>
              <w:t xml:space="preserve">AHFS categories </w:t>
            </w:r>
          </w:p>
        </w:tc>
        <w:tc>
          <w:tcPr>
            <w:tcW w:w="1528" w:type="dxa"/>
            <w:tcBorders>
              <w:bottom w:val="single" w:sz="4" w:space="0" w:color="auto"/>
            </w:tcBorders>
          </w:tcPr>
          <w:p w14:paraId="3A34D3F2" w14:textId="7254FF00" w:rsidR="00EE5FD0" w:rsidRPr="000C06BD" w:rsidRDefault="00FD5E1A" w:rsidP="000C06BD">
            <w:pPr>
              <w:spacing w:after="0" w:line="240" w:lineRule="auto"/>
              <w:rPr>
                <w:rFonts w:asciiTheme="minorHAnsi" w:hAnsiTheme="minorHAnsi" w:cstheme="minorHAnsi"/>
                <w:b/>
              </w:rPr>
            </w:pPr>
            <w:r w:rsidRPr="000C06BD">
              <w:rPr>
                <w:rFonts w:asciiTheme="minorHAnsi" w:hAnsiTheme="minorHAnsi" w:cstheme="minorHAnsi"/>
                <w:b/>
              </w:rPr>
              <w:t>PDL list</w:t>
            </w:r>
          </w:p>
        </w:tc>
      </w:tr>
      <w:tr w:rsidR="00EE5FD0" w:rsidRPr="000C06BD" w14:paraId="0C190DAA" w14:textId="77777777" w:rsidTr="000C06BD">
        <w:tc>
          <w:tcPr>
            <w:tcW w:w="3775" w:type="dxa"/>
            <w:tcBorders>
              <w:top w:val="single" w:sz="4" w:space="0" w:color="auto"/>
            </w:tcBorders>
          </w:tcPr>
          <w:p w14:paraId="68281F6B" w14:textId="7EA218BA"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color w:val="000000"/>
              </w:rPr>
              <w:t>Oral antidiabetics</w:t>
            </w:r>
          </w:p>
        </w:tc>
        <w:tc>
          <w:tcPr>
            <w:tcW w:w="4415" w:type="dxa"/>
            <w:tcBorders>
              <w:top w:val="single" w:sz="4" w:space="0" w:color="auto"/>
            </w:tcBorders>
          </w:tcPr>
          <w:p w14:paraId="664A41E2" w14:textId="4E3C9DB0" w:rsidR="00EE5FD0" w:rsidRPr="000C06BD" w:rsidRDefault="00C152C1" w:rsidP="000C06BD">
            <w:pPr>
              <w:spacing w:after="0" w:line="240" w:lineRule="auto"/>
              <w:rPr>
                <w:rFonts w:asciiTheme="minorHAnsi" w:hAnsiTheme="minorHAnsi" w:cstheme="minorHAnsi"/>
              </w:rPr>
            </w:pPr>
            <w:r w:rsidRPr="000C06BD">
              <w:rPr>
                <w:rFonts w:asciiTheme="minorHAnsi" w:hAnsiTheme="minorHAnsi" w:cstheme="minorHAnsi"/>
              </w:rPr>
              <w:t xml:space="preserve">68200200, 68200300, 68200400, </w:t>
            </w:r>
            <w:r w:rsidRPr="000C06BD">
              <w:rPr>
                <w:rFonts w:asciiTheme="minorHAnsi" w:eastAsiaTheme="minorHAnsi" w:hAnsiTheme="minorHAnsi" w:cstheme="minorHAnsi"/>
                <w:color w:val="000000"/>
              </w:rPr>
              <w:t>68200500, 68200600, 68201600, 68201800, 68202000, 68202800, 68209200</w:t>
            </w:r>
          </w:p>
        </w:tc>
        <w:tc>
          <w:tcPr>
            <w:tcW w:w="1528" w:type="dxa"/>
            <w:tcBorders>
              <w:top w:val="single" w:sz="4" w:space="0" w:color="auto"/>
            </w:tcBorders>
          </w:tcPr>
          <w:p w14:paraId="49CE582A" w14:textId="0378AD4E"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Expanded</w:t>
            </w:r>
          </w:p>
        </w:tc>
      </w:tr>
      <w:tr w:rsidR="00EE5FD0" w:rsidRPr="000C06BD" w14:paraId="4DBCD118" w14:textId="77777777" w:rsidTr="000C06BD">
        <w:trPr>
          <w:trHeight w:val="522"/>
        </w:trPr>
        <w:tc>
          <w:tcPr>
            <w:tcW w:w="3775" w:type="dxa"/>
          </w:tcPr>
          <w:p w14:paraId="382DF465" w14:textId="0B387C89"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color w:val="000000"/>
              </w:rPr>
              <w:t>Insulin</w:t>
            </w:r>
          </w:p>
        </w:tc>
        <w:tc>
          <w:tcPr>
            <w:tcW w:w="4415" w:type="dxa"/>
          </w:tcPr>
          <w:p w14:paraId="5605A506" w14:textId="353A99FC" w:rsidR="00EE5FD0" w:rsidRPr="000C06BD" w:rsidRDefault="000C06BD" w:rsidP="000C06BD">
            <w:pPr>
              <w:spacing w:after="0" w:line="240" w:lineRule="auto"/>
              <w:rPr>
                <w:rFonts w:asciiTheme="minorHAnsi" w:hAnsiTheme="minorHAnsi" w:cstheme="minorHAnsi"/>
              </w:rPr>
            </w:pPr>
            <w:r w:rsidRPr="000C06BD">
              <w:rPr>
                <w:rFonts w:asciiTheme="minorHAnsi" w:eastAsiaTheme="minorHAnsi" w:hAnsiTheme="minorHAnsi" w:cstheme="minorHAnsi"/>
                <w:color w:val="000000"/>
              </w:rPr>
              <w:t>68200800</w:t>
            </w:r>
            <w:r>
              <w:rPr>
                <w:rFonts w:asciiTheme="minorHAnsi" w:eastAsiaTheme="minorHAnsi" w:hAnsiTheme="minorHAnsi" w:cstheme="minorHAnsi"/>
                <w:color w:val="000000"/>
              </w:rPr>
              <w:t xml:space="preserve">, </w:t>
            </w:r>
            <w:r w:rsidRPr="000C06BD">
              <w:rPr>
                <w:rFonts w:asciiTheme="minorHAnsi" w:eastAsiaTheme="minorHAnsi" w:hAnsiTheme="minorHAnsi" w:cstheme="minorHAnsi"/>
                <w:color w:val="000000"/>
              </w:rPr>
              <w:t>68200804</w:t>
            </w:r>
            <w:r>
              <w:rPr>
                <w:rFonts w:asciiTheme="minorHAnsi" w:eastAsiaTheme="minorHAnsi" w:hAnsiTheme="minorHAnsi" w:cstheme="minorHAnsi"/>
                <w:color w:val="000000"/>
              </w:rPr>
              <w:t xml:space="preserve">, </w:t>
            </w:r>
            <w:r w:rsidRPr="000C06BD">
              <w:rPr>
                <w:rFonts w:asciiTheme="minorHAnsi" w:eastAsiaTheme="minorHAnsi" w:hAnsiTheme="minorHAnsi" w:cstheme="minorHAnsi"/>
                <w:color w:val="000000"/>
              </w:rPr>
              <w:t>68200808</w:t>
            </w:r>
            <w:r>
              <w:rPr>
                <w:rFonts w:asciiTheme="minorHAnsi" w:eastAsiaTheme="minorHAnsi" w:hAnsiTheme="minorHAnsi" w:cstheme="minorHAnsi"/>
                <w:color w:val="000000"/>
              </w:rPr>
              <w:t xml:space="preserve">, </w:t>
            </w:r>
            <w:r w:rsidRPr="000C06BD">
              <w:rPr>
                <w:rFonts w:asciiTheme="minorHAnsi" w:eastAsiaTheme="minorHAnsi" w:hAnsiTheme="minorHAnsi" w:cstheme="minorHAnsi"/>
                <w:color w:val="000000"/>
              </w:rPr>
              <w:t>68200812</w:t>
            </w:r>
            <w:r>
              <w:rPr>
                <w:rFonts w:asciiTheme="minorHAnsi" w:eastAsiaTheme="minorHAnsi" w:hAnsiTheme="minorHAnsi" w:cstheme="minorHAnsi"/>
                <w:color w:val="000000"/>
              </w:rPr>
              <w:t xml:space="preserve">, </w:t>
            </w:r>
            <w:r w:rsidRPr="000C06BD">
              <w:rPr>
                <w:rFonts w:asciiTheme="minorHAnsi" w:eastAsiaTheme="minorHAnsi" w:hAnsiTheme="minorHAnsi" w:cstheme="minorHAnsi"/>
                <w:color w:val="000000"/>
              </w:rPr>
              <w:t>68200816</w:t>
            </w:r>
          </w:p>
        </w:tc>
        <w:tc>
          <w:tcPr>
            <w:tcW w:w="1528" w:type="dxa"/>
          </w:tcPr>
          <w:p w14:paraId="3198CB52" w14:textId="425688B0"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Expanded</w:t>
            </w:r>
          </w:p>
        </w:tc>
      </w:tr>
      <w:tr w:rsidR="00EE5FD0" w:rsidRPr="000C06BD" w14:paraId="44533ECB" w14:textId="77777777" w:rsidTr="000C06BD">
        <w:tc>
          <w:tcPr>
            <w:tcW w:w="3775" w:type="dxa"/>
          </w:tcPr>
          <w:p w14:paraId="5FAE6A6C" w14:textId="105E6C2F" w:rsidR="00EE5FD0" w:rsidRPr="000C06BD" w:rsidRDefault="00EE5FD0" w:rsidP="000C06BD">
            <w:pPr>
              <w:spacing w:after="0" w:line="240" w:lineRule="auto"/>
              <w:rPr>
                <w:rFonts w:asciiTheme="minorHAnsi" w:hAnsiTheme="minorHAnsi" w:cstheme="minorHAnsi"/>
              </w:rPr>
            </w:pPr>
            <w:r w:rsidRPr="000C06BD">
              <w:rPr>
                <w:rFonts w:asciiTheme="minorHAnsi" w:hAnsiTheme="minorHAnsi" w:cstheme="minorHAnsi"/>
                <w:color w:val="000000"/>
              </w:rPr>
              <w:t>Diabetes test strips</w:t>
            </w:r>
            <w:r w:rsidR="006E66AC" w:rsidRPr="000C06BD">
              <w:rPr>
                <w:rFonts w:asciiTheme="minorHAnsi" w:hAnsiTheme="minorHAnsi" w:cstheme="minorHAnsi"/>
                <w:color w:val="000000"/>
              </w:rPr>
              <w:t xml:space="preserve"> and supplies</w:t>
            </w:r>
          </w:p>
        </w:tc>
        <w:tc>
          <w:tcPr>
            <w:tcW w:w="4415" w:type="dxa"/>
          </w:tcPr>
          <w:p w14:paraId="41358FDE" w14:textId="5A0A80BC" w:rsidR="00EE5FD0" w:rsidRPr="000C06BD" w:rsidRDefault="00D43BDA" w:rsidP="00D43BDA">
            <w:pPr>
              <w:spacing w:after="0" w:line="240" w:lineRule="auto"/>
              <w:rPr>
                <w:rFonts w:asciiTheme="minorHAnsi" w:hAnsiTheme="minorHAnsi" w:cstheme="minorHAnsi"/>
              </w:rPr>
            </w:pPr>
            <w:r w:rsidRPr="00D43BDA">
              <w:rPr>
                <w:rFonts w:asciiTheme="minorHAnsi" w:hAnsiTheme="minorHAnsi" w:cstheme="minorHAnsi"/>
              </w:rPr>
              <w:t>36260000</w:t>
            </w:r>
            <w:r>
              <w:rPr>
                <w:rFonts w:asciiTheme="minorHAnsi" w:hAnsiTheme="minorHAnsi" w:cstheme="minorHAnsi"/>
              </w:rPr>
              <w:t xml:space="preserve">, </w:t>
            </w:r>
            <w:r w:rsidRPr="00D43BDA">
              <w:rPr>
                <w:rFonts w:asciiTheme="minorHAnsi" w:hAnsiTheme="minorHAnsi" w:cstheme="minorHAnsi"/>
              </w:rPr>
              <w:t>94000000</w:t>
            </w:r>
          </w:p>
        </w:tc>
        <w:tc>
          <w:tcPr>
            <w:tcW w:w="1528" w:type="dxa"/>
          </w:tcPr>
          <w:p w14:paraId="3EDD214C" w14:textId="3EA173F2"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Expanded</w:t>
            </w:r>
          </w:p>
        </w:tc>
      </w:tr>
      <w:tr w:rsidR="00EE5FD0" w:rsidRPr="000C06BD" w14:paraId="351C16FD" w14:textId="77777777" w:rsidTr="000C06BD">
        <w:tc>
          <w:tcPr>
            <w:tcW w:w="3775" w:type="dxa"/>
          </w:tcPr>
          <w:p w14:paraId="489CD7F3" w14:textId="5C851FC3" w:rsidR="00EE5FD0" w:rsidRPr="000C06BD" w:rsidRDefault="00EE5FD0" w:rsidP="000C06BD">
            <w:pPr>
              <w:spacing w:after="0" w:line="240" w:lineRule="auto"/>
              <w:rPr>
                <w:rFonts w:asciiTheme="minorHAnsi" w:hAnsiTheme="minorHAnsi" w:cstheme="minorHAnsi"/>
              </w:rPr>
            </w:pPr>
            <w:r w:rsidRPr="000C06BD">
              <w:rPr>
                <w:rFonts w:asciiTheme="minorHAnsi" w:hAnsiTheme="minorHAnsi" w:cstheme="minorHAnsi"/>
                <w:color w:val="000000"/>
              </w:rPr>
              <w:t>Antihypertensives</w:t>
            </w:r>
          </w:p>
        </w:tc>
        <w:tc>
          <w:tcPr>
            <w:tcW w:w="4415" w:type="dxa"/>
          </w:tcPr>
          <w:p w14:paraId="441555D3" w14:textId="18B626C8" w:rsidR="00EE5FD0" w:rsidRPr="000C06BD" w:rsidRDefault="000C06BD" w:rsidP="000C06BD">
            <w:pPr>
              <w:spacing w:after="0" w:line="240" w:lineRule="auto"/>
              <w:rPr>
                <w:rFonts w:asciiTheme="minorHAnsi" w:hAnsiTheme="minorHAnsi" w:cstheme="minorHAnsi"/>
              </w:rPr>
            </w:pPr>
            <w:r w:rsidRPr="000C06BD">
              <w:rPr>
                <w:rFonts w:asciiTheme="minorHAnsi" w:hAnsiTheme="minorHAnsi" w:cstheme="minorHAnsi"/>
              </w:rPr>
              <w:t>12160412</w:t>
            </w:r>
            <w:r>
              <w:rPr>
                <w:rFonts w:asciiTheme="minorHAnsi" w:hAnsiTheme="minorHAnsi" w:cstheme="minorHAnsi"/>
              </w:rPr>
              <w:t xml:space="preserve">, </w:t>
            </w:r>
            <w:r w:rsidRPr="000C06BD">
              <w:rPr>
                <w:rFonts w:asciiTheme="minorHAnsi" w:hAnsiTheme="minorHAnsi" w:cstheme="minorHAnsi"/>
              </w:rPr>
              <w:t>24081600</w:t>
            </w:r>
            <w:r>
              <w:rPr>
                <w:rFonts w:asciiTheme="minorHAnsi" w:hAnsiTheme="minorHAnsi" w:cstheme="minorHAnsi"/>
              </w:rPr>
              <w:t xml:space="preserve">, </w:t>
            </w:r>
            <w:r w:rsidRPr="000C06BD">
              <w:rPr>
                <w:rFonts w:asciiTheme="minorHAnsi" w:hAnsiTheme="minorHAnsi" w:cstheme="minorHAnsi"/>
              </w:rPr>
              <w:t>24082000</w:t>
            </w:r>
            <w:r>
              <w:rPr>
                <w:rFonts w:asciiTheme="minorHAnsi" w:hAnsiTheme="minorHAnsi" w:cstheme="minorHAnsi"/>
              </w:rPr>
              <w:t xml:space="preserve">, </w:t>
            </w:r>
            <w:r w:rsidRPr="000C06BD">
              <w:rPr>
                <w:rFonts w:asciiTheme="minorHAnsi" w:hAnsiTheme="minorHAnsi" w:cstheme="minorHAnsi"/>
              </w:rPr>
              <w:t>24083200</w:t>
            </w:r>
            <w:r>
              <w:rPr>
                <w:rFonts w:asciiTheme="minorHAnsi" w:hAnsiTheme="minorHAnsi" w:cstheme="minorHAnsi"/>
              </w:rPr>
              <w:t xml:space="preserve">, </w:t>
            </w:r>
            <w:r w:rsidRPr="000C06BD">
              <w:rPr>
                <w:rFonts w:asciiTheme="minorHAnsi" w:hAnsiTheme="minorHAnsi" w:cstheme="minorHAnsi"/>
              </w:rPr>
              <w:t>24089200</w:t>
            </w:r>
            <w:r>
              <w:rPr>
                <w:rFonts w:asciiTheme="minorHAnsi" w:hAnsiTheme="minorHAnsi" w:cstheme="minorHAnsi"/>
              </w:rPr>
              <w:t xml:space="preserve">, </w:t>
            </w:r>
            <w:r w:rsidRPr="000C06BD">
              <w:rPr>
                <w:rFonts w:asciiTheme="minorHAnsi" w:hAnsiTheme="minorHAnsi" w:cstheme="minorHAnsi"/>
              </w:rPr>
              <w:t>24200000</w:t>
            </w:r>
            <w:r>
              <w:rPr>
                <w:rFonts w:asciiTheme="minorHAnsi" w:hAnsiTheme="minorHAnsi" w:cstheme="minorHAnsi"/>
              </w:rPr>
              <w:t xml:space="preserve">, </w:t>
            </w:r>
            <w:r w:rsidRPr="000C06BD">
              <w:rPr>
                <w:rFonts w:asciiTheme="minorHAnsi" w:hAnsiTheme="minorHAnsi" w:cstheme="minorHAnsi"/>
              </w:rPr>
              <w:t>24240000</w:t>
            </w:r>
            <w:r>
              <w:rPr>
                <w:rFonts w:asciiTheme="minorHAnsi" w:hAnsiTheme="minorHAnsi" w:cstheme="minorHAnsi"/>
              </w:rPr>
              <w:t xml:space="preserve">, </w:t>
            </w:r>
            <w:r w:rsidRPr="000C06BD">
              <w:rPr>
                <w:rFonts w:asciiTheme="minorHAnsi" w:hAnsiTheme="minorHAnsi" w:cstheme="minorHAnsi"/>
              </w:rPr>
              <w:t>24280800</w:t>
            </w:r>
            <w:r>
              <w:rPr>
                <w:rFonts w:asciiTheme="minorHAnsi" w:hAnsiTheme="minorHAnsi" w:cstheme="minorHAnsi"/>
              </w:rPr>
              <w:t xml:space="preserve">, </w:t>
            </w:r>
            <w:r w:rsidRPr="000C06BD">
              <w:rPr>
                <w:rFonts w:asciiTheme="minorHAnsi" w:hAnsiTheme="minorHAnsi" w:cstheme="minorHAnsi"/>
              </w:rPr>
              <w:t>24289200</w:t>
            </w:r>
            <w:r>
              <w:rPr>
                <w:rFonts w:asciiTheme="minorHAnsi" w:hAnsiTheme="minorHAnsi" w:cstheme="minorHAnsi"/>
              </w:rPr>
              <w:t xml:space="preserve">, </w:t>
            </w:r>
            <w:r w:rsidRPr="000C06BD">
              <w:rPr>
                <w:rFonts w:asciiTheme="minorHAnsi" w:hAnsiTheme="minorHAnsi" w:cstheme="minorHAnsi"/>
              </w:rPr>
              <w:t>24320400</w:t>
            </w:r>
            <w:r>
              <w:rPr>
                <w:rFonts w:asciiTheme="minorHAnsi" w:hAnsiTheme="minorHAnsi" w:cstheme="minorHAnsi"/>
              </w:rPr>
              <w:t xml:space="preserve">, </w:t>
            </w:r>
            <w:r w:rsidRPr="000C06BD">
              <w:rPr>
                <w:rFonts w:asciiTheme="minorHAnsi" w:hAnsiTheme="minorHAnsi" w:cstheme="minorHAnsi"/>
              </w:rPr>
              <w:t>24320800</w:t>
            </w:r>
            <w:r>
              <w:rPr>
                <w:rFonts w:asciiTheme="minorHAnsi" w:hAnsiTheme="minorHAnsi" w:cstheme="minorHAnsi"/>
              </w:rPr>
              <w:t xml:space="preserve">, </w:t>
            </w:r>
            <w:r w:rsidRPr="000C06BD">
              <w:rPr>
                <w:rFonts w:asciiTheme="minorHAnsi" w:hAnsiTheme="minorHAnsi" w:cstheme="minorHAnsi"/>
              </w:rPr>
              <w:t>24322000</w:t>
            </w:r>
            <w:r>
              <w:rPr>
                <w:rFonts w:asciiTheme="minorHAnsi" w:hAnsiTheme="minorHAnsi" w:cstheme="minorHAnsi"/>
              </w:rPr>
              <w:t xml:space="preserve">, </w:t>
            </w:r>
            <w:r w:rsidRPr="000C06BD">
              <w:rPr>
                <w:rFonts w:asciiTheme="minorHAnsi" w:hAnsiTheme="minorHAnsi" w:cstheme="minorHAnsi"/>
              </w:rPr>
              <w:t>24324000</w:t>
            </w:r>
            <w:r>
              <w:rPr>
                <w:rFonts w:asciiTheme="minorHAnsi" w:hAnsiTheme="minorHAnsi" w:cstheme="minorHAnsi"/>
              </w:rPr>
              <w:t xml:space="preserve">, </w:t>
            </w:r>
            <w:r w:rsidRPr="000C06BD">
              <w:rPr>
                <w:rFonts w:asciiTheme="minorHAnsi" w:hAnsiTheme="minorHAnsi" w:cstheme="minorHAnsi"/>
              </w:rPr>
              <w:t>40280800</w:t>
            </w:r>
            <w:r>
              <w:rPr>
                <w:rFonts w:asciiTheme="minorHAnsi" w:hAnsiTheme="minorHAnsi" w:cstheme="minorHAnsi"/>
              </w:rPr>
              <w:t xml:space="preserve">, </w:t>
            </w:r>
            <w:r w:rsidRPr="000C06BD">
              <w:rPr>
                <w:rFonts w:asciiTheme="minorHAnsi" w:hAnsiTheme="minorHAnsi" w:cstheme="minorHAnsi"/>
              </w:rPr>
              <w:t>40281200</w:t>
            </w:r>
            <w:r>
              <w:rPr>
                <w:rFonts w:asciiTheme="minorHAnsi" w:hAnsiTheme="minorHAnsi" w:cstheme="minorHAnsi"/>
              </w:rPr>
              <w:t xml:space="preserve">, </w:t>
            </w:r>
            <w:r w:rsidRPr="000C06BD">
              <w:rPr>
                <w:rFonts w:asciiTheme="minorHAnsi" w:hAnsiTheme="minorHAnsi" w:cstheme="minorHAnsi"/>
              </w:rPr>
              <w:t>40281600</w:t>
            </w:r>
            <w:r>
              <w:rPr>
                <w:rFonts w:asciiTheme="minorHAnsi" w:hAnsiTheme="minorHAnsi" w:cstheme="minorHAnsi"/>
              </w:rPr>
              <w:t xml:space="preserve">, </w:t>
            </w:r>
            <w:r w:rsidRPr="000C06BD">
              <w:rPr>
                <w:rFonts w:asciiTheme="minorHAnsi" w:hAnsiTheme="minorHAnsi" w:cstheme="minorHAnsi"/>
              </w:rPr>
              <w:t>40282000</w:t>
            </w:r>
            <w:r>
              <w:rPr>
                <w:rFonts w:asciiTheme="minorHAnsi" w:hAnsiTheme="minorHAnsi" w:cstheme="minorHAnsi"/>
              </w:rPr>
              <w:t xml:space="preserve">, </w:t>
            </w:r>
            <w:r w:rsidRPr="000C06BD">
              <w:rPr>
                <w:rFonts w:asciiTheme="minorHAnsi" w:hAnsiTheme="minorHAnsi" w:cstheme="minorHAnsi"/>
              </w:rPr>
              <w:t>40282400</w:t>
            </w:r>
            <w:r>
              <w:rPr>
                <w:rFonts w:asciiTheme="minorHAnsi" w:hAnsiTheme="minorHAnsi" w:cstheme="minorHAnsi"/>
              </w:rPr>
              <w:t xml:space="preserve">, </w:t>
            </w:r>
            <w:r w:rsidRPr="000C06BD">
              <w:rPr>
                <w:rFonts w:asciiTheme="minorHAnsi" w:hAnsiTheme="minorHAnsi" w:cstheme="minorHAnsi"/>
              </w:rPr>
              <w:t>40282800</w:t>
            </w:r>
            <w:r>
              <w:rPr>
                <w:rFonts w:asciiTheme="minorHAnsi" w:hAnsiTheme="minorHAnsi" w:cstheme="minorHAnsi"/>
              </w:rPr>
              <w:t xml:space="preserve">, </w:t>
            </w:r>
            <w:r w:rsidRPr="000C06BD">
              <w:rPr>
                <w:rFonts w:asciiTheme="minorHAnsi" w:hAnsiTheme="minorHAnsi" w:cstheme="minorHAnsi"/>
              </w:rPr>
              <w:t>40289200</w:t>
            </w:r>
          </w:p>
        </w:tc>
        <w:tc>
          <w:tcPr>
            <w:tcW w:w="1528" w:type="dxa"/>
          </w:tcPr>
          <w:p w14:paraId="018A639C" w14:textId="1F94F0D9"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Core</w:t>
            </w:r>
          </w:p>
        </w:tc>
      </w:tr>
      <w:tr w:rsidR="00EE5FD0" w:rsidRPr="000C06BD" w14:paraId="02F31D35" w14:textId="77777777" w:rsidTr="000C06BD">
        <w:tc>
          <w:tcPr>
            <w:tcW w:w="3775" w:type="dxa"/>
          </w:tcPr>
          <w:p w14:paraId="11AAAE0C" w14:textId="5EEE1983"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color w:val="000000"/>
              </w:rPr>
              <w:t>Antihyperlipidemics</w:t>
            </w:r>
          </w:p>
        </w:tc>
        <w:tc>
          <w:tcPr>
            <w:tcW w:w="4415" w:type="dxa"/>
          </w:tcPr>
          <w:p w14:paraId="5BE3C1EF" w14:textId="26AF5D4A" w:rsidR="00EE5FD0" w:rsidRPr="000C06BD" w:rsidRDefault="000C06BD" w:rsidP="000C06BD">
            <w:pPr>
              <w:spacing w:after="0" w:line="240" w:lineRule="auto"/>
              <w:rPr>
                <w:rFonts w:asciiTheme="minorHAnsi" w:hAnsiTheme="minorHAnsi" w:cstheme="minorHAnsi"/>
              </w:rPr>
            </w:pPr>
            <w:r w:rsidRPr="000C06BD">
              <w:rPr>
                <w:rFonts w:asciiTheme="minorHAnsi" w:hAnsiTheme="minorHAnsi" w:cstheme="minorHAnsi"/>
              </w:rPr>
              <w:t>24060400</w:t>
            </w:r>
            <w:r>
              <w:rPr>
                <w:rFonts w:asciiTheme="minorHAnsi" w:hAnsiTheme="minorHAnsi" w:cstheme="minorHAnsi"/>
              </w:rPr>
              <w:t xml:space="preserve">, </w:t>
            </w:r>
            <w:r w:rsidRPr="000C06BD">
              <w:rPr>
                <w:rFonts w:asciiTheme="minorHAnsi" w:hAnsiTheme="minorHAnsi" w:cstheme="minorHAnsi"/>
              </w:rPr>
              <w:t>24060500</w:t>
            </w:r>
            <w:r>
              <w:rPr>
                <w:rFonts w:asciiTheme="minorHAnsi" w:hAnsiTheme="minorHAnsi" w:cstheme="minorHAnsi"/>
              </w:rPr>
              <w:t xml:space="preserve">, </w:t>
            </w:r>
            <w:r w:rsidRPr="000C06BD">
              <w:rPr>
                <w:rFonts w:asciiTheme="minorHAnsi" w:hAnsiTheme="minorHAnsi" w:cstheme="minorHAnsi"/>
              </w:rPr>
              <w:t>24060600</w:t>
            </w:r>
            <w:r>
              <w:rPr>
                <w:rFonts w:asciiTheme="minorHAnsi" w:hAnsiTheme="minorHAnsi" w:cstheme="minorHAnsi"/>
              </w:rPr>
              <w:t xml:space="preserve">, </w:t>
            </w:r>
            <w:r w:rsidRPr="000C06BD">
              <w:rPr>
                <w:rFonts w:asciiTheme="minorHAnsi" w:hAnsiTheme="minorHAnsi" w:cstheme="minorHAnsi"/>
              </w:rPr>
              <w:t>24060800</w:t>
            </w:r>
            <w:r>
              <w:rPr>
                <w:rFonts w:asciiTheme="minorHAnsi" w:hAnsiTheme="minorHAnsi" w:cstheme="minorHAnsi"/>
              </w:rPr>
              <w:t xml:space="preserve">, </w:t>
            </w:r>
            <w:r w:rsidRPr="000C06BD">
              <w:rPr>
                <w:rFonts w:asciiTheme="minorHAnsi" w:hAnsiTheme="minorHAnsi" w:cstheme="minorHAnsi"/>
              </w:rPr>
              <w:t>24062400</w:t>
            </w:r>
            <w:r>
              <w:rPr>
                <w:rFonts w:asciiTheme="minorHAnsi" w:hAnsiTheme="minorHAnsi" w:cstheme="minorHAnsi"/>
              </w:rPr>
              <w:t xml:space="preserve">, </w:t>
            </w:r>
            <w:r w:rsidRPr="000C06BD">
              <w:rPr>
                <w:rFonts w:asciiTheme="minorHAnsi" w:hAnsiTheme="minorHAnsi" w:cstheme="minorHAnsi"/>
              </w:rPr>
              <w:t>24069200</w:t>
            </w:r>
          </w:p>
        </w:tc>
        <w:tc>
          <w:tcPr>
            <w:tcW w:w="1528" w:type="dxa"/>
          </w:tcPr>
          <w:p w14:paraId="4B93DF87" w14:textId="08DEBD2B"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Core</w:t>
            </w:r>
          </w:p>
        </w:tc>
      </w:tr>
      <w:tr w:rsidR="00EE5FD0" w:rsidRPr="000C06BD" w14:paraId="4EB4EFDA" w14:textId="77777777" w:rsidTr="000C06BD">
        <w:tc>
          <w:tcPr>
            <w:tcW w:w="3775" w:type="dxa"/>
          </w:tcPr>
          <w:p w14:paraId="43B42197" w14:textId="4EB5071B"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color w:val="000000"/>
              </w:rPr>
              <w:t>Other cardiovascular medications</w:t>
            </w:r>
          </w:p>
        </w:tc>
        <w:tc>
          <w:tcPr>
            <w:tcW w:w="4415" w:type="dxa"/>
          </w:tcPr>
          <w:p w14:paraId="7079858E" w14:textId="0EDD4684" w:rsidR="00EE5FD0" w:rsidRPr="000C06BD" w:rsidRDefault="008216CE" w:rsidP="008216CE">
            <w:pPr>
              <w:spacing w:after="0" w:line="240" w:lineRule="auto"/>
              <w:rPr>
                <w:rFonts w:asciiTheme="minorHAnsi" w:hAnsiTheme="minorHAnsi" w:cstheme="minorHAnsi"/>
              </w:rPr>
            </w:pPr>
            <w:r w:rsidRPr="008216CE">
              <w:rPr>
                <w:rFonts w:asciiTheme="minorHAnsi" w:hAnsiTheme="minorHAnsi" w:cstheme="minorHAnsi"/>
              </w:rPr>
              <w:t>12120804</w:t>
            </w:r>
            <w:r>
              <w:rPr>
                <w:rFonts w:asciiTheme="minorHAnsi" w:hAnsiTheme="minorHAnsi" w:cstheme="minorHAnsi"/>
              </w:rPr>
              <w:t xml:space="preserve">, </w:t>
            </w:r>
            <w:r w:rsidRPr="008216CE">
              <w:rPr>
                <w:rFonts w:asciiTheme="minorHAnsi" w:hAnsiTheme="minorHAnsi" w:cstheme="minorHAnsi"/>
              </w:rPr>
              <w:t>12120808</w:t>
            </w:r>
            <w:r>
              <w:rPr>
                <w:rFonts w:asciiTheme="minorHAnsi" w:hAnsiTheme="minorHAnsi" w:cstheme="minorHAnsi"/>
              </w:rPr>
              <w:t xml:space="preserve">, </w:t>
            </w:r>
            <w:r w:rsidRPr="008216CE">
              <w:rPr>
                <w:rFonts w:asciiTheme="minorHAnsi" w:hAnsiTheme="minorHAnsi" w:cstheme="minorHAnsi"/>
              </w:rPr>
              <w:t>20120408</w:t>
            </w:r>
            <w:r>
              <w:rPr>
                <w:rFonts w:asciiTheme="minorHAnsi" w:hAnsiTheme="minorHAnsi" w:cstheme="minorHAnsi"/>
              </w:rPr>
              <w:t xml:space="preserve">, </w:t>
            </w:r>
            <w:r w:rsidRPr="008216CE">
              <w:rPr>
                <w:rFonts w:asciiTheme="minorHAnsi" w:hAnsiTheme="minorHAnsi" w:cstheme="minorHAnsi"/>
              </w:rPr>
              <w:t>20120412</w:t>
            </w:r>
            <w:r>
              <w:rPr>
                <w:rFonts w:asciiTheme="minorHAnsi" w:hAnsiTheme="minorHAnsi" w:cstheme="minorHAnsi"/>
              </w:rPr>
              <w:t xml:space="preserve">, </w:t>
            </w:r>
            <w:r w:rsidRPr="008216CE">
              <w:rPr>
                <w:rFonts w:asciiTheme="minorHAnsi" w:hAnsiTheme="minorHAnsi" w:cstheme="minorHAnsi"/>
              </w:rPr>
              <w:t>20120414</w:t>
            </w:r>
            <w:r>
              <w:rPr>
                <w:rFonts w:asciiTheme="minorHAnsi" w:hAnsiTheme="minorHAnsi" w:cstheme="minorHAnsi"/>
              </w:rPr>
              <w:t xml:space="preserve">, </w:t>
            </w:r>
            <w:r w:rsidRPr="008216CE">
              <w:rPr>
                <w:rFonts w:asciiTheme="minorHAnsi" w:hAnsiTheme="minorHAnsi" w:cstheme="minorHAnsi"/>
              </w:rPr>
              <w:t>20120416</w:t>
            </w:r>
            <w:r>
              <w:rPr>
                <w:rFonts w:asciiTheme="minorHAnsi" w:hAnsiTheme="minorHAnsi" w:cstheme="minorHAnsi"/>
              </w:rPr>
              <w:t xml:space="preserve">, </w:t>
            </w:r>
            <w:r w:rsidRPr="008216CE">
              <w:rPr>
                <w:rFonts w:asciiTheme="minorHAnsi" w:hAnsiTheme="minorHAnsi" w:cstheme="minorHAnsi"/>
              </w:rPr>
              <w:t>20120492</w:t>
            </w:r>
            <w:r>
              <w:rPr>
                <w:rFonts w:asciiTheme="minorHAnsi" w:hAnsiTheme="minorHAnsi" w:cstheme="minorHAnsi"/>
              </w:rPr>
              <w:t xml:space="preserve">, </w:t>
            </w:r>
            <w:r w:rsidRPr="008216CE">
              <w:rPr>
                <w:rFonts w:asciiTheme="minorHAnsi" w:hAnsiTheme="minorHAnsi" w:cstheme="minorHAnsi"/>
              </w:rPr>
              <w:t>20121400</w:t>
            </w:r>
            <w:r>
              <w:rPr>
                <w:rFonts w:asciiTheme="minorHAnsi" w:hAnsiTheme="minorHAnsi" w:cstheme="minorHAnsi"/>
              </w:rPr>
              <w:t xml:space="preserve">, </w:t>
            </w:r>
            <w:r w:rsidRPr="008216CE">
              <w:rPr>
                <w:rFonts w:asciiTheme="minorHAnsi" w:hAnsiTheme="minorHAnsi" w:cstheme="minorHAnsi"/>
              </w:rPr>
              <w:t>20121800</w:t>
            </w:r>
            <w:r>
              <w:rPr>
                <w:rFonts w:asciiTheme="minorHAnsi" w:hAnsiTheme="minorHAnsi" w:cstheme="minorHAnsi"/>
              </w:rPr>
              <w:t xml:space="preserve">, </w:t>
            </w:r>
            <w:r w:rsidRPr="008216CE">
              <w:rPr>
                <w:rFonts w:asciiTheme="minorHAnsi" w:hAnsiTheme="minorHAnsi" w:cstheme="minorHAnsi"/>
              </w:rPr>
              <w:t>20122000</w:t>
            </w:r>
            <w:r>
              <w:rPr>
                <w:rFonts w:asciiTheme="minorHAnsi" w:hAnsiTheme="minorHAnsi" w:cstheme="minorHAnsi"/>
              </w:rPr>
              <w:t xml:space="preserve">, </w:t>
            </w:r>
            <w:r w:rsidRPr="008216CE">
              <w:rPr>
                <w:rFonts w:asciiTheme="minorHAnsi" w:hAnsiTheme="minorHAnsi" w:cstheme="minorHAnsi"/>
              </w:rPr>
              <w:t>20129200</w:t>
            </w:r>
            <w:r>
              <w:rPr>
                <w:rFonts w:asciiTheme="minorHAnsi" w:hAnsiTheme="minorHAnsi" w:cstheme="minorHAnsi"/>
              </w:rPr>
              <w:t xml:space="preserve">, </w:t>
            </w:r>
            <w:r w:rsidRPr="008216CE">
              <w:rPr>
                <w:rFonts w:asciiTheme="minorHAnsi" w:hAnsiTheme="minorHAnsi" w:cstheme="minorHAnsi"/>
              </w:rPr>
              <w:t>24040400</w:t>
            </w:r>
            <w:r>
              <w:rPr>
                <w:rFonts w:asciiTheme="minorHAnsi" w:hAnsiTheme="minorHAnsi" w:cstheme="minorHAnsi"/>
              </w:rPr>
              <w:t xml:space="preserve">, </w:t>
            </w:r>
            <w:r w:rsidRPr="008216CE">
              <w:rPr>
                <w:rFonts w:asciiTheme="minorHAnsi" w:hAnsiTheme="minorHAnsi" w:cstheme="minorHAnsi"/>
              </w:rPr>
              <w:t>24040404</w:t>
            </w:r>
            <w:r>
              <w:rPr>
                <w:rFonts w:asciiTheme="minorHAnsi" w:hAnsiTheme="minorHAnsi" w:cstheme="minorHAnsi"/>
              </w:rPr>
              <w:t xml:space="preserve">, </w:t>
            </w:r>
            <w:r w:rsidRPr="008216CE">
              <w:rPr>
                <w:rFonts w:asciiTheme="minorHAnsi" w:hAnsiTheme="minorHAnsi" w:cstheme="minorHAnsi"/>
              </w:rPr>
              <w:t>24040408</w:t>
            </w:r>
            <w:r>
              <w:rPr>
                <w:rFonts w:asciiTheme="minorHAnsi" w:hAnsiTheme="minorHAnsi" w:cstheme="minorHAnsi"/>
              </w:rPr>
              <w:t xml:space="preserve">, </w:t>
            </w:r>
            <w:r w:rsidRPr="008216CE">
              <w:rPr>
                <w:rFonts w:asciiTheme="minorHAnsi" w:hAnsiTheme="minorHAnsi" w:cstheme="minorHAnsi"/>
              </w:rPr>
              <w:t>24040412</w:t>
            </w:r>
            <w:r>
              <w:rPr>
                <w:rFonts w:asciiTheme="minorHAnsi" w:hAnsiTheme="minorHAnsi" w:cstheme="minorHAnsi"/>
              </w:rPr>
              <w:t xml:space="preserve">, </w:t>
            </w:r>
            <w:r w:rsidRPr="008216CE">
              <w:rPr>
                <w:rFonts w:asciiTheme="minorHAnsi" w:hAnsiTheme="minorHAnsi" w:cstheme="minorHAnsi"/>
              </w:rPr>
              <w:t>24040420</w:t>
            </w:r>
            <w:r>
              <w:rPr>
                <w:rFonts w:asciiTheme="minorHAnsi" w:hAnsiTheme="minorHAnsi" w:cstheme="minorHAnsi"/>
              </w:rPr>
              <w:t xml:space="preserve">, </w:t>
            </w:r>
            <w:r w:rsidRPr="008216CE">
              <w:rPr>
                <w:rFonts w:asciiTheme="minorHAnsi" w:hAnsiTheme="minorHAnsi" w:cstheme="minorHAnsi"/>
              </w:rPr>
              <w:t>24040424</w:t>
            </w:r>
            <w:r>
              <w:rPr>
                <w:rFonts w:asciiTheme="minorHAnsi" w:hAnsiTheme="minorHAnsi" w:cstheme="minorHAnsi"/>
              </w:rPr>
              <w:t xml:space="preserve">, </w:t>
            </w:r>
            <w:r w:rsidRPr="008216CE">
              <w:rPr>
                <w:rFonts w:asciiTheme="minorHAnsi" w:hAnsiTheme="minorHAnsi" w:cstheme="minorHAnsi"/>
              </w:rPr>
              <w:t>24040800</w:t>
            </w:r>
            <w:r>
              <w:rPr>
                <w:rFonts w:asciiTheme="minorHAnsi" w:hAnsiTheme="minorHAnsi" w:cstheme="minorHAnsi"/>
              </w:rPr>
              <w:t xml:space="preserve">, </w:t>
            </w:r>
            <w:r w:rsidRPr="008216CE">
              <w:rPr>
                <w:rFonts w:asciiTheme="minorHAnsi" w:hAnsiTheme="minorHAnsi" w:cstheme="minorHAnsi"/>
              </w:rPr>
              <w:t>24049200</w:t>
            </w:r>
            <w:r>
              <w:rPr>
                <w:rFonts w:asciiTheme="minorHAnsi" w:hAnsiTheme="minorHAnsi" w:cstheme="minorHAnsi"/>
              </w:rPr>
              <w:t xml:space="preserve">, </w:t>
            </w:r>
            <w:r w:rsidRPr="008216CE">
              <w:rPr>
                <w:rFonts w:asciiTheme="minorHAnsi" w:hAnsiTheme="minorHAnsi" w:cstheme="minorHAnsi"/>
              </w:rPr>
              <w:t>24120800</w:t>
            </w:r>
            <w:r>
              <w:rPr>
                <w:rFonts w:asciiTheme="minorHAnsi" w:hAnsiTheme="minorHAnsi" w:cstheme="minorHAnsi"/>
              </w:rPr>
              <w:t xml:space="preserve">, </w:t>
            </w:r>
            <w:r w:rsidRPr="008216CE">
              <w:rPr>
                <w:rFonts w:asciiTheme="minorHAnsi" w:hAnsiTheme="minorHAnsi" w:cstheme="minorHAnsi"/>
              </w:rPr>
              <w:t>24129200</w:t>
            </w:r>
          </w:p>
        </w:tc>
        <w:tc>
          <w:tcPr>
            <w:tcW w:w="1528" w:type="dxa"/>
          </w:tcPr>
          <w:p w14:paraId="0105986B" w14:textId="2C6AF9B4"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Unlisted</w:t>
            </w:r>
          </w:p>
        </w:tc>
      </w:tr>
      <w:tr w:rsidR="00EE5FD0" w:rsidRPr="000C06BD" w14:paraId="4BF0E10B" w14:textId="77777777" w:rsidTr="000C06BD">
        <w:tc>
          <w:tcPr>
            <w:tcW w:w="3775" w:type="dxa"/>
          </w:tcPr>
          <w:p w14:paraId="3A8E8AF5" w14:textId="5056AB78"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color w:val="000000"/>
              </w:rPr>
              <w:t>Antiasthmatics</w:t>
            </w:r>
          </w:p>
        </w:tc>
        <w:tc>
          <w:tcPr>
            <w:tcW w:w="4415" w:type="dxa"/>
          </w:tcPr>
          <w:p w14:paraId="0975A147" w14:textId="1914BC55" w:rsidR="00EE5FD0" w:rsidRPr="000C06BD" w:rsidRDefault="000C06BD" w:rsidP="000C06BD">
            <w:pPr>
              <w:spacing w:after="0" w:line="240" w:lineRule="auto"/>
              <w:rPr>
                <w:rFonts w:asciiTheme="minorHAnsi" w:hAnsiTheme="minorHAnsi" w:cstheme="minorHAnsi"/>
              </w:rPr>
            </w:pPr>
            <w:r w:rsidRPr="000C06BD">
              <w:rPr>
                <w:rFonts w:asciiTheme="minorHAnsi" w:hAnsiTheme="minorHAnsi" w:cstheme="minorHAnsi"/>
              </w:rPr>
              <w:t>12080800</w:t>
            </w:r>
            <w:r>
              <w:rPr>
                <w:rFonts w:asciiTheme="minorHAnsi" w:hAnsiTheme="minorHAnsi" w:cstheme="minorHAnsi"/>
              </w:rPr>
              <w:t xml:space="preserve">, </w:t>
            </w:r>
            <w:r w:rsidRPr="000C06BD">
              <w:rPr>
                <w:rFonts w:asciiTheme="minorHAnsi" w:hAnsiTheme="minorHAnsi" w:cstheme="minorHAnsi"/>
              </w:rPr>
              <w:t>12120804</w:t>
            </w:r>
            <w:r>
              <w:rPr>
                <w:rFonts w:asciiTheme="minorHAnsi" w:hAnsiTheme="minorHAnsi" w:cstheme="minorHAnsi"/>
              </w:rPr>
              <w:t xml:space="preserve">, </w:t>
            </w:r>
            <w:r w:rsidRPr="000C06BD">
              <w:rPr>
                <w:rFonts w:asciiTheme="minorHAnsi" w:hAnsiTheme="minorHAnsi" w:cstheme="minorHAnsi"/>
              </w:rPr>
              <w:t>12120812</w:t>
            </w:r>
            <w:r>
              <w:rPr>
                <w:rFonts w:asciiTheme="minorHAnsi" w:hAnsiTheme="minorHAnsi" w:cstheme="minorHAnsi"/>
              </w:rPr>
              <w:t xml:space="preserve">, </w:t>
            </w:r>
            <w:r w:rsidRPr="000C06BD">
              <w:rPr>
                <w:rFonts w:asciiTheme="minorHAnsi" w:hAnsiTheme="minorHAnsi" w:cstheme="minorHAnsi"/>
              </w:rPr>
              <w:t>48100808</w:t>
            </w:r>
            <w:r>
              <w:rPr>
                <w:rFonts w:asciiTheme="minorHAnsi" w:hAnsiTheme="minorHAnsi" w:cstheme="minorHAnsi"/>
              </w:rPr>
              <w:t xml:space="preserve">, </w:t>
            </w:r>
            <w:r w:rsidRPr="000C06BD">
              <w:rPr>
                <w:rFonts w:asciiTheme="minorHAnsi" w:hAnsiTheme="minorHAnsi" w:cstheme="minorHAnsi"/>
              </w:rPr>
              <w:t>48102000</w:t>
            </w:r>
            <w:r>
              <w:rPr>
                <w:rFonts w:asciiTheme="minorHAnsi" w:hAnsiTheme="minorHAnsi" w:cstheme="minorHAnsi"/>
              </w:rPr>
              <w:t xml:space="preserve">, </w:t>
            </w:r>
            <w:r w:rsidRPr="000C06BD">
              <w:rPr>
                <w:rFonts w:asciiTheme="minorHAnsi" w:hAnsiTheme="minorHAnsi" w:cstheme="minorHAnsi"/>
              </w:rPr>
              <w:t>48102400</w:t>
            </w:r>
            <w:r>
              <w:rPr>
                <w:rFonts w:asciiTheme="minorHAnsi" w:hAnsiTheme="minorHAnsi" w:cstheme="minorHAnsi"/>
              </w:rPr>
              <w:t xml:space="preserve">, </w:t>
            </w:r>
            <w:r w:rsidRPr="000C06BD">
              <w:rPr>
                <w:rFonts w:asciiTheme="minorHAnsi" w:hAnsiTheme="minorHAnsi" w:cstheme="minorHAnsi"/>
              </w:rPr>
              <w:t>48103200</w:t>
            </w:r>
            <w:r>
              <w:rPr>
                <w:rFonts w:asciiTheme="minorHAnsi" w:hAnsiTheme="minorHAnsi" w:cstheme="minorHAnsi"/>
              </w:rPr>
              <w:t xml:space="preserve">, </w:t>
            </w:r>
            <w:r w:rsidRPr="000C06BD">
              <w:rPr>
                <w:rFonts w:asciiTheme="minorHAnsi" w:hAnsiTheme="minorHAnsi" w:cstheme="minorHAnsi"/>
              </w:rPr>
              <w:t>48240000</w:t>
            </w:r>
            <w:r>
              <w:rPr>
                <w:rFonts w:asciiTheme="minorHAnsi" w:hAnsiTheme="minorHAnsi" w:cstheme="minorHAnsi"/>
              </w:rPr>
              <w:t xml:space="preserve">, </w:t>
            </w:r>
            <w:r w:rsidRPr="000C06BD">
              <w:rPr>
                <w:rFonts w:asciiTheme="minorHAnsi" w:hAnsiTheme="minorHAnsi" w:cstheme="minorHAnsi"/>
              </w:rPr>
              <w:t>48920000</w:t>
            </w:r>
            <w:r>
              <w:rPr>
                <w:rFonts w:asciiTheme="minorHAnsi" w:hAnsiTheme="minorHAnsi" w:cstheme="minorHAnsi"/>
              </w:rPr>
              <w:t xml:space="preserve">, </w:t>
            </w:r>
            <w:r w:rsidRPr="000C06BD">
              <w:rPr>
                <w:rFonts w:asciiTheme="minorHAnsi" w:hAnsiTheme="minorHAnsi" w:cstheme="minorHAnsi"/>
              </w:rPr>
              <w:t>68040000</w:t>
            </w:r>
            <w:r>
              <w:rPr>
                <w:rFonts w:asciiTheme="minorHAnsi" w:hAnsiTheme="minorHAnsi" w:cstheme="minorHAnsi"/>
              </w:rPr>
              <w:t xml:space="preserve">, </w:t>
            </w:r>
            <w:r w:rsidRPr="000C06BD">
              <w:rPr>
                <w:rFonts w:asciiTheme="minorHAnsi" w:hAnsiTheme="minorHAnsi" w:cstheme="minorHAnsi"/>
              </w:rPr>
              <w:t>86160000</w:t>
            </w:r>
          </w:p>
        </w:tc>
        <w:tc>
          <w:tcPr>
            <w:tcW w:w="1528" w:type="dxa"/>
          </w:tcPr>
          <w:p w14:paraId="00B8C882" w14:textId="1EB99E1A"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Expanded</w:t>
            </w:r>
          </w:p>
        </w:tc>
      </w:tr>
      <w:tr w:rsidR="00EE5FD0" w:rsidRPr="000C06BD" w14:paraId="1A626991" w14:textId="77777777" w:rsidTr="000C06BD">
        <w:tc>
          <w:tcPr>
            <w:tcW w:w="3775" w:type="dxa"/>
          </w:tcPr>
          <w:p w14:paraId="0E6253C5" w14:textId="2B9B97ED" w:rsidR="00EE5FD0" w:rsidRPr="000C06BD" w:rsidRDefault="00FD5E1A" w:rsidP="000C06BD">
            <w:pPr>
              <w:spacing w:after="0" w:line="240" w:lineRule="auto"/>
              <w:rPr>
                <w:rFonts w:asciiTheme="minorHAnsi" w:eastAsiaTheme="minorHAnsi" w:hAnsiTheme="minorHAnsi" w:cstheme="minorHAnsi"/>
                <w:color w:val="000000"/>
              </w:rPr>
            </w:pPr>
            <w:r w:rsidRPr="000C06BD">
              <w:rPr>
                <w:rFonts w:asciiTheme="minorHAnsi" w:eastAsiaTheme="minorHAnsi" w:hAnsiTheme="minorHAnsi" w:cstheme="minorHAnsi"/>
                <w:color w:val="000000"/>
              </w:rPr>
              <w:t>Antidepressants</w:t>
            </w:r>
          </w:p>
        </w:tc>
        <w:tc>
          <w:tcPr>
            <w:tcW w:w="4415" w:type="dxa"/>
          </w:tcPr>
          <w:p w14:paraId="6D3455C6" w14:textId="0C15A312" w:rsidR="00EE5FD0" w:rsidRPr="000C06BD" w:rsidRDefault="00C152C1" w:rsidP="000C06BD">
            <w:pPr>
              <w:spacing w:after="0" w:line="240" w:lineRule="auto"/>
              <w:rPr>
                <w:rFonts w:asciiTheme="minorHAnsi" w:eastAsiaTheme="minorHAnsi" w:hAnsiTheme="minorHAnsi" w:cstheme="minorHAnsi"/>
                <w:color w:val="000000"/>
              </w:rPr>
            </w:pPr>
            <w:r w:rsidRPr="000C06BD">
              <w:rPr>
                <w:rFonts w:asciiTheme="minorHAnsi" w:eastAsiaTheme="minorHAnsi" w:hAnsiTheme="minorHAnsi" w:cstheme="minorHAnsi"/>
                <w:color w:val="000000"/>
              </w:rPr>
              <w:t>28160412, 28160416, 28160420, 28160424, 28160428, 28160492</w:t>
            </w:r>
          </w:p>
        </w:tc>
        <w:tc>
          <w:tcPr>
            <w:tcW w:w="1528" w:type="dxa"/>
          </w:tcPr>
          <w:p w14:paraId="0BCB8964" w14:textId="55703BB6"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Unlisted</w:t>
            </w:r>
          </w:p>
        </w:tc>
      </w:tr>
      <w:tr w:rsidR="00EE5FD0" w:rsidRPr="000C06BD" w14:paraId="4FE001D7" w14:textId="77777777" w:rsidTr="000C06BD">
        <w:tc>
          <w:tcPr>
            <w:tcW w:w="3775" w:type="dxa"/>
          </w:tcPr>
          <w:p w14:paraId="36365B87" w14:textId="60EE49F1" w:rsidR="00EE5FD0" w:rsidRPr="000C06BD" w:rsidRDefault="00EE5FD0" w:rsidP="000C06BD">
            <w:pPr>
              <w:spacing w:after="0" w:line="240" w:lineRule="auto"/>
              <w:rPr>
                <w:rFonts w:asciiTheme="minorHAnsi" w:hAnsiTheme="minorHAnsi" w:cstheme="minorHAnsi"/>
              </w:rPr>
            </w:pPr>
            <w:r w:rsidRPr="000C06BD">
              <w:rPr>
                <w:rFonts w:asciiTheme="minorHAnsi" w:hAnsiTheme="minorHAnsi" w:cstheme="minorHAnsi"/>
                <w:color w:val="000000"/>
              </w:rPr>
              <w:t>Antiulcer medications</w:t>
            </w:r>
          </w:p>
        </w:tc>
        <w:tc>
          <w:tcPr>
            <w:tcW w:w="4415" w:type="dxa"/>
          </w:tcPr>
          <w:p w14:paraId="5E622BBF" w14:textId="3251373E" w:rsidR="00EE5FD0" w:rsidRPr="000C06BD" w:rsidRDefault="008216CE" w:rsidP="008216CE">
            <w:pPr>
              <w:spacing w:after="0" w:line="240" w:lineRule="auto"/>
              <w:rPr>
                <w:rFonts w:asciiTheme="minorHAnsi" w:hAnsiTheme="minorHAnsi" w:cstheme="minorHAnsi"/>
              </w:rPr>
            </w:pPr>
            <w:r w:rsidRPr="008216CE">
              <w:rPr>
                <w:rFonts w:asciiTheme="minorHAnsi" w:hAnsiTheme="minorHAnsi" w:cstheme="minorHAnsi"/>
              </w:rPr>
              <w:t>56281200</w:t>
            </w:r>
            <w:r>
              <w:rPr>
                <w:rFonts w:asciiTheme="minorHAnsi" w:hAnsiTheme="minorHAnsi" w:cstheme="minorHAnsi"/>
              </w:rPr>
              <w:t xml:space="preserve">, </w:t>
            </w:r>
            <w:r w:rsidRPr="008216CE">
              <w:rPr>
                <w:rFonts w:asciiTheme="minorHAnsi" w:hAnsiTheme="minorHAnsi" w:cstheme="minorHAnsi"/>
              </w:rPr>
              <w:t>56282800</w:t>
            </w:r>
            <w:r>
              <w:rPr>
                <w:rFonts w:asciiTheme="minorHAnsi" w:hAnsiTheme="minorHAnsi" w:cstheme="minorHAnsi"/>
              </w:rPr>
              <w:t xml:space="preserve">, </w:t>
            </w:r>
            <w:r w:rsidRPr="008216CE">
              <w:rPr>
                <w:rFonts w:asciiTheme="minorHAnsi" w:hAnsiTheme="minorHAnsi" w:cstheme="minorHAnsi"/>
              </w:rPr>
              <w:t>56283200</w:t>
            </w:r>
            <w:r>
              <w:rPr>
                <w:rFonts w:asciiTheme="minorHAnsi" w:hAnsiTheme="minorHAnsi" w:cstheme="minorHAnsi"/>
              </w:rPr>
              <w:t xml:space="preserve">, </w:t>
            </w:r>
            <w:r w:rsidRPr="008216CE">
              <w:rPr>
                <w:rFonts w:asciiTheme="minorHAnsi" w:hAnsiTheme="minorHAnsi" w:cstheme="minorHAnsi"/>
              </w:rPr>
              <w:t>56283600</w:t>
            </w:r>
          </w:p>
        </w:tc>
        <w:tc>
          <w:tcPr>
            <w:tcW w:w="1528" w:type="dxa"/>
          </w:tcPr>
          <w:p w14:paraId="77353931" w14:textId="30037065" w:rsidR="00EE5FD0" w:rsidRPr="000C06BD" w:rsidRDefault="00FD5E1A" w:rsidP="000C06BD">
            <w:pPr>
              <w:spacing w:after="0" w:line="240" w:lineRule="auto"/>
              <w:rPr>
                <w:rFonts w:asciiTheme="minorHAnsi" w:hAnsiTheme="minorHAnsi" w:cstheme="minorHAnsi"/>
              </w:rPr>
            </w:pPr>
            <w:r w:rsidRPr="000C06BD">
              <w:rPr>
                <w:rFonts w:asciiTheme="minorHAnsi" w:hAnsiTheme="minorHAnsi" w:cstheme="minorHAnsi"/>
              </w:rPr>
              <w:t>Unlisted</w:t>
            </w:r>
          </w:p>
        </w:tc>
      </w:tr>
    </w:tbl>
    <w:p w14:paraId="2F174B90" w14:textId="77777777" w:rsidR="00D43BDA" w:rsidRDefault="00D43BDA" w:rsidP="00D43BDA">
      <w:pPr>
        <w:spacing w:line="240" w:lineRule="auto"/>
        <w:rPr>
          <w:rFonts w:asciiTheme="minorHAnsi" w:hAnsiTheme="minorHAnsi" w:cstheme="minorHAnsi"/>
        </w:rPr>
      </w:pPr>
    </w:p>
    <w:p w14:paraId="425EC163" w14:textId="47923A61" w:rsidR="00D43BDA" w:rsidRPr="00D43BDA" w:rsidRDefault="00FF5AE0" w:rsidP="00D43BDA">
      <w:pPr>
        <w:spacing w:line="240" w:lineRule="auto"/>
        <w:rPr>
          <w:rFonts w:asciiTheme="minorHAnsi" w:hAnsiTheme="minorHAnsi" w:cstheme="minorHAnsi"/>
        </w:rPr>
      </w:pPr>
      <w:r>
        <w:rPr>
          <w:rFonts w:asciiTheme="minorHAnsi" w:hAnsiTheme="minorHAnsi" w:cstheme="minorHAnsi"/>
        </w:rPr>
        <w:t xml:space="preserve">Abbreviations: PDL, preventive drug list; AHFS, American Hospital Formulary Service. </w:t>
      </w:r>
      <w:r w:rsidR="008C4617">
        <w:rPr>
          <w:rFonts w:asciiTheme="minorHAnsi" w:hAnsiTheme="minorHAnsi" w:cstheme="minorHAnsi"/>
        </w:rPr>
        <w:t xml:space="preserve">Note: AHFS categories exclude </w:t>
      </w:r>
      <w:r w:rsidR="00D43BDA" w:rsidRPr="00D43BDA">
        <w:rPr>
          <w:rFonts w:asciiTheme="minorHAnsi" w:hAnsiTheme="minorHAnsi" w:cstheme="minorHAnsi"/>
        </w:rPr>
        <w:t>products</w:t>
      </w:r>
      <w:r w:rsidR="008C4617">
        <w:rPr>
          <w:rFonts w:asciiTheme="minorHAnsi" w:hAnsiTheme="minorHAnsi" w:cstheme="minorHAnsi"/>
        </w:rPr>
        <w:t xml:space="preserve"> that do not have a primary indication for the condition of interest</w:t>
      </w:r>
    </w:p>
    <w:p w14:paraId="634EF888" w14:textId="77777777" w:rsidR="00184F5B" w:rsidRDefault="00184F5B">
      <w:pPr>
        <w:spacing w:after="160" w:line="259" w:lineRule="auto"/>
      </w:pPr>
      <w:r>
        <w:br w:type="page"/>
      </w:r>
    </w:p>
    <w:p w14:paraId="12F8702A" w14:textId="427457B8" w:rsidR="007604B7" w:rsidRDefault="00753C13" w:rsidP="007604B7">
      <w:pPr>
        <w:spacing w:after="0" w:line="240" w:lineRule="auto"/>
        <w:rPr>
          <w:rFonts w:ascii="Calibri" w:eastAsia="Times New Roman" w:hAnsi="Calibri" w:cs="Calibri"/>
          <w:b/>
          <w:bCs/>
          <w:color w:val="000000"/>
        </w:rPr>
      </w:pPr>
      <w:r w:rsidRPr="00753C13">
        <w:rPr>
          <w:b/>
        </w:rPr>
        <w:lastRenderedPageBreak/>
        <w:t>SDC Table 5</w:t>
      </w:r>
      <w:r w:rsidR="007604B7">
        <w:rPr>
          <w:b/>
        </w:rPr>
        <w:t>a</w:t>
      </w:r>
      <w:r w:rsidR="00095A9D">
        <w:rPr>
          <w:b/>
        </w:rPr>
        <w:t>.</w:t>
      </w:r>
      <w:r w:rsidR="007604B7">
        <w:rPr>
          <w:b/>
        </w:rPr>
        <w:t xml:space="preserve"> </w:t>
      </w:r>
      <w:r w:rsidR="007604B7" w:rsidRPr="007604B7">
        <w:rPr>
          <w:rFonts w:ascii="Calibri" w:eastAsia="Times New Roman" w:hAnsi="Calibri" w:cs="Calibri"/>
          <w:b/>
          <w:bCs/>
          <w:color w:val="000000"/>
        </w:rPr>
        <w:t>Baseline characteristics of PDL and control patients living in neighborhoods with &lt;10% below poverty</w:t>
      </w:r>
      <w:r w:rsidR="00993A25">
        <w:rPr>
          <w:rFonts w:ascii="Calibri" w:eastAsia="Times New Roman" w:hAnsi="Calibri" w:cs="Calibri"/>
          <w:b/>
          <w:bCs/>
          <w:color w:val="000000"/>
        </w:rPr>
        <w:t xml:space="preserve"> (</w:t>
      </w:r>
      <w:r w:rsidR="00DC5F95">
        <w:rPr>
          <w:rFonts w:ascii="Calibri" w:eastAsia="Times New Roman" w:hAnsi="Calibri" w:cs="Calibri"/>
          <w:b/>
          <w:bCs/>
          <w:color w:val="000000"/>
        </w:rPr>
        <w:t>higher income</w:t>
      </w:r>
      <w:r w:rsidR="00993A25">
        <w:rPr>
          <w:rFonts w:ascii="Calibri" w:eastAsia="Times New Roman" w:hAnsi="Calibri" w:cs="Calibri"/>
          <w:b/>
          <w:bCs/>
          <w:color w:val="000000"/>
        </w:rPr>
        <w:t>)</w:t>
      </w:r>
      <w:r w:rsidR="007604B7" w:rsidRPr="007604B7">
        <w:rPr>
          <w:rFonts w:ascii="Calibri" w:eastAsia="Times New Roman" w:hAnsi="Calibri" w:cs="Calibri"/>
          <w:b/>
          <w:bCs/>
          <w:color w:val="000000"/>
        </w:rPr>
        <w:t>, before and after the propensity score match</w:t>
      </w:r>
    </w:p>
    <w:p w14:paraId="1FF255FA" w14:textId="77777777" w:rsidR="0047121B" w:rsidRDefault="0047121B" w:rsidP="007604B7">
      <w:pPr>
        <w:spacing w:after="0" w:line="240" w:lineRule="auto"/>
        <w:rPr>
          <w:rFonts w:ascii="Calibri" w:eastAsia="Times New Roman" w:hAnsi="Calibri" w:cs="Calibri"/>
          <w:b/>
          <w:bCs/>
          <w:color w:val="000000"/>
        </w:rPr>
      </w:pPr>
    </w:p>
    <w:tbl>
      <w:tblPr>
        <w:tblW w:w="10304" w:type="dxa"/>
        <w:tblLook w:val="04A0" w:firstRow="1" w:lastRow="0" w:firstColumn="1" w:lastColumn="0" w:noHBand="0" w:noVBand="1"/>
      </w:tblPr>
      <w:tblGrid>
        <w:gridCol w:w="356"/>
        <w:gridCol w:w="3156"/>
        <w:gridCol w:w="490"/>
        <w:gridCol w:w="688"/>
        <w:gridCol w:w="733"/>
        <w:gridCol w:w="762"/>
        <w:gridCol w:w="814"/>
        <w:gridCol w:w="581"/>
        <w:gridCol w:w="770"/>
        <w:gridCol w:w="581"/>
        <w:gridCol w:w="770"/>
        <w:gridCol w:w="736"/>
      </w:tblGrid>
      <w:tr w:rsidR="009A2121" w:rsidRPr="009A2121" w14:paraId="69D5FAC3" w14:textId="77777777" w:rsidTr="009A2121">
        <w:trPr>
          <w:trHeight w:val="204"/>
        </w:trPr>
        <w:tc>
          <w:tcPr>
            <w:tcW w:w="356" w:type="dxa"/>
            <w:tcBorders>
              <w:top w:val="nil"/>
              <w:left w:val="nil"/>
              <w:bottom w:val="nil"/>
              <w:right w:val="nil"/>
            </w:tcBorders>
            <w:shd w:val="clear" w:color="000000" w:fill="FFFFFF"/>
            <w:noWrap/>
            <w:vAlign w:val="bottom"/>
            <w:hideMark/>
          </w:tcPr>
          <w:p w14:paraId="4057ECB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3156" w:type="dxa"/>
            <w:tcBorders>
              <w:top w:val="nil"/>
              <w:left w:val="nil"/>
              <w:bottom w:val="nil"/>
              <w:right w:val="nil"/>
            </w:tcBorders>
            <w:shd w:val="clear" w:color="000000" w:fill="FFFFFF"/>
            <w:noWrap/>
            <w:vAlign w:val="bottom"/>
            <w:hideMark/>
          </w:tcPr>
          <w:p w14:paraId="0821EA3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3436" w:type="dxa"/>
            <w:gridSpan w:val="5"/>
            <w:tcBorders>
              <w:top w:val="nil"/>
              <w:left w:val="nil"/>
              <w:bottom w:val="nil"/>
              <w:right w:val="nil"/>
            </w:tcBorders>
            <w:shd w:val="clear" w:color="000000" w:fill="FFFFFF"/>
            <w:noWrap/>
            <w:vAlign w:val="bottom"/>
            <w:hideMark/>
          </w:tcPr>
          <w:p w14:paraId="18236533"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Before Propensity Matching</w:t>
            </w:r>
          </w:p>
        </w:tc>
        <w:tc>
          <w:tcPr>
            <w:tcW w:w="3356" w:type="dxa"/>
            <w:gridSpan w:val="5"/>
            <w:tcBorders>
              <w:top w:val="nil"/>
              <w:left w:val="nil"/>
              <w:bottom w:val="nil"/>
              <w:right w:val="nil"/>
            </w:tcBorders>
            <w:shd w:val="clear" w:color="000000" w:fill="FFFFFF"/>
            <w:noWrap/>
            <w:vAlign w:val="bottom"/>
            <w:hideMark/>
          </w:tcPr>
          <w:p w14:paraId="20EE1CDC"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After Propensity Matching</w:t>
            </w:r>
          </w:p>
        </w:tc>
      </w:tr>
      <w:tr w:rsidR="009A2121" w:rsidRPr="009A2121" w14:paraId="7B28B25A" w14:textId="77777777" w:rsidTr="009A2121">
        <w:trPr>
          <w:trHeight w:val="264"/>
        </w:trPr>
        <w:tc>
          <w:tcPr>
            <w:tcW w:w="356" w:type="dxa"/>
            <w:tcBorders>
              <w:top w:val="nil"/>
              <w:left w:val="nil"/>
              <w:bottom w:val="nil"/>
              <w:right w:val="nil"/>
            </w:tcBorders>
            <w:shd w:val="clear" w:color="000000" w:fill="FFFFFF"/>
            <w:noWrap/>
            <w:hideMark/>
          </w:tcPr>
          <w:p w14:paraId="5101F8AF"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 </w:t>
            </w:r>
          </w:p>
        </w:tc>
        <w:tc>
          <w:tcPr>
            <w:tcW w:w="3156" w:type="dxa"/>
            <w:tcBorders>
              <w:top w:val="nil"/>
              <w:left w:val="nil"/>
              <w:bottom w:val="nil"/>
              <w:right w:val="nil"/>
            </w:tcBorders>
            <w:shd w:val="clear" w:color="000000" w:fill="FFFFFF"/>
            <w:noWrap/>
            <w:hideMark/>
          </w:tcPr>
          <w:p w14:paraId="53AE365A"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 </w:t>
            </w:r>
          </w:p>
        </w:tc>
        <w:tc>
          <w:tcPr>
            <w:tcW w:w="1127" w:type="dxa"/>
            <w:gridSpan w:val="2"/>
            <w:tcBorders>
              <w:top w:val="nil"/>
              <w:left w:val="nil"/>
              <w:bottom w:val="nil"/>
              <w:right w:val="nil"/>
            </w:tcBorders>
            <w:shd w:val="clear" w:color="000000" w:fill="FFFFFF"/>
            <w:hideMark/>
          </w:tcPr>
          <w:p w14:paraId="5D68004C"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PDL Group</w:t>
            </w:r>
          </w:p>
        </w:tc>
        <w:tc>
          <w:tcPr>
            <w:tcW w:w="1495" w:type="dxa"/>
            <w:gridSpan w:val="2"/>
            <w:tcBorders>
              <w:top w:val="nil"/>
              <w:left w:val="nil"/>
              <w:bottom w:val="nil"/>
              <w:right w:val="nil"/>
            </w:tcBorders>
            <w:shd w:val="clear" w:color="000000" w:fill="FFFFFF"/>
            <w:hideMark/>
          </w:tcPr>
          <w:p w14:paraId="79E04922"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Control Group</w:t>
            </w:r>
          </w:p>
        </w:tc>
        <w:tc>
          <w:tcPr>
            <w:tcW w:w="814" w:type="dxa"/>
            <w:tcBorders>
              <w:top w:val="nil"/>
              <w:left w:val="nil"/>
              <w:bottom w:val="nil"/>
              <w:right w:val="nil"/>
            </w:tcBorders>
            <w:shd w:val="clear" w:color="000000" w:fill="FFFFFF"/>
            <w:hideMark/>
          </w:tcPr>
          <w:p w14:paraId="2C62A247"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Std.</w:t>
            </w:r>
          </w:p>
        </w:tc>
        <w:tc>
          <w:tcPr>
            <w:tcW w:w="1310" w:type="dxa"/>
            <w:gridSpan w:val="2"/>
            <w:tcBorders>
              <w:top w:val="nil"/>
              <w:left w:val="nil"/>
              <w:bottom w:val="nil"/>
              <w:right w:val="nil"/>
            </w:tcBorders>
            <w:shd w:val="clear" w:color="000000" w:fill="FFFFFF"/>
            <w:hideMark/>
          </w:tcPr>
          <w:p w14:paraId="5EF83A42"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PDL Group</w:t>
            </w:r>
          </w:p>
        </w:tc>
        <w:tc>
          <w:tcPr>
            <w:tcW w:w="1310" w:type="dxa"/>
            <w:gridSpan w:val="2"/>
            <w:tcBorders>
              <w:top w:val="nil"/>
              <w:left w:val="nil"/>
              <w:bottom w:val="nil"/>
              <w:right w:val="nil"/>
            </w:tcBorders>
            <w:shd w:val="clear" w:color="000000" w:fill="FFFFFF"/>
            <w:hideMark/>
          </w:tcPr>
          <w:p w14:paraId="73DFE637"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Control Group</w:t>
            </w:r>
          </w:p>
        </w:tc>
        <w:tc>
          <w:tcPr>
            <w:tcW w:w="736" w:type="dxa"/>
            <w:tcBorders>
              <w:top w:val="nil"/>
              <w:left w:val="nil"/>
              <w:bottom w:val="nil"/>
              <w:right w:val="nil"/>
            </w:tcBorders>
            <w:shd w:val="clear" w:color="000000" w:fill="FFFFFF"/>
            <w:hideMark/>
          </w:tcPr>
          <w:p w14:paraId="6F8FCFED"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Std.</w:t>
            </w:r>
          </w:p>
        </w:tc>
      </w:tr>
      <w:tr w:rsidR="009A2121" w:rsidRPr="009A2121" w14:paraId="21A6689F" w14:textId="77777777" w:rsidTr="009A2121">
        <w:trPr>
          <w:trHeight w:val="312"/>
        </w:trPr>
        <w:tc>
          <w:tcPr>
            <w:tcW w:w="356" w:type="dxa"/>
            <w:tcBorders>
              <w:top w:val="nil"/>
              <w:left w:val="nil"/>
              <w:bottom w:val="nil"/>
              <w:right w:val="nil"/>
            </w:tcBorders>
            <w:shd w:val="clear" w:color="000000" w:fill="FFFFFF"/>
            <w:noWrap/>
            <w:hideMark/>
          </w:tcPr>
          <w:p w14:paraId="634F1F4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3156" w:type="dxa"/>
            <w:tcBorders>
              <w:top w:val="nil"/>
              <w:left w:val="nil"/>
              <w:bottom w:val="nil"/>
              <w:right w:val="nil"/>
            </w:tcBorders>
            <w:shd w:val="clear" w:color="000000" w:fill="FFFFFF"/>
            <w:noWrap/>
            <w:hideMark/>
          </w:tcPr>
          <w:p w14:paraId="6D6EE47E" w14:textId="77777777" w:rsidR="009A2121" w:rsidRPr="009A2121" w:rsidRDefault="009A2121" w:rsidP="009A2121">
            <w:pPr>
              <w:spacing w:after="0" w:line="240" w:lineRule="auto"/>
              <w:rPr>
                <w:rFonts w:ascii="Calibri" w:eastAsia="Times New Roman" w:hAnsi="Calibri" w:cs="Times New Roman"/>
                <w:b/>
                <w:bCs/>
                <w:color w:val="FFFFFF"/>
                <w:sz w:val="18"/>
                <w:szCs w:val="18"/>
              </w:rPr>
            </w:pPr>
            <w:r w:rsidRPr="009A2121">
              <w:rPr>
                <w:rFonts w:ascii="Calibri" w:eastAsia="Times New Roman" w:hAnsi="Calibri" w:cs="Times New Roman"/>
                <w:b/>
                <w:bCs/>
                <w:color w:val="FFFFFF"/>
                <w:sz w:val="18"/>
                <w:szCs w:val="18"/>
              </w:rPr>
              <w:t>Sample Size</w:t>
            </w:r>
          </w:p>
        </w:tc>
        <w:tc>
          <w:tcPr>
            <w:tcW w:w="1127" w:type="dxa"/>
            <w:gridSpan w:val="2"/>
            <w:tcBorders>
              <w:top w:val="nil"/>
              <w:left w:val="nil"/>
              <w:bottom w:val="single" w:sz="4" w:space="0" w:color="auto"/>
              <w:right w:val="nil"/>
            </w:tcBorders>
            <w:shd w:val="clear" w:color="000000" w:fill="FFFFFF"/>
            <w:noWrap/>
            <w:hideMark/>
          </w:tcPr>
          <w:p w14:paraId="5240947B"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(N=953)</w:t>
            </w:r>
          </w:p>
        </w:tc>
        <w:tc>
          <w:tcPr>
            <w:tcW w:w="1495" w:type="dxa"/>
            <w:gridSpan w:val="2"/>
            <w:tcBorders>
              <w:top w:val="nil"/>
              <w:left w:val="nil"/>
              <w:bottom w:val="single" w:sz="4" w:space="0" w:color="auto"/>
              <w:right w:val="nil"/>
            </w:tcBorders>
            <w:shd w:val="clear" w:color="000000" w:fill="FFFFFF"/>
            <w:noWrap/>
            <w:hideMark/>
          </w:tcPr>
          <w:p w14:paraId="128D234E"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(N=17487)</w:t>
            </w:r>
          </w:p>
        </w:tc>
        <w:tc>
          <w:tcPr>
            <w:tcW w:w="814" w:type="dxa"/>
            <w:tcBorders>
              <w:top w:val="nil"/>
              <w:left w:val="nil"/>
              <w:bottom w:val="single" w:sz="4" w:space="0" w:color="auto"/>
              <w:right w:val="nil"/>
            </w:tcBorders>
            <w:shd w:val="clear" w:color="000000" w:fill="FFFFFF"/>
            <w:hideMark/>
          </w:tcPr>
          <w:p w14:paraId="4B901B09"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Diff. *</w:t>
            </w:r>
          </w:p>
        </w:tc>
        <w:tc>
          <w:tcPr>
            <w:tcW w:w="1310" w:type="dxa"/>
            <w:gridSpan w:val="2"/>
            <w:tcBorders>
              <w:top w:val="nil"/>
              <w:left w:val="nil"/>
              <w:bottom w:val="single" w:sz="4" w:space="0" w:color="auto"/>
              <w:right w:val="nil"/>
            </w:tcBorders>
            <w:shd w:val="clear" w:color="000000" w:fill="FFFFFF"/>
            <w:noWrap/>
            <w:hideMark/>
          </w:tcPr>
          <w:p w14:paraId="726A0ED8"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(N=1858)</w:t>
            </w:r>
          </w:p>
        </w:tc>
        <w:tc>
          <w:tcPr>
            <w:tcW w:w="1310" w:type="dxa"/>
            <w:gridSpan w:val="2"/>
            <w:tcBorders>
              <w:top w:val="nil"/>
              <w:left w:val="nil"/>
              <w:bottom w:val="single" w:sz="4" w:space="0" w:color="auto"/>
              <w:right w:val="nil"/>
            </w:tcBorders>
            <w:shd w:val="clear" w:color="000000" w:fill="FFFFFF"/>
            <w:noWrap/>
            <w:hideMark/>
          </w:tcPr>
          <w:p w14:paraId="69C867DB"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(N=3490)</w:t>
            </w:r>
          </w:p>
        </w:tc>
        <w:tc>
          <w:tcPr>
            <w:tcW w:w="736" w:type="dxa"/>
            <w:tcBorders>
              <w:top w:val="nil"/>
              <w:left w:val="nil"/>
              <w:bottom w:val="single" w:sz="4" w:space="0" w:color="auto"/>
              <w:right w:val="nil"/>
            </w:tcBorders>
            <w:shd w:val="clear" w:color="000000" w:fill="FFFFFF"/>
            <w:hideMark/>
          </w:tcPr>
          <w:p w14:paraId="48453245" w14:textId="77777777" w:rsidR="009A2121" w:rsidRPr="009A2121" w:rsidRDefault="009A2121" w:rsidP="009A2121">
            <w:pPr>
              <w:spacing w:after="0" w:line="240" w:lineRule="auto"/>
              <w:jc w:val="center"/>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Diff. *</w:t>
            </w:r>
          </w:p>
        </w:tc>
      </w:tr>
      <w:tr w:rsidR="009A2121" w:rsidRPr="009A2121" w14:paraId="3C23F09C" w14:textId="77777777" w:rsidTr="009A2121">
        <w:trPr>
          <w:trHeight w:val="240"/>
        </w:trPr>
        <w:tc>
          <w:tcPr>
            <w:tcW w:w="3512" w:type="dxa"/>
            <w:gridSpan w:val="2"/>
            <w:tcBorders>
              <w:top w:val="nil"/>
              <w:left w:val="nil"/>
              <w:bottom w:val="nil"/>
              <w:right w:val="nil"/>
            </w:tcBorders>
            <w:shd w:val="clear" w:color="000000" w:fill="FFFFFF"/>
            <w:noWrap/>
            <w:hideMark/>
          </w:tcPr>
          <w:p w14:paraId="0808504A"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Female gender, No. (%)</w:t>
            </w:r>
          </w:p>
        </w:tc>
        <w:tc>
          <w:tcPr>
            <w:tcW w:w="439" w:type="dxa"/>
            <w:tcBorders>
              <w:top w:val="nil"/>
              <w:left w:val="nil"/>
              <w:bottom w:val="nil"/>
              <w:right w:val="nil"/>
            </w:tcBorders>
            <w:shd w:val="clear" w:color="000000" w:fill="FFFFFF"/>
            <w:noWrap/>
            <w:hideMark/>
          </w:tcPr>
          <w:p w14:paraId="41FCE70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390</w:t>
            </w:r>
          </w:p>
        </w:tc>
        <w:tc>
          <w:tcPr>
            <w:tcW w:w="688" w:type="dxa"/>
            <w:tcBorders>
              <w:top w:val="nil"/>
              <w:left w:val="nil"/>
              <w:bottom w:val="nil"/>
              <w:right w:val="nil"/>
            </w:tcBorders>
            <w:shd w:val="clear" w:color="000000" w:fill="FFFFFF"/>
            <w:noWrap/>
            <w:hideMark/>
          </w:tcPr>
          <w:p w14:paraId="1E37973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(40.9)</w:t>
            </w:r>
          </w:p>
        </w:tc>
        <w:tc>
          <w:tcPr>
            <w:tcW w:w="733" w:type="dxa"/>
            <w:tcBorders>
              <w:top w:val="nil"/>
              <w:left w:val="nil"/>
              <w:bottom w:val="nil"/>
              <w:right w:val="nil"/>
            </w:tcBorders>
            <w:shd w:val="clear" w:color="000000" w:fill="FFFFFF"/>
            <w:noWrap/>
            <w:hideMark/>
          </w:tcPr>
          <w:p w14:paraId="55B1D2A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7502</w:t>
            </w:r>
          </w:p>
        </w:tc>
        <w:tc>
          <w:tcPr>
            <w:tcW w:w="762" w:type="dxa"/>
            <w:tcBorders>
              <w:top w:val="nil"/>
              <w:left w:val="nil"/>
              <w:bottom w:val="nil"/>
              <w:right w:val="nil"/>
            </w:tcBorders>
            <w:shd w:val="clear" w:color="000000" w:fill="FFFFFF"/>
            <w:noWrap/>
            <w:hideMark/>
          </w:tcPr>
          <w:p w14:paraId="21EA51A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(42.9)</w:t>
            </w:r>
          </w:p>
        </w:tc>
        <w:tc>
          <w:tcPr>
            <w:tcW w:w="814" w:type="dxa"/>
            <w:tcBorders>
              <w:top w:val="nil"/>
              <w:left w:val="nil"/>
              <w:bottom w:val="nil"/>
              <w:right w:val="nil"/>
            </w:tcBorders>
            <w:shd w:val="clear" w:color="000000" w:fill="FFFFFF"/>
            <w:noWrap/>
            <w:hideMark/>
          </w:tcPr>
          <w:p w14:paraId="354BC52B"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-0.04</w:t>
            </w:r>
          </w:p>
        </w:tc>
        <w:tc>
          <w:tcPr>
            <w:tcW w:w="540" w:type="dxa"/>
            <w:tcBorders>
              <w:top w:val="nil"/>
              <w:left w:val="nil"/>
              <w:bottom w:val="nil"/>
              <w:right w:val="nil"/>
            </w:tcBorders>
            <w:shd w:val="clear" w:color="000000" w:fill="FFFFFF"/>
            <w:noWrap/>
            <w:hideMark/>
          </w:tcPr>
          <w:p w14:paraId="36D7D75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758</w:t>
            </w:r>
          </w:p>
        </w:tc>
        <w:tc>
          <w:tcPr>
            <w:tcW w:w="770" w:type="dxa"/>
            <w:tcBorders>
              <w:top w:val="nil"/>
              <w:left w:val="nil"/>
              <w:bottom w:val="nil"/>
              <w:right w:val="nil"/>
            </w:tcBorders>
            <w:shd w:val="clear" w:color="000000" w:fill="FFFFFF"/>
            <w:noWrap/>
            <w:hideMark/>
          </w:tcPr>
          <w:p w14:paraId="116DF55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(81.6)</w:t>
            </w:r>
          </w:p>
        </w:tc>
        <w:tc>
          <w:tcPr>
            <w:tcW w:w="540" w:type="dxa"/>
            <w:tcBorders>
              <w:top w:val="nil"/>
              <w:left w:val="nil"/>
              <w:bottom w:val="nil"/>
              <w:right w:val="nil"/>
            </w:tcBorders>
            <w:shd w:val="clear" w:color="000000" w:fill="FFFFFF"/>
            <w:noWrap/>
            <w:hideMark/>
          </w:tcPr>
          <w:p w14:paraId="4269A2F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1424</w:t>
            </w:r>
          </w:p>
        </w:tc>
        <w:tc>
          <w:tcPr>
            <w:tcW w:w="770" w:type="dxa"/>
            <w:tcBorders>
              <w:top w:val="nil"/>
              <w:left w:val="nil"/>
              <w:bottom w:val="nil"/>
              <w:right w:val="nil"/>
            </w:tcBorders>
            <w:shd w:val="clear" w:color="000000" w:fill="FFFFFF"/>
            <w:noWrap/>
            <w:hideMark/>
          </w:tcPr>
          <w:p w14:paraId="699D6C1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(81.6)</w:t>
            </w:r>
          </w:p>
        </w:tc>
        <w:tc>
          <w:tcPr>
            <w:tcW w:w="736" w:type="dxa"/>
            <w:tcBorders>
              <w:top w:val="nil"/>
              <w:left w:val="nil"/>
              <w:bottom w:val="nil"/>
              <w:right w:val="nil"/>
            </w:tcBorders>
            <w:shd w:val="clear" w:color="000000" w:fill="FFFFFF"/>
            <w:noWrap/>
            <w:hideMark/>
          </w:tcPr>
          <w:p w14:paraId="57498FF1"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0.00</w:t>
            </w:r>
          </w:p>
        </w:tc>
      </w:tr>
      <w:tr w:rsidR="009A2121" w:rsidRPr="009A2121" w14:paraId="7EA40526" w14:textId="77777777" w:rsidTr="009A2121">
        <w:trPr>
          <w:trHeight w:val="240"/>
        </w:trPr>
        <w:tc>
          <w:tcPr>
            <w:tcW w:w="3512" w:type="dxa"/>
            <w:gridSpan w:val="2"/>
            <w:tcBorders>
              <w:top w:val="nil"/>
              <w:left w:val="nil"/>
              <w:bottom w:val="nil"/>
              <w:right w:val="nil"/>
            </w:tcBorders>
            <w:shd w:val="clear" w:color="000000" w:fill="FFFFFF"/>
            <w:noWrap/>
            <w:hideMark/>
          </w:tcPr>
          <w:p w14:paraId="49D26544"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Age on index date, Mean (SD)</w:t>
            </w:r>
          </w:p>
        </w:tc>
        <w:tc>
          <w:tcPr>
            <w:tcW w:w="439" w:type="dxa"/>
            <w:tcBorders>
              <w:top w:val="nil"/>
              <w:left w:val="nil"/>
              <w:bottom w:val="nil"/>
              <w:right w:val="nil"/>
            </w:tcBorders>
            <w:shd w:val="clear" w:color="000000" w:fill="FFFFFF"/>
            <w:noWrap/>
            <w:hideMark/>
          </w:tcPr>
          <w:p w14:paraId="2783BE5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w:t>
            </w:r>
          </w:p>
        </w:tc>
        <w:tc>
          <w:tcPr>
            <w:tcW w:w="688" w:type="dxa"/>
            <w:tcBorders>
              <w:top w:val="nil"/>
              <w:left w:val="nil"/>
              <w:bottom w:val="nil"/>
              <w:right w:val="nil"/>
            </w:tcBorders>
            <w:shd w:val="clear" w:color="000000" w:fill="FFFFFF"/>
            <w:noWrap/>
            <w:hideMark/>
          </w:tcPr>
          <w:p w14:paraId="0428F06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(10.2)</w:t>
            </w:r>
          </w:p>
        </w:tc>
        <w:tc>
          <w:tcPr>
            <w:tcW w:w="733" w:type="dxa"/>
            <w:tcBorders>
              <w:top w:val="nil"/>
              <w:left w:val="nil"/>
              <w:bottom w:val="nil"/>
              <w:right w:val="nil"/>
            </w:tcBorders>
            <w:shd w:val="clear" w:color="000000" w:fill="FFFFFF"/>
            <w:noWrap/>
            <w:hideMark/>
          </w:tcPr>
          <w:p w14:paraId="319AB9F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w:t>
            </w:r>
          </w:p>
        </w:tc>
        <w:tc>
          <w:tcPr>
            <w:tcW w:w="762" w:type="dxa"/>
            <w:tcBorders>
              <w:top w:val="nil"/>
              <w:left w:val="nil"/>
              <w:bottom w:val="nil"/>
              <w:right w:val="nil"/>
            </w:tcBorders>
            <w:shd w:val="clear" w:color="000000" w:fill="FFFFFF"/>
            <w:noWrap/>
            <w:hideMark/>
          </w:tcPr>
          <w:p w14:paraId="17DD14D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(10.7)</w:t>
            </w:r>
          </w:p>
        </w:tc>
        <w:tc>
          <w:tcPr>
            <w:tcW w:w="814" w:type="dxa"/>
            <w:tcBorders>
              <w:top w:val="nil"/>
              <w:left w:val="nil"/>
              <w:bottom w:val="nil"/>
              <w:right w:val="nil"/>
            </w:tcBorders>
            <w:shd w:val="clear" w:color="000000" w:fill="FFFFFF"/>
            <w:noWrap/>
            <w:hideMark/>
          </w:tcPr>
          <w:p w14:paraId="177478D5"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0.01</w:t>
            </w:r>
          </w:p>
        </w:tc>
        <w:tc>
          <w:tcPr>
            <w:tcW w:w="540" w:type="dxa"/>
            <w:tcBorders>
              <w:top w:val="nil"/>
              <w:left w:val="nil"/>
              <w:bottom w:val="nil"/>
              <w:right w:val="nil"/>
            </w:tcBorders>
            <w:shd w:val="clear" w:color="000000" w:fill="FFFFFF"/>
            <w:noWrap/>
            <w:hideMark/>
          </w:tcPr>
          <w:p w14:paraId="6A4C543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103</w:t>
            </w:r>
          </w:p>
        </w:tc>
        <w:tc>
          <w:tcPr>
            <w:tcW w:w="770" w:type="dxa"/>
            <w:tcBorders>
              <w:top w:val="nil"/>
              <w:left w:val="nil"/>
              <w:bottom w:val="nil"/>
              <w:right w:val="nil"/>
            </w:tcBorders>
            <w:shd w:val="clear" w:color="000000" w:fill="FFFFFF"/>
            <w:noWrap/>
            <w:hideMark/>
          </w:tcPr>
          <w:p w14:paraId="0D480E8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(20.4)</w:t>
            </w:r>
          </w:p>
        </w:tc>
        <w:tc>
          <w:tcPr>
            <w:tcW w:w="540" w:type="dxa"/>
            <w:tcBorders>
              <w:top w:val="nil"/>
              <w:left w:val="nil"/>
              <w:bottom w:val="nil"/>
              <w:right w:val="nil"/>
            </w:tcBorders>
            <w:shd w:val="clear" w:color="000000" w:fill="FFFFFF"/>
            <w:noWrap/>
            <w:hideMark/>
          </w:tcPr>
          <w:p w14:paraId="206272F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104</w:t>
            </w:r>
          </w:p>
        </w:tc>
        <w:tc>
          <w:tcPr>
            <w:tcW w:w="770" w:type="dxa"/>
            <w:tcBorders>
              <w:top w:val="nil"/>
              <w:left w:val="nil"/>
              <w:bottom w:val="nil"/>
              <w:right w:val="nil"/>
            </w:tcBorders>
            <w:shd w:val="clear" w:color="000000" w:fill="FFFFFF"/>
            <w:noWrap/>
            <w:hideMark/>
          </w:tcPr>
          <w:p w14:paraId="7BE1355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(21.8)</w:t>
            </w:r>
          </w:p>
        </w:tc>
        <w:tc>
          <w:tcPr>
            <w:tcW w:w="736" w:type="dxa"/>
            <w:tcBorders>
              <w:top w:val="nil"/>
              <w:left w:val="nil"/>
              <w:bottom w:val="nil"/>
              <w:right w:val="nil"/>
            </w:tcBorders>
            <w:shd w:val="clear" w:color="000000" w:fill="FFFFFF"/>
            <w:noWrap/>
            <w:hideMark/>
          </w:tcPr>
          <w:p w14:paraId="09C8FD2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-0.10</w:t>
            </w:r>
          </w:p>
        </w:tc>
      </w:tr>
      <w:tr w:rsidR="009A2121" w:rsidRPr="009A2121" w14:paraId="1CEF3C96" w14:textId="77777777" w:rsidTr="009A2121">
        <w:trPr>
          <w:trHeight w:val="240"/>
        </w:trPr>
        <w:tc>
          <w:tcPr>
            <w:tcW w:w="3512" w:type="dxa"/>
            <w:gridSpan w:val="2"/>
            <w:tcBorders>
              <w:top w:val="nil"/>
              <w:left w:val="nil"/>
              <w:bottom w:val="nil"/>
              <w:right w:val="nil"/>
            </w:tcBorders>
            <w:shd w:val="clear" w:color="000000" w:fill="FFFFFF"/>
            <w:noWrap/>
            <w:hideMark/>
          </w:tcPr>
          <w:p w14:paraId="7566700C"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Age &gt; 45 on index date, No. (%)</w:t>
            </w:r>
          </w:p>
        </w:tc>
        <w:tc>
          <w:tcPr>
            <w:tcW w:w="439" w:type="dxa"/>
            <w:tcBorders>
              <w:top w:val="nil"/>
              <w:left w:val="nil"/>
              <w:bottom w:val="nil"/>
              <w:right w:val="nil"/>
            </w:tcBorders>
            <w:shd w:val="clear" w:color="000000" w:fill="FFFFFF"/>
            <w:noWrap/>
            <w:hideMark/>
          </w:tcPr>
          <w:p w14:paraId="75E5764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768</w:t>
            </w:r>
          </w:p>
        </w:tc>
        <w:tc>
          <w:tcPr>
            <w:tcW w:w="688" w:type="dxa"/>
            <w:tcBorders>
              <w:top w:val="nil"/>
              <w:left w:val="nil"/>
              <w:bottom w:val="nil"/>
              <w:right w:val="nil"/>
            </w:tcBorders>
            <w:shd w:val="clear" w:color="000000" w:fill="FFFFFF"/>
            <w:noWrap/>
            <w:hideMark/>
          </w:tcPr>
          <w:p w14:paraId="7EF6FCE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(80.6)</w:t>
            </w:r>
          </w:p>
        </w:tc>
        <w:tc>
          <w:tcPr>
            <w:tcW w:w="733" w:type="dxa"/>
            <w:tcBorders>
              <w:top w:val="nil"/>
              <w:left w:val="nil"/>
              <w:bottom w:val="nil"/>
              <w:right w:val="nil"/>
            </w:tcBorders>
            <w:shd w:val="clear" w:color="000000" w:fill="FFFFFF"/>
            <w:noWrap/>
            <w:hideMark/>
          </w:tcPr>
          <w:p w14:paraId="6451CB1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13801</w:t>
            </w:r>
          </w:p>
        </w:tc>
        <w:tc>
          <w:tcPr>
            <w:tcW w:w="762" w:type="dxa"/>
            <w:tcBorders>
              <w:top w:val="nil"/>
              <w:left w:val="nil"/>
              <w:bottom w:val="nil"/>
              <w:right w:val="nil"/>
            </w:tcBorders>
            <w:shd w:val="clear" w:color="000000" w:fill="FFFFFF"/>
            <w:noWrap/>
            <w:hideMark/>
          </w:tcPr>
          <w:p w14:paraId="30E8233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(78.9)</w:t>
            </w:r>
          </w:p>
        </w:tc>
        <w:tc>
          <w:tcPr>
            <w:tcW w:w="814" w:type="dxa"/>
            <w:tcBorders>
              <w:top w:val="nil"/>
              <w:left w:val="nil"/>
              <w:bottom w:val="nil"/>
              <w:right w:val="nil"/>
            </w:tcBorders>
            <w:shd w:val="clear" w:color="000000" w:fill="FFFFFF"/>
            <w:noWrap/>
            <w:hideMark/>
          </w:tcPr>
          <w:p w14:paraId="549BDF3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0.04</w:t>
            </w:r>
          </w:p>
        </w:tc>
        <w:tc>
          <w:tcPr>
            <w:tcW w:w="540" w:type="dxa"/>
            <w:tcBorders>
              <w:top w:val="nil"/>
              <w:left w:val="nil"/>
              <w:bottom w:val="nil"/>
              <w:right w:val="nil"/>
            </w:tcBorders>
            <w:shd w:val="clear" w:color="000000" w:fill="FFFFFF"/>
            <w:noWrap/>
            <w:hideMark/>
          </w:tcPr>
          <w:p w14:paraId="7ACFA3A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1494</w:t>
            </w:r>
          </w:p>
        </w:tc>
        <w:tc>
          <w:tcPr>
            <w:tcW w:w="770" w:type="dxa"/>
            <w:tcBorders>
              <w:top w:val="nil"/>
              <w:left w:val="nil"/>
              <w:bottom w:val="nil"/>
              <w:right w:val="nil"/>
            </w:tcBorders>
            <w:shd w:val="clear" w:color="000000" w:fill="FFFFFF"/>
            <w:noWrap/>
            <w:hideMark/>
          </w:tcPr>
          <w:p w14:paraId="0AC58FD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(160.8)</w:t>
            </w:r>
          </w:p>
        </w:tc>
        <w:tc>
          <w:tcPr>
            <w:tcW w:w="540" w:type="dxa"/>
            <w:tcBorders>
              <w:top w:val="nil"/>
              <w:left w:val="nil"/>
              <w:bottom w:val="nil"/>
              <w:right w:val="nil"/>
            </w:tcBorders>
            <w:shd w:val="clear" w:color="000000" w:fill="FFFFFF"/>
            <w:noWrap/>
            <w:hideMark/>
          </w:tcPr>
          <w:p w14:paraId="582AF21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2810</w:t>
            </w:r>
          </w:p>
        </w:tc>
        <w:tc>
          <w:tcPr>
            <w:tcW w:w="770" w:type="dxa"/>
            <w:tcBorders>
              <w:top w:val="nil"/>
              <w:left w:val="nil"/>
              <w:bottom w:val="nil"/>
              <w:right w:val="nil"/>
            </w:tcBorders>
            <w:shd w:val="clear" w:color="000000" w:fill="FFFFFF"/>
            <w:noWrap/>
            <w:hideMark/>
          </w:tcPr>
          <w:p w14:paraId="0296E3F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(161.0)</w:t>
            </w:r>
          </w:p>
        </w:tc>
        <w:tc>
          <w:tcPr>
            <w:tcW w:w="736" w:type="dxa"/>
            <w:tcBorders>
              <w:top w:val="nil"/>
              <w:left w:val="nil"/>
              <w:bottom w:val="nil"/>
              <w:right w:val="nil"/>
            </w:tcBorders>
            <w:shd w:val="clear" w:color="000000" w:fill="FFFFFF"/>
            <w:noWrap/>
            <w:hideMark/>
          </w:tcPr>
          <w:p w14:paraId="71B3E1ED"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-0.01</w:t>
            </w:r>
          </w:p>
        </w:tc>
      </w:tr>
      <w:tr w:rsidR="009A2121" w:rsidRPr="009A2121" w14:paraId="2C4D547F" w14:textId="77777777" w:rsidTr="009A2121">
        <w:trPr>
          <w:trHeight w:val="240"/>
        </w:trPr>
        <w:tc>
          <w:tcPr>
            <w:tcW w:w="3512" w:type="dxa"/>
            <w:gridSpan w:val="2"/>
            <w:tcBorders>
              <w:top w:val="nil"/>
              <w:left w:val="nil"/>
              <w:bottom w:val="nil"/>
              <w:right w:val="nil"/>
            </w:tcBorders>
            <w:shd w:val="clear" w:color="auto" w:fill="auto"/>
            <w:hideMark/>
          </w:tcPr>
          <w:p w14:paraId="20F3F7DF"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Neighborhood below-poverty level, No. %</w:t>
            </w:r>
          </w:p>
        </w:tc>
        <w:tc>
          <w:tcPr>
            <w:tcW w:w="439" w:type="dxa"/>
            <w:tcBorders>
              <w:top w:val="nil"/>
              <w:left w:val="nil"/>
              <w:bottom w:val="nil"/>
              <w:right w:val="nil"/>
            </w:tcBorders>
            <w:shd w:val="clear" w:color="000000" w:fill="FFFFFF"/>
            <w:noWrap/>
            <w:hideMark/>
          </w:tcPr>
          <w:p w14:paraId="4A78F46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1D4453A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614A17C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727E9BD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noWrap/>
            <w:hideMark/>
          </w:tcPr>
          <w:p w14:paraId="7E2D2E37"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0.08</w:t>
            </w:r>
          </w:p>
        </w:tc>
        <w:tc>
          <w:tcPr>
            <w:tcW w:w="540" w:type="dxa"/>
            <w:tcBorders>
              <w:top w:val="nil"/>
              <w:left w:val="nil"/>
              <w:bottom w:val="nil"/>
              <w:right w:val="nil"/>
            </w:tcBorders>
            <w:shd w:val="clear" w:color="000000" w:fill="FFFFFF"/>
            <w:noWrap/>
            <w:hideMark/>
          </w:tcPr>
          <w:p w14:paraId="2652ED4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56660CB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2402CAB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1A274FC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noWrap/>
            <w:hideMark/>
          </w:tcPr>
          <w:p w14:paraId="712B7C52"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0.18</w:t>
            </w:r>
          </w:p>
        </w:tc>
      </w:tr>
      <w:tr w:rsidR="009A2121" w:rsidRPr="009A2121" w14:paraId="239997A4" w14:textId="77777777" w:rsidTr="009A2121">
        <w:trPr>
          <w:trHeight w:val="240"/>
        </w:trPr>
        <w:tc>
          <w:tcPr>
            <w:tcW w:w="356" w:type="dxa"/>
            <w:tcBorders>
              <w:top w:val="nil"/>
              <w:left w:val="nil"/>
              <w:bottom w:val="nil"/>
              <w:right w:val="nil"/>
            </w:tcBorders>
            <w:shd w:val="clear" w:color="000000" w:fill="FFFFFF"/>
            <w:noWrap/>
            <w:hideMark/>
          </w:tcPr>
          <w:p w14:paraId="2DAF459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80E315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&lt;5%</w:t>
            </w:r>
            <w:r w:rsidRPr="009A2121">
              <w:rPr>
                <w:rFonts w:ascii="Calibri" w:eastAsia="Times New Roman" w:hAnsi="Calibri" w:cs="Times New Roman"/>
                <w:color w:val="000000"/>
                <w:sz w:val="18"/>
                <w:szCs w:val="18"/>
                <w:vertAlign w:val="superscript"/>
              </w:rPr>
              <w:t>1</w:t>
            </w:r>
          </w:p>
        </w:tc>
        <w:tc>
          <w:tcPr>
            <w:tcW w:w="439" w:type="dxa"/>
            <w:tcBorders>
              <w:top w:val="nil"/>
              <w:left w:val="nil"/>
              <w:bottom w:val="nil"/>
              <w:right w:val="nil"/>
            </w:tcBorders>
            <w:shd w:val="clear" w:color="000000" w:fill="FFFFFF"/>
            <w:noWrap/>
            <w:hideMark/>
          </w:tcPr>
          <w:p w14:paraId="13887F6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484</w:t>
            </w:r>
          </w:p>
        </w:tc>
        <w:tc>
          <w:tcPr>
            <w:tcW w:w="688" w:type="dxa"/>
            <w:tcBorders>
              <w:top w:val="nil"/>
              <w:left w:val="nil"/>
              <w:bottom w:val="nil"/>
              <w:right w:val="nil"/>
            </w:tcBorders>
            <w:shd w:val="clear" w:color="000000" w:fill="FFFFFF"/>
            <w:noWrap/>
            <w:hideMark/>
          </w:tcPr>
          <w:p w14:paraId="768C31E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(50.8)</w:t>
            </w:r>
          </w:p>
        </w:tc>
        <w:tc>
          <w:tcPr>
            <w:tcW w:w="733" w:type="dxa"/>
            <w:tcBorders>
              <w:top w:val="nil"/>
              <w:left w:val="nil"/>
              <w:bottom w:val="nil"/>
              <w:right w:val="nil"/>
            </w:tcBorders>
            <w:shd w:val="clear" w:color="000000" w:fill="FFFFFF"/>
            <w:noWrap/>
            <w:hideMark/>
          </w:tcPr>
          <w:p w14:paraId="7B62B66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8228</w:t>
            </w:r>
          </w:p>
        </w:tc>
        <w:tc>
          <w:tcPr>
            <w:tcW w:w="762" w:type="dxa"/>
            <w:tcBorders>
              <w:top w:val="nil"/>
              <w:left w:val="nil"/>
              <w:bottom w:val="nil"/>
              <w:right w:val="nil"/>
            </w:tcBorders>
            <w:shd w:val="clear" w:color="000000" w:fill="FFFFFF"/>
            <w:noWrap/>
            <w:hideMark/>
          </w:tcPr>
          <w:p w14:paraId="14FC0DF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(47.1)</w:t>
            </w:r>
          </w:p>
        </w:tc>
        <w:tc>
          <w:tcPr>
            <w:tcW w:w="814" w:type="dxa"/>
            <w:tcBorders>
              <w:top w:val="nil"/>
              <w:left w:val="nil"/>
              <w:bottom w:val="nil"/>
              <w:right w:val="nil"/>
            </w:tcBorders>
            <w:shd w:val="clear" w:color="auto" w:fill="auto"/>
            <w:noWrap/>
            <w:hideMark/>
          </w:tcPr>
          <w:p w14:paraId="24AFBAE2" w14:textId="77777777" w:rsidR="009A2121" w:rsidRPr="009A2121" w:rsidRDefault="009A2121" w:rsidP="009A2121">
            <w:pPr>
              <w:spacing w:after="0" w:line="240" w:lineRule="auto"/>
              <w:jc w:val="center"/>
              <w:rPr>
                <w:rFonts w:ascii="Calibri" w:eastAsia="Times New Roman" w:hAnsi="Calibri" w:cs="Times New Roman"/>
                <w:color w:val="000000"/>
                <w:sz w:val="20"/>
                <w:szCs w:val="20"/>
              </w:rPr>
            </w:pPr>
            <w:r w:rsidRPr="009A2121">
              <w:rPr>
                <w:rFonts w:ascii="Calibri" w:eastAsia="Times New Roman" w:hAnsi="Calibri" w:cs="Times New Roman"/>
                <w:color w:val="000000"/>
                <w:sz w:val="20"/>
                <w:szCs w:val="20"/>
              </w:rPr>
              <w:t xml:space="preserve"> </w:t>
            </w:r>
          </w:p>
        </w:tc>
        <w:tc>
          <w:tcPr>
            <w:tcW w:w="540" w:type="dxa"/>
            <w:tcBorders>
              <w:top w:val="nil"/>
              <w:left w:val="nil"/>
              <w:bottom w:val="nil"/>
              <w:right w:val="nil"/>
            </w:tcBorders>
            <w:shd w:val="clear" w:color="000000" w:fill="FFFFFF"/>
            <w:noWrap/>
            <w:hideMark/>
          </w:tcPr>
          <w:p w14:paraId="04A12BE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942</w:t>
            </w:r>
          </w:p>
        </w:tc>
        <w:tc>
          <w:tcPr>
            <w:tcW w:w="770" w:type="dxa"/>
            <w:tcBorders>
              <w:top w:val="nil"/>
              <w:left w:val="nil"/>
              <w:bottom w:val="nil"/>
              <w:right w:val="nil"/>
            </w:tcBorders>
            <w:shd w:val="clear" w:color="000000" w:fill="FFFFFF"/>
            <w:noWrap/>
            <w:hideMark/>
          </w:tcPr>
          <w:p w14:paraId="361DC81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(101.4)</w:t>
            </w:r>
          </w:p>
        </w:tc>
        <w:tc>
          <w:tcPr>
            <w:tcW w:w="540" w:type="dxa"/>
            <w:tcBorders>
              <w:top w:val="nil"/>
              <w:left w:val="nil"/>
              <w:bottom w:val="nil"/>
              <w:right w:val="nil"/>
            </w:tcBorders>
            <w:shd w:val="clear" w:color="000000" w:fill="FFFFFF"/>
            <w:noWrap/>
            <w:hideMark/>
          </w:tcPr>
          <w:p w14:paraId="2F91A9F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1610</w:t>
            </w:r>
          </w:p>
        </w:tc>
        <w:tc>
          <w:tcPr>
            <w:tcW w:w="770" w:type="dxa"/>
            <w:tcBorders>
              <w:top w:val="nil"/>
              <w:left w:val="nil"/>
              <w:bottom w:val="nil"/>
              <w:right w:val="nil"/>
            </w:tcBorders>
            <w:shd w:val="clear" w:color="000000" w:fill="FFFFFF"/>
            <w:noWrap/>
            <w:hideMark/>
          </w:tcPr>
          <w:p w14:paraId="0231540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(92.3)</w:t>
            </w:r>
          </w:p>
        </w:tc>
        <w:tc>
          <w:tcPr>
            <w:tcW w:w="736" w:type="dxa"/>
            <w:tcBorders>
              <w:top w:val="nil"/>
              <w:left w:val="nil"/>
              <w:bottom w:val="nil"/>
              <w:right w:val="nil"/>
            </w:tcBorders>
            <w:shd w:val="clear" w:color="auto" w:fill="auto"/>
            <w:noWrap/>
            <w:hideMark/>
          </w:tcPr>
          <w:p w14:paraId="3970487C" w14:textId="77777777" w:rsidR="009A2121" w:rsidRPr="009A2121" w:rsidRDefault="009A2121" w:rsidP="009A2121">
            <w:pPr>
              <w:spacing w:after="0" w:line="240" w:lineRule="auto"/>
              <w:jc w:val="center"/>
              <w:rPr>
                <w:rFonts w:ascii="Calibri" w:eastAsia="Times New Roman" w:hAnsi="Calibri" w:cs="Times New Roman"/>
                <w:color w:val="000000"/>
                <w:sz w:val="20"/>
                <w:szCs w:val="20"/>
              </w:rPr>
            </w:pPr>
            <w:r w:rsidRPr="009A2121">
              <w:rPr>
                <w:rFonts w:ascii="Calibri" w:eastAsia="Times New Roman" w:hAnsi="Calibri" w:cs="Times New Roman"/>
                <w:color w:val="000000"/>
                <w:sz w:val="20"/>
                <w:szCs w:val="20"/>
              </w:rPr>
              <w:t xml:space="preserve"> </w:t>
            </w:r>
          </w:p>
        </w:tc>
      </w:tr>
      <w:tr w:rsidR="009A2121" w:rsidRPr="009A2121" w14:paraId="6D8589CB" w14:textId="77777777" w:rsidTr="009A2121">
        <w:trPr>
          <w:trHeight w:val="240"/>
        </w:trPr>
        <w:tc>
          <w:tcPr>
            <w:tcW w:w="356" w:type="dxa"/>
            <w:tcBorders>
              <w:top w:val="nil"/>
              <w:left w:val="nil"/>
              <w:bottom w:val="nil"/>
              <w:right w:val="nil"/>
            </w:tcBorders>
            <w:shd w:val="clear" w:color="000000" w:fill="FFFFFF"/>
            <w:noWrap/>
            <w:hideMark/>
          </w:tcPr>
          <w:p w14:paraId="565B29D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0261375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5%-9.9%</w:t>
            </w:r>
            <w:r w:rsidRPr="009A2121">
              <w:rPr>
                <w:rFonts w:ascii="Calibri" w:eastAsia="Times New Roman" w:hAnsi="Calibri" w:cs="Times New Roman"/>
                <w:color w:val="000000"/>
                <w:sz w:val="18"/>
                <w:szCs w:val="18"/>
                <w:vertAlign w:val="superscript"/>
              </w:rPr>
              <w:t>1</w:t>
            </w:r>
          </w:p>
        </w:tc>
        <w:tc>
          <w:tcPr>
            <w:tcW w:w="439" w:type="dxa"/>
            <w:tcBorders>
              <w:top w:val="nil"/>
              <w:left w:val="nil"/>
              <w:bottom w:val="nil"/>
              <w:right w:val="nil"/>
            </w:tcBorders>
            <w:shd w:val="clear" w:color="000000" w:fill="FFFFFF"/>
            <w:noWrap/>
            <w:hideMark/>
          </w:tcPr>
          <w:p w14:paraId="6693A47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469</w:t>
            </w:r>
          </w:p>
        </w:tc>
        <w:tc>
          <w:tcPr>
            <w:tcW w:w="688" w:type="dxa"/>
            <w:tcBorders>
              <w:top w:val="nil"/>
              <w:left w:val="nil"/>
              <w:bottom w:val="nil"/>
              <w:right w:val="nil"/>
            </w:tcBorders>
            <w:shd w:val="clear" w:color="000000" w:fill="FFFFFF"/>
            <w:noWrap/>
            <w:hideMark/>
          </w:tcPr>
          <w:p w14:paraId="491A6AF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(49.2)</w:t>
            </w:r>
          </w:p>
        </w:tc>
        <w:tc>
          <w:tcPr>
            <w:tcW w:w="733" w:type="dxa"/>
            <w:tcBorders>
              <w:top w:val="nil"/>
              <w:left w:val="nil"/>
              <w:bottom w:val="nil"/>
              <w:right w:val="nil"/>
            </w:tcBorders>
            <w:shd w:val="clear" w:color="000000" w:fill="FFFFFF"/>
            <w:noWrap/>
            <w:hideMark/>
          </w:tcPr>
          <w:p w14:paraId="1586538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9259</w:t>
            </w:r>
          </w:p>
        </w:tc>
        <w:tc>
          <w:tcPr>
            <w:tcW w:w="762" w:type="dxa"/>
            <w:tcBorders>
              <w:top w:val="nil"/>
              <w:left w:val="nil"/>
              <w:bottom w:val="nil"/>
              <w:right w:val="nil"/>
            </w:tcBorders>
            <w:shd w:val="clear" w:color="000000" w:fill="FFFFFF"/>
            <w:noWrap/>
            <w:hideMark/>
          </w:tcPr>
          <w:p w14:paraId="5D3E6A8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(52.9)</w:t>
            </w:r>
          </w:p>
        </w:tc>
        <w:tc>
          <w:tcPr>
            <w:tcW w:w="814" w:type="dxa"/>
            <w:tcBorders>
              <w:top w:val="nil"/>
              <w:left w:val="nil"/>
              <w:bottom w:val="nil"/>
              <w:right w:val="nil"/>
            </w:tcBorders>
            <w:shd w:val="clear" w:color="000000" w:fill="FFFFFF"/>
            <w:noWrap/>
            <w:hideMark/>
          </w:tcPr>
          <w:p w14:paraId="3E89C81C"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46CEB8C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916</w:t>
            </w:r>
          </w:p>
        </w:tc>
        <w:tc>
          <w:tcPr>
            <w:tcW w:w="770" w:type="dxa"/>
            <w:tcBorders>
              <w:top w:val="nil"/>
              <w:left w:val="nil"/>
              <w:bottom w:val="nil"/>
              <w:right w:val="nil"/>
            </w:tcBorders>
            <w:shd w:val="clear" w:color="000000" w:fill="FFFFFF"/>
            <w:noWrap/>
            <w:hideMark/>
          </w:tcPr>
          <w:p w14:paraId="0394A07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(98.6)</w:t>
            </w:r>
          </w:p>
        </w:tc>
        <w:tc>
          <w:tcPr>
            <w:tcW w:w="540" w:type="dxa"/>
            <w:tcBorders>
              <w:top w:val="nil"/>
              <w:left w:val="nil"/>
              <w:bottom w:val="nil"/>
              <w:right w:val="nil"/>
            </w:tcBorders>
            <w:shd w:val="clear" w:color="000000" w:fill="FFFFFF"/>
            <w:noWrap/>
            <w:hideMark/>
          </w:tcPr>
          <w:p w14:paraId="77DD933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1880</w:t>
            </w:r>
          </w:p>
        </w:tc>
        <w:tc>
          <w:tcPr>
            <w:tcW w:w="770" w:type="dxa"/>
            <w:tcBorders>
              <w:top w:val="nil"/>
              <w:left w:val="nil"/>
              <w:bottom w:val="nil"/>
              <w:right w:val="nil"/>
            </w:tcBorders>
            <w:shd w:val="clear" w:color="000000" w:fill="FFFFFF"/>
            <w:noWrap/>
            <w:hideMark/>
          </w:tcPr>
          <w:p w14:paraId="0A6624A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(107.7)</w:t>
            </w:r>
          </w:p>
        </w:tc>
        <w:tc>
          <w:tcPr>
            <w:tcW w:w="736" w:type="dxa"/>
            <w:tcBorders>
              <w:top w:val="nil"/>
              <w:left w:val="nil"/>
              <w:bottom w:val="nil"/>
              <w:right w:val="nil"/>
            </w:tcBorders>
            <w:shd w:val="clear" w:color="000000" w:fill="FFFFFF"/>
            <w:noWrap/>
            <w:hideMark/>
          </w:tcPr>
          <w:p w14:paraId="0B9851C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192F9B71" w14:textId="77777777" w:rsidTr="009A2121">
        <w:trPr>
          <w:trHeight w:val="240"/>
        </w:trPr>
        <w:tc>
          <w:tcPr>
            <w:tcW w:w="356" w:type="dxa"/>
            <w:tcBorders>
              <w:top w:val="nil"/>
              <w:left w:val="nil"/>
              <w:bottom w:val="nil"/>
              <w:right w:val="nil"/>
            </w:tcBorders>
            <w:shd w:val="clear" w:color="000000" w:fill="FFFFFF"/>
            <w:noWrap/>
            <w:hideMark/>
          </w:tcPr>
          <w:p w14:paraId="3704166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2DD19C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10%-19.9%</w:t>
            </w:r>
            <w:r w:rsidRPr="009A2121">
              <w:rPr>
                <w:rFonts w:ascii="Calibri" w:eastAsia="Times New Roman" w:hAnsi="Calibri" w:cs="Times New Roman"/>
                <w:color w:val="000000"/>
                <w:sz w:val="18"/>
                <w:szCs w:val="18"/>
                <w:vertAlign w:val="superscript"/>
              </w:rPr>
              <w:t>2</w:t>
            </w:r>
          </w:p>
        </w:tc>
        <w:tc>
          <w:tcPr>
            <w:tcW w:w="439" w:type="dxa"/>
            <w:tcBorders>
              <w:top w:val="nil"/>
              <w:left w:val="nil"/>
              <w:bottom w:val="nil"/>
              <w:right w:val="nil"/>
            </w:tcBorders>
            <w:shd w:val="clear" w:color="000000" w:fill="FFFFFF"/>
            <w:noWrap/>
            <w:hideMark/>
          </w:tcPr>
          <w:p w14:paraId="6733D53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688" w:type="dxa"/>
            <w:tcBorders>
              <w:top w:val="nil"/>
              <w:left w:val="nil"/>
              <w:bottom w:val="nil"/>
              <w:right w:val="nil"/>
            </w:tcBorders>
            <w:shd w:val="clear" w:color="000000" w:fill="FFFFFF"/>
            <w:noWrap/>
            <w:hideMark/>
          </w:tcPr>
          <w:p w14:paraId="4A888A7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733" w:type="dxa"/>
            <w:tcBorders>
              <w:top w:val="nil"/>
              <w:left w:val="nil"/>
              <w:bottom w:val="nil"/>
              <w:right w:val="nil"/>
            </w:tcBorders>
            <w:shd w:val="clear" w:color="000000" w:fill="FFFFFF"/>
            <w:noWrap/>
            <w:hideMark/>
          </w:tcPr>
          <w:p w14:paraId="733489A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62" w:type="dxa"/>
            <w:tcBorders>
              <w:top w:val="nil"/>
              <w:left w:val="nil"/>
              <w:bottom w:val="nil"/>
              <w:right w:val="nil"/>
            </w:tcBorders>
            <w:shd w:val="clear" w:color="000000" w:fill="FFFFFF"/>
            <w:noWrap/>
            <w:hideMark/>
          </w:tcPr>
          <w:p w14:paraId="41920C7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814" w:type="dxa"/>
            <w:tcBorders>
              <w:top w:val="nil"/>
              <w:left w:val="nil"/>
              <w:bottom w:val="nil"/>
              <w:right w:val="nil"/>
            </w:tcBorders>
            <w:shd w:val="clear" w:color="000000" w:fill="FFFFFF"/>
            <w:noWrap/>
            <w:hideMark/>
          </w:tcPr>
          <w:p w14:paraId="1AF4CC48"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3C4DAF9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70" w:type="dxa"/>
            <w:tcBorders>
              <w:top w:val="nil"/>
              <w:left w:val="nil"/>
              <w:bottom w:val="nil"/>
              <w:right w:val="nil"/>
            </w:tcBorders>
            <w:shd w:val="clear" w:color="000000" w:fill="FFFFFF"/>
            <w:noWrap/>
            <w:hideMark/>
          </w:tcPr>
          <w:p w14:paraId="0B55E7A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540" w:type="dxa"/>
            <w:tcBorders>
              <w:top w:val="nil"/>
              <w:left w:val="nil"/>
              <w:bottom w:val="nil"/>
              <w:right w:val="nil"/>
            </w:tcBorders>
            <w:shd w:val="clear" w:color="000000" w:fill="FFFFFF"/>
            <w:noWrap/>
            <w:hideMark/>
          </w:tcPr>
          <w:p w14:paraId="79A3F90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70" w:type="dxa"/>
            <w:tcBorders>
              <w:top w:val="nil"/>
              <w:left w:val="nil"/>
              <w:bottom w:val="nil"/>
              <w:right w:val="nil"/>
            </w:tcBorders>
            <w:shd w:val="clear" w:color="000000" w:fill="FFFFFF"/>
            <w:noWrap/>
            <w:hideMark/>
          </w:tcPr>
          <w:p w14:paraId="2295972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736" w:type="dxa"/>
            <w:tcBorders>
              <w:top w:val="nil"/>
              <w:left w:val="nil"/>
              <w:bottom w:val="nil"/>
              <w:right w:val="nil"/>
            </w:tcBorders>
            <w:shd w:val="clear" w:color="000000" w:fill="FFFFFF"/>
            <w:noWrap/>
            <w:hideMark/>
          </w:tcPr>
          <w:p w14:paraId="5FD56925"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1BB75103" w14:textId="77777777" w:rsidTr="009A2121">
        <w:trPr>
          <w:trHeight w:val="240"/>
        </w:trPr>
        <w:tc>
          <w:tcPr>
            <w:tcW w:w="356" w:type="dxa"/>
            <w:tcBorders>
              <w:top w:val="nil"/>
              <w:left w:val="nil"/>
              <w:bottom w:val="nil"/>
              <w:right w:val="nil"/>
            </w:tcBorders>
            <w:shd w:val="clear" w:color="000000" w:fill="FFFFFF"/>
            <w:noWrap/>
            <w:hideMark/>
          </w:tcPr>
          <w:p w14:paraId="526B003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DF4005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&gt;=20%</w:t>
            </w:r>
            <w:r w:rsidRPr="009A2121">
              <w:rPr>
                <w:rFonts w:ascii="Calibri" w:eastAsia="Times New Roman" w:hAnsi="Calibri" w:cs="Times New Roman"/>
                <w:color w:val="000000"/>
                <w:sz w:val="18"/>
                <w:szCs w:val="18"/>
                <w:vertAlign w:val="superscript"/>
              </w:rPr>
              <w:t>2</w:t>
            </w:r>
          </w:p>
        </w:tc>
        <w:tc>
          <w:tcPr>
            <w:tcW w:w="439" w:type="dxa"/>
            <w:tcBorders>
              <w:top w:val="nil"/>
              <w:left w:val="nil"/>
              <w:bottom w:val="nil"/>
              <w:right w:val="nil"/>
            </w:tcBorders>
            <w:shd w:val="clear" w:color="000000" w:fill="FFFFFF"/>
            <w:noWrap/>
            <w:hideMark/>
          </w:tcPr>
          <w:p w14:paraId="44BEED7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688" w:type="dxa"/>
            <w:tcBorders>
              <w:top w:val="nil"/>
              <w:left w:val="nil"/>
              <w:bottom w:val="nil"/>
              <w:right w:val="nil"/>
            </w:tcBorders>
            <w:shd w:val="clear" w:color="000000" w:fill="FFFFFF"/>
            <w:noWrap/>
            <w:hideMark/>
          </w:tcPr>
          <w:p w14:paraId="6BA7D30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733" w:type="dxa"/>
            <w:tcBorders>
              <w:top w:val="nil"/>
              <w:left w:val="nil"/>
              <w:bottom w:val="nil"/>
              <w:right w:val="nil"/>
            </w:tcBorders>
            <w:shd w:val="clear" w:color="000000" w:fill="FFFFFF"/>
            <w:noWrap/>
            <w:hideMark/>
          </w:tcPr>
          <w:p w14:paraId="2058931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62" w:type="dxa"/>
            <w:tcBorders>
              <w:top w:val="nil"/>
              <w:left w:val="nil"/>
              <w:bottom w:val="nil"/>
              <w:right w:val="nil"/>
            </w:tcBorders>
            <w:shd w:val="clear" w:color="000000" w:fill="FFFFFF"/>
            <w:noWrap/>
            <w:hideMark/>
          </w:tcPr>
          <w:p w14:paraId="0110568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814" w:type="dxa"/>
            <w:tcBorders>
              <w:top w:val="nil"/>
              <w:left w:val="nil"/>
              <w:bottom w:val="nil"/>
              <w:right w:val="nil"/>
            </w:tcBorders>
            <w:shd w:val="clear" w:color="000000" w:fill="FFFFFF"/>
            <w:noWrap/>
            <w:hideMark/>
          </w:tcPr>
          <w:p w14:paraId="6AD4BCE7"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7E5FE2C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70" w:type="dxa"/>
            <w:tcBorders>
              <w:top w:val="nil"/>
              <w:left w:val="nil"/>
              <w:bottom w:val="nil"/>
              <w:right w:val="nil"/>
            </w:tcBorders>
            <w:shd w:val="clear" w:color="000000" w:fill="FFFFFF"/>
            <w:noWrap/>
            <w:hideMark/>
          </w:tcPr>
          <w:p w14:paraId="3F8BD13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540" w:type="dxa"/>
            <w:tcBorders>
              <w:top w:val="nil"/>
              <w:left w:val="nil"/>
              <w:bottom w:val="nil"/>
              <w:right w:val="nil"/>
            </w:tcBorders>
            <w:shd w:val="clear" w:color="000000" w:fill="FFFFFF"/>
            <w:noWrap/>
            <w:hideMark/>
          </w:tcPr>
          <w:p w14:paraId="71E644F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w:t>
            </w:r>
          </w:p>
        </w:tc>
        <w:tc>
          <w:tcPr>
            <w:tcW w:w="770" w:type="dxa"/>
            <w:tcBorders>
              <w:top w:val="nil"/>
              <w:left w:val="nil"/>
              <w:bottom w:val="nil"/>
              <w:right w:val="nil"/>
            </w:tcBorders>
            <w:shd w:val="clear" w:color="000000" w:fill="FFFFFF"/>
            <w:noWrap/>
            <w:hideMark/>
          </w:tcPr>
          <w:p w14:paraId="29F04F4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w:t>
            </w:r>
          </w:p>
        </w:tc>
        <w:tc>
          <w:tcPr>
            <w:tcW w:w="736" w:type="dxa"/>
            <w:tcBorders>
              <w:top w:val="nil"/>
              <w:left w:val="nil"/>
              <w:bottom w:val="nil"/>
              <w:right w:val="nil"/>
            </w:tcBorders>
            <w:shd w:val="clear" w:color="000000" w:fill="FFFFFF"/>
            <w:noWrap/>
            <w:hideMark/>
          </w:tcPr>
          <w:p w14:paraId="031D7251"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13BC75BA" w14:textId="77777777" w:rsidTr="009A2121">
        <w:trPr>
          <w:trHeight w:val="240"/>
        </w:trPr>
        <w:tc>
          <w:tcPr>
            <w:tcW w:w="3512" w:type="dxa"/>
            <w:gridSpan w:val="2"/>
            <w:tcBorders>
              <w:top w:val="nil"/>
              <w:left w:val="nil"/>
              <w:bottom w:val="nil"/>
              <w:right w:val="nil"/>
            </w:tcBorders>
            <w:shd w:val="clear" w:color="000000" w:fill="FFFFFF"/>
            <w:noWrap/>
            <w:hideMark/>
          </w:tcPr>
          <w:p w14:paraId="62ABB3C9"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Race/ethnicity, No. (%)</w:t>
            </w:r>
            <w:r w:rsidRPr="009A2121">
              <w:rPr>
                <w:rFonts w:ascii="Calibri" w:eastAsia="Times New Roman" w:hAnsi="Calibri" w:cs="Times New Roman"/>
                <w:b/>
                <w:bCs/>
                <w:color w:val="000000"/>
                <w:sz w:val="18"/>
                <w:szCs w:val="18"/>
                <w:vertAlign w:val="superscript"/>
              </w:rPr>
              <w:t>5</w:t>
            </w:r>
          </w:p>
        </w:tc>
        <w:tc>
          <w:tcPr>
            <w:tcW w:w="439" w:type="dxa"/>
            <w:tcBorders>
              <w:top w:val="nil"/>
              <w:left w:val="nil"/>
              <w:bottom w:val="nil"/>
              <w:right w:val="nil"/>
            </w:tcBorders>
            <w:shd w:val="clear" w:color="000000" w:fill="FFFFFF"/>
            <w:noWrap/>
            <w:hideMark/>
          </w:tcPr>
          <w:p w14:paraId="701D12B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2664CC0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03F3193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201ACDB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noWrap/>
            <w:hideMark/>
          </w:tcPr>
          <w:p w14:paraId="3F538A13"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0.17</w:t>
            </w:r>
          </w:p>
        </w:tc>
        <w:tc>
          <w:tcPr>
            <w:tcW w:w="540" w:type="dxa"/>
            <w:tcBorders>
              <w:top w:val="nil"/>
              <w:left w:val="nil"/>
              <w:bottom w:val="nil"/>
              <w:right w:val="nil"/>
            </w:tcBorders>
            <w:shd w:val="clear" w:color="000000" w:fill="FFFFFF"/>
            <w:noWrap/>
            <w:hideMark/>
          </w:tcPr>
          <w:p w14:paraId="02E4E08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21859A6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1D80CCE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71411A2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noWrap/>
            <w:hideMark/>
          </w:tcPr>
          <w:p w14:paraId="6994FD0B"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0.19</w:t>
            </w:r>
          </w:p>
        </w:tc>
      </w:tr>
      <w:tr w:rsidR="009A2121" w:rsidRPr="009A2121" w14:paraId="59F61B87" w14:textId="77777777" w:rsidTr="009A2121">
        <w:trPr>
          <w:trHeight w:val="240"/>
        </w:trPr>
        <w:tc>
          <w:tcPr>
            <w:tcW w:w="356" w:type="dxa"/>
            <w:tcBorders>
              <w:top w:val="nil"/>
              <w:left w:val="nil"/>
              <w:bottom w:val="nil"/>
              <w:right w:val="nil"/>
            </w:tcBorders>
            <w:shd w:val="clear" w:color="000000" w:fill="FFFFFF"/>
            <w:noWrap/>
            <w:hideMark/>
          </w:tcPr>
          <w:p w14:paraId="3FFD152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B22001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Hispanic</w:t>
            </w:r>
          </w:p>
        </w:tc>
        <w:tc>
          <w:tcPr>
            <w:tcW w:w="439" w:type="dxa"/>
            <w:tcBorders>
              <w:top w:val="nil"/>
              <w:left w:val="nil"/>
              <w:bottom w:val="nil"/>
              <w:right w:val="nil"/>
            </w:tcBorders>
            <w:shd w:val="clear" w:color="000000" w:fill="FFFFFF"/>
            <w:noWrap/>
            <w:hideMark/>
          </w:tcPr>
          <w:p w14:paraId="126A5AA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58</w:t>
            </w:r>
          </w:p>
        </w:tc>
        <w:tc>
          <w:tcPr>
            <w:tcW w:w="688" w:type="dxa"/>
            <w:tcBorders>
              <w:top w:val="nil"/>
              <w:left w:val="nil"/>
              <w:bottom w:val="nil"/>
              <w:right w:val="nil"/>
            </w:tcBorders>
            <w:shd w:val="clear" w:color="000000" w:fill="FFFFFF"/>
            <w:noWrap/>
            <w:hideMark/>
          </w:tcPr>
          <w:p w14:paraId="1524B2E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(6.1)</w:t>
            </w:r>
          </w:p>
        </w:tc>
        <w:tc>
          <w:tcPr>
            <w:tcW w:w="733" w:type="dxa"/>
            <w:tcBorders>
              <w:top w:val="nil"/>
              <w:left w:val="nil"/>
              <w:bottom w:val="nil"/>
              <w:right w:val="nil"/>
            </w:tcBorders>
            <w:shd w:val="clear" w:color="000000" w:fill="FFFFFF"/>
            <w:noWrap/>
            <w:hideMark/>
          </w:tcPr>
          <w:p w14:paraId="3BEF1F0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909</w:t>
            </w:r>
          </w:p>
        </w:tc>
        <w:tc>
          <w:tcPr>
            <w:tcW w:w="762" w:type="dxa"/>
            <w:tcBorders>
              <w:top w:val="nil"/>
              <w:left w:val="nil"/>
              <w:bottom w:val="nil"/>
              <w:right w:val="nil"/>
            </w:tcBorders>
            <w:shd w:val="clear" w:color="000000" w:fill="FFFFFF"/>
            <w:noWrap/>
            <w:hideMark/>
          </w:tcPr>
          <w:p w14:paraId="5F863FB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w:t>
            </w:r>
          </w:p>
        </w:tc>
        <w:tc>
          <w:tcPr>
            <w:tcW w:w="814" w:type="dxa"/>
            <w:tcBorders>
              <w:top w:val="nil"/>
              <w:left w:val="nil"/>
              <w:bottom w:val="nil"/>
              <w:right w:val="nil"/>
            </w:tcBorders>
            <w:shd w:val="clear" w:color="auto" w:fill="auto"/>
            <w:noWrap/>
            <w:hideMark/>
          </w:tcPr>
          <w:p w14:paraId="3C46FFBC" w14:textId="77777777" w:rsidR="009A2121" w:rsidRPr="009A2121" w:rsidRDefault="009A2121" w:rsidP="009A2121">
            <w:pPr>
              <w:spacing w:after="0" w:line="240" w:lineRule="auto"/>
              <w:jc w:val="center"/>
              <w:rPr>
                <w:rFonts w:ascii="Calibri" w:eastAsia="Times New Roman" w:hAnsi="Calibri" w:cs="Times New Roman"/>
                <w:color w:val="000000"/>
                <w:sz w:val="20"/>
                <w:szCs w:val="20"/>
              </w:rPr>
            </w:pPr>
            <w:r w:rsidRPr="009A2121">
              <w:rPr>
                <w:rFonts w:ascii="Calibri" w:eastAsia="Times New Roman" w:hAnsi="Calibri" w:cs="Times New Roman"/>
                <w:color w:val="000000"/>
                <w:sz w:val="20"/>
                <w:szCs w:val="20"/>
              </w:rPr>
              <w:t xml:space="preserve"> </w:t>
            </w:r>
          </w:p>
        </w:tc>
        <w:tc>
          <w:tcPr>
            <w:tcW w:w="540" w:type="dxa"/>
            <w:tcBorders>
              <w:top w:val="nil"/>
              <w:left w:val="nil"/>
              <w:bottom w:val="nil"/>
              <w:right w:val="nil"/>
            </w:tcBorders>
            <w:shd w:val="clear" w:color="000000" w:fill="FFFFFF"/>
            <w:noWrap/>
            <w:hideMark/>
          </w:tcPr>
          <w:p w14:paraId="0ACDA83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110</w:t>
            </w:r>
          </w:p>
        </w:tc>
        <w:tc>
          <w:tcPr>
            <w:tcW w:w="770" w:type="dxa"/>
            <w:tcBorders>
              <w:top w:val="nil"/>
              <w:left w:val="nil"/>
              <w:bottom w:val="nil"/>
              <w:right w:val="nil"/>
            </w:tcBorders>
            <w:shd w:val="clear" w:color="000000" w:fill="FFFFFF"/>
            <w:noWrap/>
            <w:hideMark/>
          </w:tcPr>
          <w:p w14:paraId="0EBBF6F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(11.8)</w:t>
            </w:r>
          </w:p>
        </w:tc>
        <w:tc>
          <w:tcPr>
            <w:tcW w:w="540" w:type="dxa"/>
            <w:tcBorders>
              <w:top w:val="nil"/>
              <w:left w:val="nil"/>
              <w:bottom w:val="nil"/>
              <w:right w:val="nil"/>
            </w:tcBorders>
            <w:shd w:val="clear" w:color="000000" w:fill="FFFFFF"/>
            <w:noWrap/>
            <w:hideMark/>
          </w:tcPr>
          <w:p w14:paraId="5BFD39A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238</w:t>
            </w:r>
          </w:p>
        </w:tc>
        <w:tc>
          <w:tcPr>
            <w:tcW w:w="770" w:type="dxa"/>
            <w:tcBorders>
              <w:top w:val="nil"/>
              <w:left w:val="nil"/>
              <w:bottom w:val="nil"/>
              <w:right w:val="nil"/>
            </w:tcBorders>
            <w:shd w:val="clear" w:color="000000" w:fill="FFFFFF"/>
            <w:noWrap/>
            <w:hideMark/>
          </w:tcPr>
          <w:p w14:paraId="1C9A1ED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(13.6)</w:t>
            </w:r>
          </w:p>
        </w:tc>
        <w:tc>
          <w:tcPr>
            <w:tcW w:w="736" w:type="dxa"/>
            <w:tcBorders>
              <w:top w:val="nil"/>
              <w:left w:val="nil"/>
              <w:bottom w:val="nil"/>
              <w:right w:val="nil"/>
            </w:tcBorders>
            <w:shd w:val="clear" w:color="auto" w:fill="auto"/>
            <w:noWrap/>
            <w:hideMark/>
          </w:tcPr>
          <w:p w14:paraId="5F9E60D8" w14:textId="77777777" w:rsidR="009A2121" w:rsidRPr="009A2121" w:rsidRDefault="009A2121" w:rsidP="009A2121">
            <w:pPr>
              <w:spacing w:after="0" w:line="240" w:lineRule="auto"/>
              <w:jc w:val="center"/>
              <w:rPr>
                <w:rFonts w:ascii="Calibri" w:eastAsia="Times New Roman" w:hAnsi="Calibri" w:cs="Times New Roman"/>
                <w:color w:val="000000"/>
                <w:sz w:val="20"/>
                <w:szCs w:val="20"/>
              </w:rPr>
            </w:pPr>
            <w:r w:rsidRPr="009A2121">
              <w:rPr>
                <w:rFonts w:ascii="Calibri" w:eastAsia="Times New Roman" w:hAnsi="Calibri" w:cs="Times New Roman"/>
                <w:color w:val="000000"/>
                <w:sz w:val="20"/>
                <w:szCs w:val="20"/>
              </w:rPr>
              <w:t xml:space="preserve"> </w:t>
            </w:r>
          </w:p>
        </w:tc>
      </w:tr>
      <w:tr w:rsidR="009A2121" w:rsidRPr="009A2121" w14:paraId="3583D0C3" w14:textId="77777777" w:rsidTr="009A2121">
        <w:trPr>
          <w:trHeight w:val="240"/>
        </w:trPr>
        <w:tc>
          <w:tcPr>
            <w:tcW w:w="356" w:type="dxa"/>
            <w:tcBorders>
              <w:top w:val="nil"/>
              <w:left w:val="nil"/>
              <w:bottom w:val="nil"/>
              <w:right w:val="nil"/>
            </w:tcBorders>
            <w:shd w:val="clear" w:color="000000" w:fill="FFFFFF"/>
            <w:noWrap/>
            <w:hideMark/>
          </w:tcPr>
          <w:p w14:paraId="518AFAC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5BC4BF3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Asian</w:t>
            </w:r>
          </w:p>
        </w:tc>
        <w:tc>
          <w:tcPr>
            <w:tcW w:w="439" w:type="dxa"/>
            <w:tcBorders>
              <w:top w:val="nil"/>
              <w:left w:val="nil"/>
              <w:bottom w:val="nil"/>
              <w:right w:val="nil"/>
            </w:tcBorders>
            <w:shd w:val="clear" w:color="000000" w:fill="FFFFFF"/>
            <w:noWrap/>
            <w:hideMark/>
          </w:tcPr>
          <w:p w14:paraId="25E7E5D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w:t>
            </w:r>
          </w:p>
        </w:tc>
        <w:tc>
          <w:tcPr>
            <w:tcW w:w="688" w:type="dxa"/>
            <w:tcBorders>
              <w:top w:val="nil"/>
              <w:left w:val="nil"/>
              <w:bottom w:val="nil"/>
              <w:right w:val="nil"/>
            </w:tcBorders>
            <w:shd w:val="clear" w:color="000000" w:fill="FFFFFF"/>
            <w:noWrap/>
            <w:hideMark/>
          </w:tcPr>
          <w:p w14:paraId="4C6A1D0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w:t>
            </w:r>
          </w:p>
        </w:tc>
        <w:tc>
          <w:tcPr>
            <w:tcW w:w="733" w:type="dxa"/>
            <w:tcBorders>
              <w:top w:val="nil"/>
              <w:left w:val="nil"/>
              <w:bottom w:val="nil"/>
              <w:right w:val="nil"/>
            </w:tcBorders>
            <w:shd w:val="clear" w:color="000000" w:fill="FFFFFF"/>
            <w:noWrap/>
            <w:hideMark/>
          </w:tcPr>
          <w:p w14:paraId="1DE9B71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736</w:t>
            </w:r>
          </w:p>
        </w:tc>
        <w:tc>
          <w:tcPr>
            <w:tcW w:w="762" w:type="dxa"/>
            <w:tcBorders>
              <w:top w:val="nil"/>
              <w:left w:val="nil"/>
              <w:bottom w:val="nil"/>
              <w:right w:val="nil"/>
            </w:tcBorders>
            <w:shd w:val="clear" w:color="000000" w:fill="FFFFFF"/>
            <w:noWrap/>
            <w:hideMark/>
          </w:tcPr>
          <w:p w14:paraId="2A22DE9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(4.2)</w:t>
            </w:r>
          </w:p>
        </w:tc>
        <w:tc>
          <w:tcPr>
            <w:tcW w:w="814" w:type="dxa"/>
            <w:tcBorders>
              <w:top w:val="nil"/>
              <w:left w:val="nil"/>
              <w:bottom w:val="nil"/>
              <w:right w:val="nil"/>
            </w:tcBorders>
            <w:shd w:val="clear" w:color="000000" w:fill="FFFFFF"/>
            <w:noWrap/>
            <w:hideMark/>
          </w:tcPr>
          <w:p w14:paraId="16C29895"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42644F6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94</w:t>
            </w:r>
          </w:p>
        </w:tc>
        <w:tc>
          <w:tcPr>
            <w:tcW w:w="770" w:type="dxa"/>
            <w:tcBorders>
              <w:top w:val="nil"/>
              <w:left w:val="nil"/>
              <w:bottom w:val="nil"/>
              <w:right w:val="nil"/>
            </w:tcBorders>
            <w:shd w:val="clear" w:color="000000" w:fill="FFFFFF"/>
            <w:noWrap/>
            <w:hideMark/>
          </w:tcPr>
          <w:p w14:paraId="1D4773B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(10.1)</w:t>
            </w:r>
          </w:p>
        </w:tc>
        <w:tc>
          <w:tcPr>
            <w:tcW w:w="540" w:type="dxa"/>
            <w:tcBorders>
              <w:top w:val="nil"/>
              <w:left w:val="nil"/>
              <w:bottom w:val="nil"/>
              <w:right w:val="nil"/>
            </w:tcBorders>
            <w:shd w:val="clear" w:color="000000" w:fill="FFFFFF"/>
            <w:noWrap/>
            <w:hideMark/>
          </w:tcPr>
          <w:p w14:paraId="592E338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194</w:t>
            </w:r>
          </w:p>
        </w:tc>
        <w:tc>
          <w:tcPr>
            <w:tcW w:w="770" w:type="dxa"/>
            <w:tcBorders>
              <w:top w:val="nil"/>
              <w:left w:val="nil"/>
              <w:bottom w:val="nil"/>
              <w:right w:val="nil"/>
            </w:tcBorders>
            <w:shd w:val="clear" w:color="000000" w:fill="FFFFFF"/>
            <w:noWrap/>
            <w:hideMark/>
          </w:tcPr>
          <w:p w14:paraId="5C7AAC6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(11.1)</w:t>
            </w:r>
          </w:p>
        </w:tc>
        <w:tc>
          <w:tcPr>
            <w:tcW w:w="736" w:type="dxa"/>
            <w:tcBorders>
              <w:top w:val="nil"/>
              <w:left w:val="nil"/>
              <w:bottom w:val="nil"/>
              <w:right w:val="nil"/>
            </w:tcBorders>
            <w:shd w:val="clear" w:color="000000" w:fill="FFFFFF"/>
            <w:noWrap/>
            <w:hideMark/>
          </w:tcPr>
          <w:p w14:paraId="69351C19"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74E5E464" w14:textId="77777777" w:rsidTr="009A2121">
        <w:trPr>
          <w:trHeight w:val="240"/>
        </w:trPr>
        <w:tc>
          <w:tcPr>
            <w:tcW w:w="356" w:type="dxa"/>
            <w:tcBorders>
              <w:top w:val="nil"/>
              <w:left w:val="nil"/>
              <w:bottom w:val="nil"/>
              <w:right w:val="nil"/>
            </w:tcBorders>
            <w:shd w:val="clear" w:color="000000" w:fill="FFFFFF"/>
            <w:noWrap/>
            <w:hideMark/>
          </w:tcPr>
          <w:p w14:paraId="1CEC8EF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A35C0E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Black neighborhood</w:t>
            </w:r>
          </w:p>
        </w:tc>
        <w:tc>
          <w:tcPr>
            <w:tcW w:w="439" w:type="dxa"/>
            <w:tcBorders>
              <w:top w:val="nil"/>
              <w:left w:val="nil"/>
              <w:bottom w:val="nil"/>
              <w:right w:val="nil"/>
            </w:tcBorders>
            <w:shd w:val="clear" w:color="000000" w:fill="FFFFFF"/>
            <w:noWrap/>
            <w:hideMark/>
          </w:tcPr>
          <w:p w14:paraId="3B35F43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w:t>
            </w:r>
          </w:p>
        </w:tc>
        <w:tc>
          <w:tcPr>
            <w:tcW w:w="688" w:type="dxa"/>
            <w:tcBorders>
              <w:top w:val="nil"/>
              <w:left w:val="nil"/>
              <w:bottom w:val="nil"/>
              <w:right w:val="nil"/>
            </w:tcBorders>
            <w:shd w:val="clear" w:color="000000" w:fill="FFFFFF"/>
            <w:noWrap/>
            <w:hideMark/>
          </w:tcPr>
          <w:p w14:paraId="1FE7F3A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(0.4)</w:t>
            </w:r>
          </w:p>
        </w:tc>
        <w:tc>
          <w:tcPr>
            <w:tcW w:w="733" w:type="dxa"/>
            <w:tcBorders>
              <w:top w:val="nil"/>
              <w:left w:val="nil"/>
              <w:bottom w:val="nil"/>
              <w:right w:val="nil"/>
            </w:tcBorders>
            <w:shd w:val="clear" w:color="000000" w:fill="FFFFFF"/>
            <w:noWrap/>
            <w:hideMark/>
          </w:tcPr>
          <w:p w14:paraId="207BDEB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83</w:t>
            </w:r>
          </w:p>
        </w:tc>
        <w:tc>
          <w:tcPr>
            <w:tcW w:w="762" w:type="dxa"/>
            <w:tcBorders>
              <w:top w:val="nil"/>
              <w:left w:val="nil"/>
              <w:bottom w:val="nil"/>
              <w:right w:val="nil"/>
            </w:tcBorders>
            <w:shd w:val="clear" w:color="000000" w:fill="FFFFFF"/>
            <w:noWrap/>
            <w:hideMark/>
          </w:tcPr>
          <w:p w14:paraId="4B1B9BB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(0.5)</w:t>
            </w:r>
          </w:p>
        </w:tc>
        <w:tc>
          <w:tcPr>
            <w:tcW w:w="814" w:type="dxa"/>
            <w:tcBorders>
              <w:top w:val="nil"/>
              <w:left w:val="nil"/>
              <w:bottom w:val="nil"/>
              <w:right w:val="nil"/>
            </w:tcBorders>
            <w:shd w:val="clear" w:color="000000" w:fill="FFFFFF"/>
            <w:noWrap/>
            <w:hideMark/>
          </w:tcPr>
          <w:p w14:paraId="7D30E29D"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577290E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w:t>
            </w:r>
          </w:p>
        </w:tc>
        <w:tc>
          <w:tcPr>
            <w:tcW w:w="770" w:type="dxa"/>
            <w:tcBorders>
              <w:top w:val="nil"/>
              <w:left w:val="nil"/>
              <w:bottom w:val="nil"/>
              <w:right w:val="nil"/>
            </w:tcBorders>
            <w:shd w:val="clear" w:color="000000" w:fill="FFFFFF"/>
            <w:noWrap/>
            <w:hideMark/>
          </w:tcPr>
          <w:p w14:paraId="612DCF1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(0.9)</w:t>
            </w:r>
          </w:p>
        </w:tc>
        <w:tc>
          <w:tcPr>
            <w:tcW w:w="540" w:type="dxa"/>
            <w:tcBorders>
              <w:top w:val="nil"/>
              <w:left w:val="nil"/>
              <w:bottom w:val="nil"/>
              <w:right w:val="nil"/>
            </w:tcBorders>
            <w:shd w:val="clear" w:color="000000" w:fill="FFFFFF"/>
            <w:noWrap/>
            <w:hideMark/>
          </w:tcPr>
          <w:p w14:paraId="356EE27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w:t>
            </w:r>
          </w:p>
        </w:tc>
        <w:tc>
          <w:tcPr>
            <w:tcW w:w="770" w:type="dxa"/>
            <w:tcBorders>
              <w:top w:val="nil"/>
              <w:left w:val="nil"/>
              <w:bottom w:val="nil"/>
              <w:right w:val="nil"/>
            </w:tcBorders>
            <w:shd w:val="clear" w:color="000000" w:fill="FFFFFF"/>
            <w:noWrap/>
            <w:hideMark/>
          </w:tcPr>
          <w:p w14:paraId="79F3277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(0.9)</w:t>
            </w:r>
          </w:p>
        </w:tc>
        <w:tc>
          <w:tcPr>
            <w:tcW w:w="736" w:type="dxa"/>
            <w:tcBorders>
              <w:top w:val="nil"/>
              <w:left w:val="nil"/>
              <w:bottom w:val="nil"/>
              <w:right w:val="nil"/>
            </w:tcBorders>
            <w:shd w:val="clear" w:color="000000" w:fill="FFFFFF"/>
            <w:noWrap/>
            <w:hideMark/>
          </w:tcPr>
          <w:p w14:paraId="003E664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3B02B3BF" w14:textId="77777777" w:rsidTr="009A2121">
        <w:trPr>
          <w:trHeight w:val="240"/>
        </w:trPr>
        <w:tc>
          <w:tcPr>
            <w:tcW w:w="356" w:type="dxa"/>
            <w:tcBorders>
              <w:top w:val="nil"/>
              <w:left w:val="nil"/>
              <w:bottom w:val="nil"/>
              <w:right w:val="nil"/>
            </w:tcBorders>
            <w:shd w:val="clear" w:color="000000" w:fill="FFFFFF"/>
            <w:noWrap/>
            <w:hideMark/>
          </w:tcPr>
          <w:p w14:paraId="3277B82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5E19B7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Mixed neighborhood</w:t>
            </w:r>
          </w:p>
        </w:tc>
        <w:tc>
          <w:tcPr>
            <w:tcW w:w="439" w:type="dxa"/>
            <w:tcBorders>
              <w:top w:val="nil"/>
              <w:left w:val="nil"/>
              <w:bottom w:val="nil"/>
              <w:right w:val="nil"/>
            </w:tcBorders>
            <w:shd w:val="clear" w:color="000000" w:fill="FFFFFF"/>
            <w:noWrap/>
            <w:hideMark/>
          </w:tcPr>
          <w:p w14:paraId="2B17285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162</w:t>
            </w:r>
          </w:p>
        </w:tc>
        <w:tc>
          <w:tcPr>
            <w:tcW w:w="688" w:type="dxa"/>
            <w:tcBorders>
              <w:top w:val="nil"/>
              <w:left w:val="nil"/>
              <w:bottom w:val="nil"/>
              <w:right w:val="nil"/>
            </w:tcBorders>
            <w:shd w:val="clear" w:color="000000" w:fill="FFFFFF"/>
            <w:noWrap/>
            <w:hideMark/>
          </w:tcPr>
          <w:p w14:paraId="3274275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(17.0)</w:t>
            </w:r>
          </w:p>
        </w:tc>
        <w:tc>
          <w:tcPr>
            <w:tcW w:w="733" w:type="dxa"/>
            <w:tcBorders>
              <w:top w:val="nil"/>
              <w:left w:val="nil"/>
              <w:bottom w:val="nil"/>
              <w:right w:val="nil"/>
            </w:tcBorders>
            <w:shd w:val="clear" w:color="000000" w:fill="FFFFFF"/>
            <w:noWrap/>
            <w:hideMark/>
          </w:tcPr>
          <w:p w14:paraId="2D1701B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2060</w:t>
            </w:r>
          </w:p>
        </w:tc>
        <w:tc>
          <w:tcPr>
            <w:tcW w:w="762" w:type="dxa"/>
            <w:tcBorders>
              <w:top w:val="nil"/>
              <w:left w:val="nil"/>
              <w:bottom w:val="nil"/>
              <w:right w:val="nil"/>
            </w:tcBorders>
            <w:shd w:val="clear" w:color="000000" w:fill="FFFFFF"/>
            <w:noWrap/>
            <w:hideMark/>
          </w:tcPr>
          <w:p w14:paraId="66AA792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(11.8)</w:t>
            </w:r>
          </w:p>
        </w:tc>
        <w:tc>
          <w:tcPr>
            <w:tcW w:w="814" w:type="dxa"/>
            <w:tcBorders>
              <w:top w:val="nil"/>
              <w:left w:val="nil"/>
              <w:bottom w:val="nil"/>
              <w:right w:val="nil"/>
            </w:tcBorders>
            <w:shd w:val="clear" w:color="000000" w:fill="FFFFFF"/>
            <w:noWrap/>
            <w:hideMark/>
          </w:tcPr>
          <w:p w14:paraId="34F7215E"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07C7D63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310</w:t>
            </w:r>
          </w:p>
        </w:tc>
        <w:tc>
          <w:tcPr>
            <w:tcW w:w="770" w:type="dxa"/>
            <w:tcBorders>
              <w:top w:val="nil"/>
              <w:left w:val="nil"/>
              <w:bottom w:val="nil"/>
              <w:right w:val="nil"/>
            </w:tcBorders>
            <w:shd w:val="clear" w:color="000000" w:fill="FFFFFF"/>
            <w:noWrap/>
            <w:hideMark/>
          </w:tcPr>
          <w:p w14:paraId="18719EE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(33.4)</w:t>
            </w:r>
          </w:p>
        </w:tc>
        <w:tc>
          <w:tcPr>
            <w:tcW w:w="540" w:type="dxa"/>
            <w:tcBorders>
              <w:top w:val="nil"/>
              <w:left w:val="nil"/>
              <w:bottom w:val="nil"/>
              <w:right w:val="nil"/>
            </w:tcBorders>
            <w:shd w:val="clear" w:color="000000" w:fill="FFFFFF"/>
            <w:noWrap/>
            <w:hideMark/>
          </w:tcPr>
          <w:p w14:paraId="59E9A9C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472</w:t>
            </w:r>
          </w:p>
        </w:tc>
        <w:tc>
          <w:tcPr>
            <w:tcW w:w="770" w:type="dxa"/>
            <w:tcBorders>
              <w:top w:val="nil"/>
              <w:left w:val="nil"/>
              <w:bottom w:val="nil"/>
              <w:right w:val="nil"/>
            </w:tcBorders>
            <w:shd w:val="clear" w:color="000000" w:fill="FFFFFF"/>
            <w:noWrap/>
            <w:hideMark/>
          </w:tcPr>
          <w:p w14:paraId="742246E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(27.0)</w:t>
            </w:r>
          </w:p>
        </w:tc>
        <w:tc>
          <w:tcPr>
            <w:tcW w:w="736" w:type="dxa"/>
            <w:tcBorders>
              <w:top w:val="nil"/>
              <w:left w:val="nil"/>
              <w:bottom w:val="nil"/>
              <w:right w:val="nil"/>
            </w:tcBorders>
            <w:shd w:val="clear" w:color="000000" w:fill="FFFFFF"/>
            <w:noWrap/>
            <w:hideMark/>
          </w:tcPr>
          <w:p w14:paraId="6206D412"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449D3F1C" w14:textId="77777777" w:rsidTr="009A2121">
        <w:trPr>
          <w:trHeight w:val="240"/>
        </w:trPr>
        <w:tc>
          <w:tcPr>
            <w:tcW w:w="356" w:type="dxa"/>
            <w:tcBorders>
              <w:top w:val="nil"/>
              <w:left w:val="nil"/>
              <w:bottom w:val="nil"/>
              <w:right w:val="nil"/>
            </w:tcBorders>
            <w:shd w:val="clear" w:color="000000" w:fill="FFFFFF"/>
            <w:noWrap/>
            <w:hideMark/>
          </w:tcPr>
          <w:p w14:paraId="71B66DD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EA1C26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White neighborhood</w:t>
            </w:r>
          </w:p>
        </w:tc>
        <w:tc>
          <w:tcPr>
            <w:tcW w:w="439" w:type="dxa"/>
            <w:tcBorders>
              <w:top w:val="nil"/>
              <w:left w:val="nil"/>
              <w:bottom w:val="nil"/>
              <w:right w:val="nil"/>
            </w:tcBorders>
            <w:shd w:val="clear" w:color="000000" w:fill="FFFFFF"/>
            <w:noWrap/>
            <w:hideMark/>
          </w:tcPr>
          <w:p w14:paraId="1EACB54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679</w:t>
            </w:r>
          </w:p>
        </w:tc>
        <w:tc>
          <w:tcPr>
            <w:tcW w:w="688" w:type="dxa"/>
            <w:tcBorders>
              <w:top w:val="nil"/>
              <w:left w:val="nil"/>
              <w:bottom w:val="nil"/>
              <w:right w:val="nil"/>
            </w:tcBorders>
            <w:shd w:val="clear" w:color="000000" w:fill="FFFFFF"/>
            <w:noWrap/>
            <w:hideMark/>
          </w:tcPr>
          <w:p w14:paraId="62B32B0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(71.2)</w:t>
            </w:r>
          </w:p>
        </w:tc>
        <w:tc>
          <w:tcPr>
            <w:tcW w:w="733" w:type="dxa"/>
            <w:tcBorders>
              <w:top w:val="nil"/>
              <w:left w:val="nil"/>
              <w:bottom w:val="nil"/>
              <w:right w:val="nil"/>
            </w:tcBorders>
            <w:shd w:val="clear" w:color="000000" w:fill="FFFFFF"/>
            <w:noWrap/>
            <w:hideMark/>
          </w:tcPr>
          <w:p w14:paraId="0E85806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13699</w:t>
            </w:r>
          </w:p>
        </w:tc>
        <w:tc>
          <w:tcPr>
            <w:tcW w:w="762" w:type="dxa"/>
            <w:tcBorders>
              <w:top w:val="nil"/>
              <w:left w:val="nil"/>
              <w:bottom w:val="nil"/>
              <w:right w:val="nil"/>
            </w:tcBorders>
            <w:shd w:val="clear" w:color="000000" w:fill="FFFFFF"/>
            <w:noWrap/>
            <w:hideMark/>
          </w:tcPr>
          <w:p w14:paraId="329BF4B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(78.3)</w:t>
            </w:r>
          </w:p>
        </w:tc>
        <w:tc>
          <w:tcPr>
            <w:tcW w:w="814" w:type="dxa"/>
            <w:tcBorders>
              <w:top w:val="nil"/>
              <w:left w:val="nil"/>
              <w:bottom w:val="nil"/>
              <w:right w:val="nil"/>
            </w:tcBorders>
            <w:shd w:val="clear" w:color="000000" w:fill="FFFFFF"/>
            <w:noWrap/>
            <w:hideMark/>
          </w:tcPr>
          <w:p w14:paraId="2407EFA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5F81344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1336</w:t>
            </w:r>
          </w:p>
        </w:tc>
        <w:tc>
          <w:tcPr>
            <w:tcW w:w="770" w:type="dxa"/>
            <w:tcBorders>
              <w:top w:val="nil"/>
              <w:left w:val="nil"/>
              <w:bottom w:val="nil"/>
              <w:right w:val="nil"/>
            </w:tcBorders>
            <w:shd w:val="clear" w:color="000000" w:fill="FFFFFF"/>
            <w:noWrap/>
            <w:hideMark/>
          </w:tcPr>
          <w:p w14:paraId="7ABF6F7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(143.8)</w:t>
            </w:r>
          </w:p>
        </w:tc>
        <w:tc>
          <w:tcPr>
            <w:tcW w:w="540" w:type="dxa"/>
            <w:tcBorders>
              <w:top w:val="nil"/>
              <w:left w:val="nil"/>
              <w:bottom w:val="nil"/>
              <w:right w:val="nil"/>
            </w:tcBorders>
            <w:shd w:val="clear" w:color="000000" w:fill="FFFFFF"/>
            <w:noWrap/>
            <w:hideMark/>
          </w:tcPr>
          <w:p w14:paraId="1D251D9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2570</w:t>
            </w:r>
          </w:p>
        </w:tc>
        <w:tc>
          <w:tcPr>
            <w:tcW w:w="770" w:type="dxa"/>
            <w:tcBorders>
              <w:top w:val="nil"/>
              <w:left w:val="nil"/>
              <w:bottom w:val="nil"/>
              <w:right w:val="nil"/>
            </w:tcBorders>
            <w:shd w:val="clear" w:color="000000" w:fill="FFFFFF"/>
            <w:noWrap/>
            <w:hideMark/>
          </w:tcPr>
          <w:p w14:paraId="33ED54E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(147.3)</w:t>
            </w:r>
          </w:p>
        </w:tc>
        <w:tc>
          <w:tcPr>
            <w:tcW w:w="736" w:type="dxa"/>
            <w:tcBorders>
              <w:top w:val="nil"/>
              <w:left w:val="nil"/>
              <w:bottom w:val="nil"/>
              <w:right w:val="nil"/>
            </w:tcBorders>
            <w:shd w:val="clear" w:color="000000" w:fill="FFFFFF"/>
            <w:noWrap/>
            <w:hideMark/>
          </w:tcPr>
          <w:p w14:paraId="32DF8926"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6AB57C87" w14:textId="77777777" w:rsidTr="009A2121">
        <w:trPr>
          <w:trHeight w:val="240"/>
        </w:trPr>
        <w:tc>
          <w:tcPr>
            <w:tcW w:w="3512" w:type="dxa"/>
            <w:gridSpan w:val="2"/>
            <w:tcBorders>
              <w:top w:val="nil"/>
              <w:left w:val="nil"/>
              <w:bottom w:val="nil"/>
              <w:right w:val="nil"/>
            </w:tcBorders>
            <w:shd w:val="clear" w:color="000000" w:fill="FFFFFF"/>
            <w:noWrap/>
            <w:hideMark/>
          </w:tcPr>
          <w:p w14:paraId="5F8AF9E0"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Region, No. (%)</w:t>
            </w:r>
          </w:p>
        </w:tc>
        <w:tc>
          <w:tcPr>
            <w:tcW w:w="439" w:type="dxa"/>
            <w:tcBorders>
              <w:top w:val="nil"/>
              <w:left w:val="nil"/>
              <w:bottom w:val="nil"/>
              <w:right w:val="nil"/>
            </w:tcBorders>
            <w:shd w:val="clear" w:color="000000" w:fill="FFFFFF"/>
            <w:noWrap/>
            <w:hideMark/>
          </w:tcPr>
          <w:p w14:paraId="71A0E50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447E676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4050AC3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71EB616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noWrap/>
            <w:hideMark/>
          </w:tcPr>
          <w:p w14:paraId="6E0427FF"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0.29</w:t>
            </w:r>
          </w:p>
        </w:tc>
        <w:tc>
          <w:tcPr>
            <w:tcW w:w="540" w:type="dxa"/>
            <w:tcBorders>
              <w:top w:val="nil"/>
              <w:left w:val="nil"/>
              <w:bottom w:val="nil"/>
              <w:right w:val="nil"/>
            </w:tcBorders>
            <w:shd w:val="clear" w:color="000000" w:fill="FFFFFF"/>
            <w:noWrap/>
            <w:hideMark/>
          </w:tcPr>
          <w:p w14:paraId="307F466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1DBD363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7ED4959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3C7ADC7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noWrap/>
            <w:hideMark/>
          </w:tcPr>
          <w:p w14:paraId="50691773"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0.10</w:t>
            </w:r>
          </w:p>
        </w:tc>
      </w:tr>
      <w:tr w:rsidR="009A2121" w:rsidRPr="009A2121" w14:paraId="1659097F" w14:textId="77777777" w:rsidTr="009A2121">
        <w:trPr>
          <w:trHeight w:val="240"/>
        </w:trPr>
        <w:tc>
          <w:tcPr>
            <w:tcW w:w="356" w:type="dxa"/>
            <w:tcBorders>
              <w:top w:val="nil"/>
              <w:left w:val="nil"/>
              <w:bottom w:val="nil"/>
              <w:right w:val="nil"/>
            </w:tcBorders>
            <w:shd w:val="clear" w:color="000000" w:fill="FFFFFF"/>
            <w:noWrap/>
            <w:hideMark/>
          </w:tcPr>
          <w:p w14:paraId="4F773A8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C0C638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West</w:t>
            </w:r>
          </w:p>
        </w:tc>
        <w:tc>
          <w:tcPr>
            <w:tcW w:w="439" w:type="dxa"/>
            <w:tcBorders>
              <w:top w:val="nil"/>
              <w:left w:val="nil"/>
              <w:bottom w:val="nil"/>
              <w:right w:val="nil"/>
            </w:tcBorders>
            <w:shd w:val="clear" w:color="000000" w:fill="FFFFFF"/>
            <w:noWrap/>
            <w:hideMark/>
          </w:tcPr>
          <w:p w14:paraId="7253AEE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221</w:t>
            </w:r>
          </w:p>
        </w:tc>
        <w:tc>
          <w:tcPr>
            <w:tcW w:w="688" w:type="dxa"/>
            <w:tcBorders>
              <w:top w:val="nil"/>
              <w:left w:val="nil"/>
              <w:bottom w:val="nil"/>
              <w:right w:val="nil"/>
            </w:tcBorders>
            <w:shd w:val="clear" w:color="000000" w:fill="FFFFFF"/>
            <w:noWrap/>
            <w:hideMark/>
          </w:tcPr>
          <w:p w14:paraId="0F6A955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(23.2)</w:t>
            </w:r>
          </w:p>
        </w:tc>
        <w:tc>
          <w:tcPr>
            <w:tcW w:w="733" w:type="dxa"/>
            <w:tcBorders>
              <w:top w:val="nil"/>
              <w:left w:val="nil"/>
              <w:bottom w:val="nil"/>
              <w:right w:val="nil"/>
            </w:tcBorders>
            <w:shd w:val="clear" w:color="000000" w:fill="FFFFFF"/>
            <w:noWrap/>
            <w:hideMark/>
          </w:tcPr>
          <w:p w14:paraId="06F0CD8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2453</w:t>
            </w:r>
          </w:p>
        </w:tc>
        <w:tc>
          <w:tcPr>
            <w:tcW w:w="762" w:type="dxa"/>
            <w:tcBorders>
              <w:top w:val="nil"/>
              <w:left w:val="nil"/>
              <w:bottom w:val="nil"/>
              <w:right w:val="nil"/>
            </w:tcBorders>
            <w:shd w:val="clear" w:color="000000" w:fill="FFFFFF"/>
            <w:noWrap/>
            <w:hideMark/>
          </w:tcPr>
          <w:p w14:paraId="5F0A7FF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(14.0)</w:t>
            </w:r>
          </w:p>
        </w:tc>
        <w:tc>
          <w:tcPr>
            <w:tcW w:w="814" w:type="dxa"/>
            <w:tcBorders>
              <w:top w:val="nil"/>
              <w:left w:val="nil"/>
              <w:bottom w:val="nil"/>
              <w:right w:val="nil"/>
            </w:tcBorders>
            <w:shd w:val="clear" w:color="000000" w:fill="FFFFFF"/>
            <w:noWrap/>
            <w:hideMark/>
          </w:tcPr>
          <w:p w14:paraId="30DC66EC"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1265420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414</w:t>
            </w:r>
          </w:p>
        </w:tc>
        <w:tc>
          <w:tcPr>
            <w:tcW w:w="770" w:type="dxa"/>
            <w:tcBorders>
              <w:top w:val="nil"/>
              <w:left w:val="nil"/>
              <w:bottom w:val="nil"/>
              <w:right w:val="nil"/>
            </w:tcBorders>
            <w:shd w:val="clear" w:color="000000" w:fill="FFFFFF"/>
            <w:noWrap/>
            <w:hideMark/>
          </w:tcPr>
          <w:p w14:paraId="51A3D02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(44.6)</w:t>
            </w:r>
          </w:p>
        </w:tc>
        <w:tc>
          <w:tcPr>
            <w:tcW w:w="540" w:type="dxa"/>
            <w:tcBorders>
              <w:top w:val="nil"/>
              <w:left w:val="nil"/>
              <w:bottom w:val="nil"/>
              <w:right w:val="nil"/>
            </w:tcBorders>
            <w:shd w:val="clear" w:color="000000" w:fill="FFFFFF"/>
            <w:noWrap/>
            <w:hideMark/>
          </w:tcPr>
          <w:p w14:paraId="1475436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764</w:t>
            </w:r>
          </w:p>
        </w:tc>
        <w:tc>
          <w:tcPr>
            <w:tcW w:w="770" w:type="dxa"/>
            <w:tcBorders>
              <w:top w:val="nil"/>
              <w:left w:val="nil"/>
              <w:bottom w:val="nil"/>
              <w:right w:val="nil"/>
            </w:tcBorders>
            <w:shd w:val="clear" w:color="000000" w:fill="FFFFFF"/>
            <w:noWrap/>
            <w:hideMark/>
          </w:tcPr>
          <w:p w14:paraId="71A8B5F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(43.8)</w:t>
            </w:r>
          </w:p>
        </w:tc>
        <w:tc>
          <w:tcPr>
            <w:tcW w:w="736" w:type="dxa"/>
            <w:tcBorders>
              <w:top w:val="nil"/>
              <w:left w:val="nil"/>
              <w:bottom w:val="nil"/>
              <w:right w:val="nil"/>
            </w:tcBorders>
            <w:shd w:val="clear" w:color="000000" w:fill="FFFFFF"/>
            <w:noWrap/>
            <w:hideMark/>
          </w:tcPr>
          <w:p w14:paraId="7058B65D"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5C25D42A" w14:textId="77777777" w:rsidTr="009A2121">
        <w:trPr>
          <w:trHeight w:val="240"/>
        </w:trPr>
        <w:tc>
          <w:tcPr>
            <w:tcW w:w="356" w:type="dxa"/>
            <w:tcBorders>
              <w:top w:val="nil"/>
              <w:left w:val="nil"/>
              <w:bottom w:val="nil"/>
              <w:right w:val="nil"/>
            </w:tcBorders>
            <w:shd w:val="clear" w:color="000000" w:fill="FFFFFF"/>
            <w:noWrap/>
            <w:hideMark/>
          </w:tcPr>
          <w:p w14:paraId="70CDFC6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9595FF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Midwest</w:t>
            </w:r>
          </w:p>
        </w:tc>
        <w:tc>
          <w:tcPr>
            <w:tcW w:w="439" w:type="dxa"/>
            <w:tcBorders>
              <w:top w:val="nil"/>
              <w:left w:val="nil"/>
              <w:bottom w:val="nil"/>
              <w:right w:val="nil"/>
            </w:tcBorders>
            <w:shd w:val="clear" w:color="000000" w:fill="FFFFFF"/>
            <w:noWrap/>
            <w:hideMark/>
          </w:tcPr>
          <w:p w14:paraId="64C2C76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293</w:t>
            </w:r>
          </w:p>
        </w:tc>
        <w:tc>
          <w:tcPr>
            <w:tcW w:w="688" w:type="dxa"/>
            <w:tcBorders>
              <w:top w:val="nil"/>
              <w:left w:val="nil"/>
              <w:bottom w:val="nil"/>
              <w:right w:val="nil"/>
            </w:tcBorders>
            <w:shd w:val="clear" w:color="000000" w:fill="FFFFFF"/>
            <w:noWrap/>
            <w:hideMark/>
          </w:tcPr>
          <w:p w14:paraId="1F691B0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(30.7)</w:t>
            </w:r>
          </w:p>
        </w:tc>
        <w:tc>
          <w:tcPr>
            <w:tcW w:w="733" w:type="dxa"/>
            <w:tcBorders>
              <w:top w:val="nil"/>
              <w:left w:val="nil"/>
              <w:bottom w:val="nil"/>
              <w:right w:val="nil"/>
            </w:tcBorders>
            <w:shd w:val="clear" w:color="000000" w:fill="FFFFFF"/>
            <w:noWrap/>
            <w:hideMark/>
          </w:tcPr>
          <w:p w14:paraId="1E3FB0F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7162</w:t>
            </w:r>
          </w:p>
        </w:tc>
        <w:tc>
          <w:tcPr>
            <w:tcW w:w="762" w:type="dxa"/>
            <w:tcBorders>
              <w:top w:val="nil"/>
              <w:left w:val="nil"/>
              <w:bottom w:val="nil"/>
              <w:right w:val="nil"/>
            </w:tcBorders>
            <w:shd w:val="clear" w:color="000000" w:fill="FFFFFF"/>
            <w:noWrap/>
            <w:hideMark/>
          </w:tcPr>
          <w:p w14:paraId="0C75D00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(41.0)</w:t>
            </w:r>
          </w:p>
        </w:tc>
        <w:tc>
          <w:tcPr>
            <w:tcW w:w="814" w:type="dxa"/>
            <w:tcBorders>
              <w:top w:val="nil"/>
              <w:left w:val="nil"/>
              <w:bottom w:val="nil"/>
              <w:right w:val="nil"/>
            </w:tcBorders>
            <w:shd w:val="clear" w:color="000000" w:fill="FFFFFF"/>
            <w:noWrap/>
            <w:hideMark/>
          </w:tcPr>
          <w:p w14:paraId="1EB94DAB"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45E55F6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586</w:t>
            </w:r>
          </w:p>
        </w:tc>
        <w:tc>
          <w:tcPr>
            <w:tcW w:w="770" w:type="dxa"/>
            <w:tcBorders>
              <w:top w:val="nil"/>
              <w:left w:val="nil"/>
              <w:bottom w:val="nil"/>
              <w:right w:val="nil"/>
            </w:tcBorders>
            <w:shd w:val="clear" w:color="000000" w:fill="FFFFFF"/>
            <w:noWrap/>
            <w:hideMark/>
          </w:tcPr>
          <w:p w14:paraId="0B89DAC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(63.1)</w:t>
            </w:r>
          </w:p>
        </w:tc>
        <w:tc>
          <w:tcPr>
            <w:tcW w:w="540" w:type="dxa"/>
            <w:tcBorders>
              <w:top w:val="nil"/>
              <w:left w:val="nil"/>
              <w:bottom w:val="nil"/>
              <w:right w:val="nil"/>
            </w:tcBorders>
            <w:shd w:val="clear" w:color="000000" w:fill="FFFFFF"/>
            <w:noWrap/>
            <w:hideMark/>
          </w:tcPr>
          <w:p w14:paraId="429B788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1194</w:t>
            </w:r>
          </w:p>
        </w:tc>
        <w:tc>
          <w:tcPr>
            <w:tcW w:w="770" w:type="dxa"/>
            <w:tcBorders>
              <w:top w:val="nil"/>
              <w:left w:val="nil"/>
              <w:bottom w:val="nil"/>
              <w:right w:val="nil"/>
            </w:tcBorders>
            <w:shd w:val="clear" w:color="000000" w:fill="FFFFFF"/>
            <w:noWrap/>
            <w:hideMark/>
          </w:tcPr>
          <w:p w14:paraId="616CE57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(68.4)</w:t>
            </w:r>
          </w:p>
        </w:tc>
        <w:tc>
          <w:tcPr>
            <w:tcW w:w="736" w:type="dxa"/>
            <w:tcBorders>
              <w:top w:val="nil"/>
              <w:left w:val="nil"/>
              <w:bottom w:val="nil"/>
              <w:right w:val="nil"/>
            </w:tcBorders>
            <w:shd w:val="clear" w:color="000000" w:fill="FFFFFF"/>
            <w:noWrap/>
            <w:hideMark/>
          </w:tcPr>
          <w:p w14:paraId="29AC903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6F7ACE67" w14:textId="77777777" w:rsidTr="009A2121">
        <w:trPr>
          <w:trHeight w:val="240"/>
        </w:trPr>
        <w:tc>
          <w:tcPr>
            <w:tcW w:w="356" w:type="dxa"/>
            <w:tcBorders>
              <w:top w:val="nil"/>
              <w:left w:val="nil"/>
              <w:bottom w:val="nil"/>
              <w:right w:val="nil"/>
            </w:tcBorders>
            <w:shd w:val="clear" w:color="000000" w:fill="FFFFFF"/>
            <w:noWrap/>
            <w:hideMark/>
          </w:tcPr>
          <w:p w14:paraId="324939F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E4138A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South</w:t>
            </w:r>
          </w:p>
        </w:tc>
        <w:tc>
          <w:tcPr>
            <w:tcW w:w="439" w:type="dxa"/>
            <w:tcBorders>
              <w:top w:val="nil"/>
              <w:left w:val="nil"/>
              <w:bottom w:val="nil"/>
              <w:right w:val="nil"/>
            </w:tcBorders>
            <w:shd w:val="clear" w:color="000000" w:fill="FFFFFF"/>
            <w:noWrap/>
            <w:hideMark/>
          </w:tcPr>
          <w:p w14:paraId="672757E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330</w:t>
            </w:r>
          </w:p>
        </w:tc>
        <w:tc>
          <w:tcPr>
            <w:tcW w:w="688" w:type="dxa"/>
            <w:tcBorders>
              <w:top w:val="nil"/>
              <w:left w:val="nil"/>
              <w:bottom w:val="nil"/>
              <w:right w:val="nil"/>
            </w:tcBorders>
            <w:shd w:val="clear" w:color="000000" w:fill="FFFFFF"/>
            <w:noWrap/>
            <w:hideMark/>
          </w:tcPr>
          <w:p w14:paraId="6B640EB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(34.6)</w:t>
            </w:r>
          </w:p>
        </w:tc>
        <w:tc>
          <w:tcPr>
            <w:tcW w:w="733" w:type="dxa"/>
            <w:tcBorders>
              <w:top w:val="nil"/>
              <w:left w:val="nil"/>
              <w:bottom w:val="nil"/>
              <w:right w:val="nil"/>
            </w:tcBorders>
            <w:shd w:val="clear" w:color="000000" w:fill="FFFFFF"/>
            <w:noWrap/>
            <w:hideMark/>
          </w:tcPr>
          <w:p w14:paraId="7895352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6476</w:t>
            </w:r>
          </w:p>
        </w:tc>
        <w:tc>
          <w:tcPr>
            <w:tcW w:w="762" w:type="dxa"/>
            <w:tcBorders>
              <w:top w:val="nil"/>
              <w:left w:val="nil"/>
              <w:bottom w:val="nil"/>
              <w:right w:val="nil"/>
            </w:tcBorders>
            <w:shd w:val="clear" w:color="000000" w:fill="FFFFFF"/>
            <w:noWrap/>
            <w:hideMark/>
          </w:tcPr>
          <w:p w14:paraId="0F242B1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(37.0)</w:t>
            </w:r>
          </w:p>
        </w:tc>
        <w:tc>
          <w:tcPr>
            <w:tcW w:w="814" w:type="dxa"/>
            <w:tcBorders>
              <w:top w:val="nil"/>
              <w:left w:val="nil"/>
              <w:bottom w:val="nil"/>
              <w:right w:val="nil"/>
            </w:tcBorders>
            <w:shd w:val="clear" w:color="000000" w:fill="FFFFFF"/>
            <w:noWrap/>
            <w:hideMark/>
          </w:tcPr>
          <w:p w14:paraId="79963E83"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13E91F0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650</w:t>
            </w:r>
          </w:p>
        </w:tc>
        <w:tc>
          <w:tcPr>
            <w:tcW w:w="770" w:type="dxa"/>
            <w:tcBorders>
              <w:top w:val="nil"/>
              <w:left w:val="nil"/>
              <w:bottom w:val="nil"/>
              <w:right w:val="nil"/>
            </w:tcBorders>
            <w:shd w:val="clear" w:color="000000" w:fill="FFFFFF"/>
            <w:noWrap/>
            <w:hideMark/>
          </w:tcPr>
          <w:p w14:paraId="715817B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(70.0)</w:t>
            </w:r>
          </w:p>
        </w:tc>
        <w:tc>
          <w:tcPr>
            <w:tcW w:w="540" w:type="dxa"/>
            <w:tcBorders>
              <w:top w:val="nil"/>
              <w:left w:val="nil"/>
              <w:bottom w:val="nil"/>
              <w:right w:val="nil"/>
            </w:tcBorders>
            <w:shd w:val="clear" w:color="000000" w:fill="FFFFFF"/>
            <w:noWrap/>
            <w:hideMark/>
          </w:tcPr>
          <w:p w14:paraId="5B9204C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1188</w:t>
            </w:r>
          </w:p>
        </w:tc>
        <w:tc>
          <w:tcPr>
            <w:tcW w:w="770" w:type="dxa"/>
            <w:tcBorders>
              <w:top w:val="nil"/>
              <w:left w:val="nil"/>
              <w:bottom w:val="nil"/>
              <w:right w:val="nil"/>
            </w:tcBorders>
            <w:shd w:val="clear" w:color="000000" w:fill="FFFFFF"/>
            <w:noWrap/>
            <w:hideMark/>
          </w:tcPr>
          <w:p w14:paraId="0BCEC6C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(68.1)</w:t>
            </w:r>
          </w:p>
        </w:tc>
        <w:tc>
          <w:tcPr>
            <w:tcW w:w="736" w:type="dxa"/>
            <w:tcBorders>
              <w:top w:val="nil"/>
              <w:left w:val="nil"/>
              <w:bottom w:val="nil"/>
              <w:right w:val="nil"/>
            </w:tcBorders>
            <w:shd w:val="clear" w:color="000000" w:fill="FFFFFF"/>
            <w:noWrap/>
            <w:hideMark/>
          </w:tcPr>
          <w:p w14:paraId="16AC6A68"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24D6BADC" w14:textId="77777777" w:rsidTr="009A2121">
        <w:trPr>
          <w:trHeight w:val="240"/>
        </w:trPr>
        <w:tc>
          <w:tcPr>
            <w:tcW w:w="356" w:type="dxa"/>
            <w:tcBorders>
              <w:top w:val="nil"/>
              <w:left w:val="nil"/>
              <w:bottom w:val="nil"/>
              <w:right w:val="nil"/>
            </w:tcBorders>
            <w:shd w:val="clear" w:color="000000" w:fill="FFFFFF"/>
            <w:noWrap/>
            <w:hideMark/>
          </w:tcPr>
          <w:p w14:paraId="554D2F3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0D193D1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Northeast</w:t>
            </w:r>
          </w:p>
        </w:tc>
        <w:tc>
          <w:tcPr>
            <w:tcW w:w="439" w:type="dxa"/>
            <w:tcBorders>
              <w:top w:val="nil"/>
              <w:left w:val="nil"/>
              <w:bottom w:val="nil"/>
              <w:right w:val="nil"/>
            </w:tcBorders>
            <w:shd w:val="clear" w:color="000000" w:fill="FFFFFF"/>
            <w:noWrap/>
            <w:hideMark/>
          </w:tcPr>
          <w:p w14:paraId="1C49EC6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109</w:t>
            </w:r>
          </w:p>
        </w:tc>
        <w:tc>
          <w:tcPr>
            <w:tcW w:w="688" w:type="dxa"/>
            <w:tcBorders>
              <w:top w:val="nil"/>
              <w:left w:val="nil"/>
              <w:bottom w:val="nil"/>
              <w:right w:val="nil"/>
            </w:tcBorders>
            <w:shd w:val="clear" w:color="000000" w:fill="FFFFFF"/>
            <w:noWrap/>
            <w:hideMark/>
          </w:tcPr>
          <w:p w14:paraId="5AFF231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(11.4)</w:t>
            </w:r>
          </w:p>
        </w:tc>
        <w:tc>
          <w:tcPr>
            <w:tcW w:w="733" w:type="dxa"/>
            <w:tcBorders>
              <w:top w:val="nil"/>
              <w:left w:val="nil"/>
              <w:bottom w:val="nil"/>
              <w:right w:val="nil"/>
            </w:tcBorders>
            <w:shd w:val="clear" w:color="000000" w:fill="FFFFFF"/>
            <w:noWrap/>
            <w:hideMark/>
          </w:tcPr>
          <w:p w14:paraId="08F1932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1396</w:t>
            </w:r>
          </w:p>
        </w:tc>
        <w:tc>
          <w:tcPr>
            <w:tcW w:w="762" w:type="dxa"/>
            <w:tcBorders>
              <w:top w:val="nil"/>
              <w:left w:val="nil"/>
              <w:bottom w:val="nil"/>
              <w:right w:val="nil"/>
            </w:tcBorders>
            <w:shd w:val="clear" w:color="000000" w:fill="FFFFFF"/>
            <w:noWrap/>
            <w:hideMark/>
          </w:tcPr>
          <w:p w14:paraId="36A8082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(8.0)</w:t>
            </w:r>
          </w:p>
        </w:tc>
        <w:tc>
          <w:tcPr>
            <w:tcW w:w="814" w:type="dxa"/>
            <w:tcBorders>
              <w:top w:val="nil"/>
              <w:left w:val="nil"/>
              <w:bottom w:val="nil"/>
              <w:right w:val="nil"/>
            </w:tcBorders>
            <w:shd w:val="clear" w:color="000000" w:fill="FFFFFF"/>
            <w:noWrap/>
            <w:hideMark/>
          </w:tcPr>
          <w:p w14:paraId="674E9697"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4CF3FC7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208</w:t>
            </w:r>
          </w:p>
        </w:tc>
        <w:tc>
          <w:tcPr>
            <w:tcW w:w="770" w:type="dxa"/>
            <w:tcBorders>
              <w:top w:val="nil"/>
              <w:left w:val="nil"/>
              <w:bottom w:val="nil"/>
              <w:right w:val="nil"/>
            </w:tcBorders>
            <w:shd w:val="clear" w:color="000000" w:fill="FFFFFF"/>
            <w:noWrap/>
            <w:hideMark/>
          </w:tcPr>
          <w:p w14:paraId="47284FD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(22.4)</w:t>
            </w:r>
          </w:p>
        </w:tc>
        <w:tc>
          <w:tcPr>
            <w:tcW w:w="540" w:type="dxa"/>
            <w:tcBorders>
              <w:top w:val="nil"/>
              <w:left w:val="nil"/>
              <w:bottom w:val="nil"/>
              <w:right w:val="nil"/>
            </w:tcBorders>
            <w:shd w:val="clear" w:color="000000" w:fill="FFFFFF"/>
            <w:noWrap/>
            <w:hideMark/>
          </w:tcPr>
          <w:p w14:paraId="708CE92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344</w:t>
            </w:r>
          </w:p>
        </w:tc>
        <w:tc>
          <w:tcPr>
            <w:tcW w:w="770" w:type="dxa"/>
            <w:tcBorders>
              <w:top w:val="nil"/>
              <w:left w:val="nil"/>
              <w:bottom w:val="nil"/>
              <w:right w:val="nil"/>
            </w:tcBorders>
            <w:shd w:val="clear" w:color="000000" w:fill="FFFFFF"/>
            <w:noWrap/>
            <w:hideMark/>
          </w:tcPr>
          <w:p w14:paraId="68D9D13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(19.7)</w:t>
            </w:r>
          </w:p>
        </w:tc>
        <w:tc>
          <w:tcPr>
            <w:tcW w:w="736" w:type="dxa"/>
            <w:tcBorders>
              <w:top w:val="nil"/>
              <w:left w:val="nil"/>
              <w:bottom w:val="nil"/>
              <w:right w:val="nil"/>
            </w:tcBorders>
            <w:shd w:val="clear" w:color="000000" w:fill="FFFFFF"/>
            <w:noWrap/>
            <w:hideMark/>
          </w:tcPr>
          <w:p w14:paraId="073C069F"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27AC5C9C" w14:textId="77777777" w:rsidTr="009A2121">
        <w:trPr>
          <w:trHeight w:val="240"/>
        </w:trPr>
        <w:tc>
          <w:tcPr>
            <w:tcW w:w="3512" w:type="dxa"/>
            <w:gridSpan w:val="2"/>
            <w:tcBorders>
              <w:top w:val="nil"/>
              <w:left w:val="nil"/>
              <w:bottom w:val="nil"/>
              <w:right w:val="nil"/>
            </w:tcBorders>
            <w:shd w:val="clear" w:color="000000" w:fill="FFFFFF"/>
            <w:noWrap/>
            <w:hideMark/>
          </w:tcPr>
          <w:p w14:paraId="5CCB4D22"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ACG score, Mean (SD)</w:t>
            </w:r>
            <w:r w:rsidRPr="009A2121">
              <w:rPr>
                <w:rFonts w:ascii="Calibri" w:eastAsia="Times New Roman" w:hAnsi="Calibri" w:cs="Times New Roman"/>
                <w:b/>
                <w:bCs/>
                <w:color w:val="000000"/>
                <w:sz w:val="18"/>
                <w:szCs w:val="18"/>
                <w:vertAlign w:val="superscript"/>
              </w:rPr>
              <w:t xml:space="preserve"> **</w:t>
            </w:r>
          </w:p>
        </w:tc>
        <w:tc>
          <w:tcPr>
            <w:tcW w:w="439" w:type="dxa"/>
            <w:tcBorders>
              <w:top w:val="nil"/>
              <w:left w:val="nil"/>
              <w:bottom w:val="nil"/>
              <w:right w:val="nil"/>
            </w:tcBorders>
            <w:shd w:val="clear" w:color="000000" w:fill="FFFFFF"/>
            <w:noWrap/>
            <w:hideMark/>
          </w:tcPr>
          <w:p w14:paraId="7E5AE89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w:t>
            </w:r>
          </w:p>
        </w:tc>
        <w:tc>
          <w:tcPr>
            <w:tcW w:w="688" w:type="dxa"/>
            <w:tcBorders>
              <w:top w:val="nil"/>
              <w:left w:val="nil"/>
              <w:bottom w:val="nil"/>
              <w:right w:val="nil"/>
            </w:tcBorders>
            <w:shd w:val="clear" w:color="000000" w:fill="FFFFFF"/>
            <w:noWrap/>
            <w:hideMark/>
          </w:tcPr>
          <w:p w14:paraId="0098ED0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(3.0)</w:t>
            </w:r>
          </w:p>
        </w:tc>
        <w:tc>
          <w:tcPr>
            <w:tcW w:w="733" w:type="dxa"/>
            <w:tcBorders>
              <w:top w:val="nil"/>
              <w:left w:val="nil"/>
              <w:bottom w:val="nil"/>
              <w:right w:val="nil"/>
            </w:tcBorders>
            <w:shd w:val="clear" w:color="000000" w:fill="FFFFFF"/>
            <w:noWrap/>
            <w:hideMark/>
          </w:tcPr>
          <w:p w14:paraId="05C8E94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w:t>
            </w:r>
          </w:p>
        </w:tc>
        <w:tc>
          <w:tcPr>
            <w:tcW w:w="762" w:type="dxa"/>
            <w:tcBorders>
              <w:top w:val="nil"/>
              <w:left w:val="nil"/>
              <w:bottom w:val="nil"/>
              <w:right w:val="nil"/>
            </w:tcBorders>
            <w:shd w:val="clear" w:color="000000" w:fill="FFFFFF"/>
            <w:noWrap/>
            <w:hideMark/>
          </w:tcPr>
          <w:p w14:paraId="07A9045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(2.9)</w:t>
            </w:r>
          </w:p>
        </w:tc>
        <w:tc>
          <w:tcPr>
            <w:tcW w:w="814" w:type="dxa"/>
            <w:tcBorders>
              <w:top w:val="nil"/>
              <w:left w:val="nil"/>
              <w:bottom w:val="nil"/>
              <w:right w:val="nil"/>
            </w:tcBorders>
            <w:shd w:val="clear" w:color="000000" w:fill="FFFFFF"/>
            <w:noWrap/>
            <w:hideMark/>
          </w:tcPr>
          <w:p w14:paraId="7A180C2C"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0.02</w:t>
            </w:r>
          </w:p>
        </w:tc>
        <w:tc>
          <w:tcPr>
            <w:tcW w:w="540" w:type="dxa"/>
            <w:tcBorders>
              <w:top w:val="nil"/>
              <w:left w:val="nil"/>
              <w:bottom w:val="nil"/>
              <w:right w:val="nil"/>
            </w:tcBorders>
            <w:shd w:val="clear" w:color="000000" w:fill="FFFFFF"/>
            <w:noWrap/>
            <w:hideMark/>
          </w:tcPr>
          <w:p w14:paraId="0797E60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4.0</w:t>
            </w:r>
          </w:p>
        </w:tc>
        <w:tc>
          <w:tcPr>
            <w:tcW w:w="770" w:type="dxa"/>
            <w:tcBorders>
              <w:top w:val="nil"/>
              <w:left w:val="nil"/>
              <w:bottom w:val="nil"/>
              <w:right w:val="nil"/>
            </w:tcBorders>
            <w:shd w:val="clear" w:color="000000" w:fill="FFFFFF"/>
            <w:noWrap/>
            <w:hideMark/>
          </w:tcPr>
          <w:p w14:paraId="695FA7A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(6.1)</w:t>
            </w:r>
          </w:p>
        </w:tc>
        <w:tc>
          <w:tcPr>
            <w:tcW w:w="540" w:type="dxa"/>
            <w:tcBorders>
              <w:top w:val="nil"/>
              <w:left w:val="nil"/>
              <w:bottom w:val="nil"/>
              <w:right w:val="nil"/>
            </w:tcBorders>
            <w:shd w:val="clear" w:color="000000" w:fill="FFFFFF"/>
            <w:noWrap/>
            <w:hideMark/>
          </w:tcPr>
          <w:p w14:paraId="15B0869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4.1</w:t>
            </w:r>
          </w:p>
        </w:tc>
        <w:tc>
          <w:tcPr>
            <w:tcW w:w="770" w:type="dxa"/>
            <w:tcBorders>
              <w:top w:val="nil"/>
              <w:left w:val="nil"/>
              <w:bottom w:val="nil"/>
              <w:right w:val="nil"/>
            </w:tcBorders>
            <w:shd w:val="clear" w:color="000000" w:fill="FFFFFF"/>
            <w:noWrap/>
            <w:hideMark/>
          </w:tcPr>
          <w:p w14:paraId="30283A8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(6.1)</w:t>
            </w:r>
          </w:p>
        </w:tc>
        <w:tc>
          <w:tcPr>
            <w:tcW w:w="736" w:type="dxa"/>
            <w:tcBorders>
              <w:top w:val="nil"/>
              <w:left w:val="nil"/>
              <w:bottom w:val="nil"/>
              <w:right w:val="nil"/>
            </w:tcBorders>
            <w:shd w:val="clear" w:color="000000" w:fill="FFFFFF"/>
            <w:noWrap/>
            <w:hideMark/>
          </w:tcPr>
          <w:p w14:paraId="125A278F"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-0.02</w:t>
            </w:r>
          </w:p>
        </w:tc>
      </w:tr>
      <w:tr w:rsidR="009A2121" w:rsidRPr="009A2121" w14:paraId="04518BA6" w14:textId="77777777" w:rsidTr="009A2121">
        <w:trPr>
          <w:trHeight w:val="240"/>
        </w:trPr>
        <w:tc>
          <w:tcPr>
            <w:tcW w:w="3512" w:type="dxa"/>
            <w:gridSpan w:val="2"/>
            <w:tcBorders>
              <w:top w:val="nil"/>
              <w:left w:val="nil"/>
              <w:bottom w:val="nil"/>
              <w:right w:val="nil"/>
            </w:tcBorders>
            <w:shd w:val="clear" w:color="000000" w:fill="FFFFFF"/>
            <w:noWrap/>
            <w:hideMark/>
          </w:tcPr>
          <w:p w14:paraId="1A69A756"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ACG score ≥ 3.0, No. (%)</w:t>
            </w:r>
          </w:p>
        </w:tc>
        <w:tc>
          <w:tcPr>
            <w:tcW w:w="439" w:type="dxa"/>
            <w:tcBorders>
              <w:top w:val="nil"/>
              <w:left w:val="nil"/>
              <w:bottom w:val="nil"/>
              <w:right w:val="nil"/>
            </w:tcBorders>
            <w:shd w:val="clear" w:color="000000" w:fill="FFFFFF"/>
            <w:noWrap/>
            <w:hideMark/>
          </w:tcPr>
          <w:p w14:paraId="62455FD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192</w:t>
            </w:r>
          </w:p>
        </w:tc>
        <w:tc>
          <w:tcPr>
            <w:tcW w:w="688" w:type="dxa"/>
            <w:tcBorders>
              <w:top w:val="nil"/>
              <w:left w:val="nil"/>
              <w:bottom w:val="nil"/>
              <w:right w:val="nil"/>
            </w:tcBorders>
            <w:shd w:val="clear" w:color="000000" w:fill="FFFFFF"/>
            <w:noWrap/>
            <w:hideMark/>
          </w:tcPr>
          <w:p w14:paraId="1A7A8D8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(20.1)</w:t>
            </w:r>
          </w:p>
        </w:tc>
        <w:tc>
          <w:tcPr>
            <w:tcW w:w="733" w:type="dxa"/>
            <w:tcBorders>
              <w:top w:val="nil"/>
              <w:left w:val="nil"/>
              <w:bottom w:val="nil"/>
              <w:right w:val="nil"/>
            </w:tcBorders>
            <w:shd w:val="clear" w:color="000000" w:fill="FFFFFF"/>
            <w:noWrap/>
            <w:hideMark/>
          </w:tcPr>
          <w:p w14:paraId="6A94466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3271</w:t>
            </w:r>
          </w:p>
        </w:tc>
        <w:tc>
          <w:tcPr>
            <w:tcW w:w="762" w:type="dxa"/>
            <w:tcBorders>
              <w:top w:val="nil"/>
              <w:left w:val="nil"/>
              <w:bottom w:val="nil"/>
              <w:right w:val="nil"/>
            </w:tcBorders>
            <w:shd w:val="clear" w:color="000000" w:fill="FFFFFF"/>
            <w:noWrap/>
            <w:hideMark/>
          </w:tcPr>
          <w:p w14:paraId="555D35B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(18.7)</w:t>
            </w:r>
          </w:p>
        </w:tc>
        <w:tc>
          <w:tcPr>
            <w:tcW w:w="814" w:type="dxa"/>
            <w:tcBorders>
              <w:top w:val="nil"/>
              <w:left w:val="nil"/>
              <w:bottom w:val="nil"/>
              <w:right w:val="nil"/>
            </w:tcBorders>
            <w:shd w:val="clear" w:color="000000" w:fill="FFFFFF"/>
            <w:noWrap/>
            <w:hideMark/>
          </w:tcPr>
          <w:p w14:paraId="73E23040"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0.04</w:t>
            </w:r>
          </w:p>
        </w:tc>
        <w:tc>
          <w:tcPr>
            <w:tcW w:w="540" w:type="dxa"/>
            <w:tcBorders>
              <w:top w:val="nil"/>
              <w:left w:val="nil"/>
              <w:bottom w:val="nil"/>
              <w:right w:val="nil"/>
            </w:tcBorders>
            <w:shd w:val="clear" w:color="000000" w:fill="FFFFFF"/>
            <w:noWrap/>
            <w:hideMark/>
          </w:tcPr>
          <w:p w14:paraId="4761FCB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376</w:t>
            </w:r>
          </w:p>
        </w:tc>
        <w:tc>
          <w:tcPr>
            <w:tcW w:w="770" w:type="dxa"/>
            <w:tcBorders>
              <w:top w:val="nil"/>
              <w:left w:val="nil"/>
              <w:bottom w:val="nil"/>
              <w:right w:val="nil"/>
            </w:tcBorders>
            <w:shd w:val="clear" w:color="000000" w:fill="FFFFFF"/>
            <w:noWrap/>
            <w:hideMark/>
          </w:tcPr>
          <w:p w14:paraId="1529B14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(40.5)</w:t>
            </w:r>
          </w:p>
        </w:tc>
        <w:tc>
          <w:tcPr>
            <w:tcW w:w="540" w:type="dxa"/>
            <w:tcBorders>
              <w:top w:val="nil"/>
              <w:left w:val="nil"/>
              <w:bottom w:val="nil"/>
              <w:right w:val="nil"/>
            </w:tcBorders>
            <w:shd w:val="clear" w:color="000000" w:fill="FFFFFF"/>
            <w:noWrap/>
            <w:hideMark/>
          </w:tcPr>
          <w:p w14:paraId="7B83E49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714</w:t>
            </w:r>
          </w:p>
        </w:tc>
        <w:tc>
          <w:tcPr>
            <w:tcW w:w="770" w:type="dxa"/>
            <w:tcBorders>
              <w:top w:val="nil"/>
              <w:left w:val="nil"/>
              <w:bottom w:val="nil"/>
              <w:right w:val="nil"/>
            </w:tcBorders>
            <w:shd w:val="clear" w:color="000000" w:fill="FFFFFF"/>
            <w:noWrap/>
            <w:hideMark/>
          </w:tcPr>
          <w:p w14:paraId="0DE533E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(40.9)</w:t>
            </w:r>
          </w:p>
        </w:tc>
        <w:tc>
          <w:tcPr>
            <w:tcW w:w="736" w:type="dxa"/>
            <w:tcBorders>
              <w:top w:val="nil"/>
              <w:left w:val="nil"/>
              <w:bottom w:val="nil"/>
              <w:right w:val="nil"/>
            </w:tcBorders>
            <w:shd w:val="clear" w:color="000000" w:fill="FFFFFF"/>
            <w:noWrap/>
            <w:hideMark/>
          </w:tcPr>
          <w:p w14:paraId="2D03C2B6"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-0.01</w:t>
            </w:r>
          </w:p>
        </w:tc>
      </w:tr>
      <w:tr w:rsidR="009A2121" w:rsidRPr="009A2121" w14:paraId="32A699C9" w14:textId="77777777" w:rsidTr="009A2121">
        <w:trPr>
          <w:trHeight w:val="240"/>
        </w:trPr>
        <w:tc>
          <w:tcPr>
            <w:tcW w:w="3512" w:type="dxa"/>
            <w:gridSpan w:val="2"/>
            <w:tcBorders>
              <w:top w:val="nil"/>
              <w:left w:val="nil"/>
              <w:bottom w:val="nil"/>
              <w:right w:val="nil"/>
            </w:tcBorders>
            <w:shd w:val="clear" w:color="000000" w:fill="FFFFFF"/>
            <w:hideMark/>
          </w:tcPr>
          <w:p w14:paraId="47671660"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Baseline OOP on medicines, Mean $ (SD)</w:t>
            </w:r>
          </w:p>
        </w:tc>
        <w:tc>
          <w:tcPr>
            <w:tcW w:w="439" w:type="dxa"/>
            <w:tcBorders>
              <w:top w:val="nil"/>
              <w:left w:val="nil"/>
              <w:bottom w:val="nil"/>
              <w:right w:val="nil"/>
            </w:tcBorders>
            <w:shd w:val="clear" w:color="000000" w:fill="FFFFFF"/>
            <w:noWrap/>
            <w:hideMark/>
          </w:tcPr>
          <w:p w14:paraId="58D24E1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870</w:t>
            </w:r>
          </w:p>
        </w:tc>
        <w:tc>
          <w:tcPr>
            <w:tcW w:w="688" w:type="dxa"/>
            <w:tcBorders>
              <w:top w:val="nil"/>
              <w:left w:val="nil"/>
              <w:bottom w:val="nil"/>
              <w:right w:val="nil"/>
            </w:tcBorders>
            <w:shd w:val="clear" w:color="000000" w:fill="FFFFFF"/>
            <w:noWrap/>
            <w:hideMark/>
          </w:tcPr>
          <w:p w14:paraId="170BCEA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(946)</w:t>
            </w:r>
          </w:p>
        </w:tc>
        <w:tc>
          <w:tcPr>
            <w:tcW w:w="733" w:type="dxa"/>
            <w:tcBorders>
              <w:top w:val="nil"/>
              <w:left w:val="nil"/>
              <w:bottom w:val="nil"/>
              <w:right w:val="nil"/>
            </w:tcBorders>
            <w:shd w:val="clear" w:color="000000" w:fill="FFFFFF"/>
            <w:noWrap/>
            <w:hideMark/>
          </w:tcPr>
          <w:p w14:paraId="3B03E33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1034</w:t>
            </w:r>
          </w:p>
        </w:tc>
        <w:tc>
          <w:tcPr>
            <w:tcW w:w="762" w:type="dxa"/>
            <w:tcBorders>
              <w:top w:val="nil"/>
              <w:left w:val="nil"/>
              <w:bottom w:val="nil"/>
              <w:right w:val="nil"/>
            </w:tcBorders>
            <w:shd w:val="clear" w:color="000000" w:fill="FFFFFF"/>
            <w:noWrap/>
            <w:hideMark/>
          </w:tcPr>
          <w:p w14:paraId="1F317DB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(1093)</w:t>
            </w:r>
          </w:p>
        </w:tc>
        <w:tc>
          <w:tcPr>
            <w:tcW w:w="814" w:type="dxa"/>
            <w:tcBorders>
              <w:top w:val="nil"/>
              <w:left w:val="nil"/>
              <w:bottom w:val="nil"/>
              <w:right w:val="nil"/>
            </w:tcBorders>
            <w:shd w:val="clear" w:color="000000" w:fill="FFFFFF"/>
            <w:noWrap/>
            <w:hideMark/>
          </w:tcPr>
          <w:p w14:paraId="48AFC3AB"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-0.16</w:t>
            </w:r>
          </w:p>
        </w:tc>
        <w:tc>
          <w:tcPr>
            <w:tcW w:w="540" w:type="dxa"/>
            <w:tcBorders>
              <w:top w:val="nil"/>
              <w:left w:val="nil"/>
              <w:bottom w:val="nil"/>
              <w:right w:val="nil"/>
            </w:tcBorders>
            <w:shd w:val="clear" w:color="000000" w:fill="FFFFFF"/>
            <w:noWrap/>
            <w:hideMark/>
          </w:tcPr>
          <w:p w14:paraId="19F2653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1749</w:t>
            </w:r>
          </w:p>
        </w:tc>
        <w:tc>
          <w:tcPr>
            <w:tcW w:w="770" w:type="dxa"/>
            <w:tcBorders>
              <w:top w:val="nil"/>
              <w:left w:val="nil"/>
              <w:bottom w:val="nil"/>
              <w:right w:val="nil"/>
            </w:tcBorders>
            <w:shd w:val="clear" w:color="000000" w:fill="FFFFFF"/>
            <w:noWrap/>
            <w:hideMark/>
          </w:tcPr>
          <w:p w14:paraId="0320DC2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(1885)</w:t>
            </w:r>
          </w:p>
        </w:tc>
        <w:tc>
          <w:tcPr>
            <w:tcW w:w="540" w:type="dxa"/>
            <w:tcBorders>
              <w:top w:val="nil"/>
              <w:left w:val="nil"/>
              <w:bottom w:val="nil"/>
              <w:right w:val="nil"/>
            </w:tcBorders>
            <w:shd w:val="clear" w:color="000000" w:fill="FFFFFF"/>
            <w:noWrap/>
            <w:hideMark/>
          </w:tcPr>
          <w:p w14:paraId="1EA96A8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1788</w:t>
            </w:r>
          </w:p>
        </w:tc>
        <w:tc>
          <w:tcPr>
            <w:tcW w:w="770" w:type="dxa"/>
            <w:tcBorders>
              <w:top w:val="nil"/>
              <w:left w:val="nil"/>
              <w:bottom w:val="nil"/>
              <w:right w:val="nil"/>
            </w:tcBorders>
            <w:shd w:val="clear" w:color="000000" w:fill="FFFFFF"/>
            <w:noWrap/>
            <w:hideMark/>
          </w:tcPr>
          <w:p w14:paraId="6467972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(1919)</w:t>
            </w:r>
          </w:p>
        </w:tc>
        <w:tc>
          <w:tcPr>
            <w:tcW w:w="736" w:type="dxa"/>
            <w:tcBorders>
              <w:top w:val="nil"/>
              <w:left w:val="nil"/>
              <w:bottom w:val="nil"/>
              <w:right w:val="nil"/>
            </w:tcBorders>
            <w:shd w:val="clear" w:color="000000" w:fill="FFFFFF"/>
            <w:noWrap/>
            <w:hideMark/>
          </w:tcPr>
          <w:p w14:paraId="751E9E2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-0.04</w:t>
            </w:r>
          </w:p>
        </w:tc>
      </w:tr>
      <w:tr w:rsidR="009A2121" w:rsidRPr="009A2121" w14:paraId="0AE5CD2A" w14:textId="77777777" w:rsidTr="009A2121">
        <w:trPr>
          <w:trHeight w:val="240"/>
        </w:trPr>
        <w:tc>
          <w:tcPr>
            <w:tcW w:w="3512" w:type="dxa"/>
            <w:gridSpan w:val="2"/>
            <w:tcBorders>
              <w:top w:val="nil"/>
              <w:left w:val="nil"/>
              <w:bottom w:val="nil"/>
              <w:right w:val="nil"/>
            </w:tcBorders>
            <w:shd w:val="clear" w:color="000000" w:fill="FFFFFF"/>
            <w:noWrap/>
            <w:hideMark/>
          </w:tcPr>
          <w:p w14:paraId="3C66767B"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Any baseline use, No. (%)</w:t>
            </w:r>
          </w:p>
        </w:tc>
        <w:tc>
          <w:tcPr>
            <w:tcW w:w="439" w:type="dxa"/>
            <w:tcBorders>
              <w:top w:val="nil"/>
              <w:left w:val="nil"/>
              <w:bottom w:val="nil"/>
              <w:right w:val="nil"/>
            </w:tcBorders>
            <w:shd w:val="clear" w:color="000000" w:fill="FFFFFF"/>
            <w:noWrap/>
            <w:hideMark/>
          </w:tcPr>
          <w:p w14:paraId="41DC2AF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36684CB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5A5421A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689B282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hideMark/>
          </w:tcPr>
          <w:p w14:paraId="23614EDE"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671B728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2305F47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367F8AD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55FF04C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hideMark/>
          </w:tcPr>
          <w:p w14:paraId="3366D428"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215B4C1A" w14:textId="77777777" w:rsidTr="009A2121">
        <w:trPr>
          <w:trHeight w:val="240"/>
        </w:trPr>
        <w:tc>
          <w:tcPr>
            <w:tcW w:w="356" w:type="dxa"/>
            <w:tcBorders>
              <w:top w:val="nil"/>
              <w:left w:val="nil"/>
              <w:bottom w:val="nil"/>
              <w:right w:val="nil"/>
            </w:tcBorders>
            <w:shd w:val="clear" w:color="000000" w:fill="FFFFFF"/>
            <w:noWrap/>
            <w:hideMark/>
          </w:tcPr>
          <w:p w14:paraId="2CFC747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C0BBEA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Any oral antidiabetic use</w:t>
            </w:r>
          </w:p>
        </w:tc>
        <w:tc>
          <w:tcPr>
            <w:tcW w:w="439" w:type="dxa"/>
            <w:tcBorders>
              <w:top w:val="nil"/>
              <w:left w:val="nil"/>
              <w:bottom w:val="nil"/>
              <w:right w:val="nil"/>
            </w:tcBorders>
            <w:shd w:val="clear" w:color="000000" w:fill="FFFFFF"/>
            <w:noWrap/>
            <w:hideMark/>
          </w:tcPr>
          <w:p w14:paraId="199E284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569</w:t>
            </w:r>
          </w:p>
        </w:tc>
        <w:tc>
          <w:tcPr>
            <w:tcW w:w="688" w:type="dxa"/>
            <w:tcBorders>
              <w:top w:val="nil"/>
              <w:left w:val="nil"/>
              <w:bottom w:val="nil"/>
              <w:right w:val="nil"/>
            </w:tcBorders>
            <w:shd w:val="clear" w:color="000000" w:fill="FFFFFF"/>
            <w:noWrap/>
            <w:hideMark/>
          </w:tcPr>
          <w:p w14:paraId="637CA96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(59.7)</w:t>
            </w:r>
          </w:p>
        </w:tc>
        <w:tc>
          <w:tcPr>
            <w:tcW w:w="733" w:type="dxa"/>
            <w:tcBorders>
              <w:top w:val="nil"/>
              <w:left w:val="nil"/>
              <w:bottom w:val="nil"/>
              <w:right w:val="nil"/>
            </w:tcBorders>
            <w:shd w:val="clear" w:color="000000" w:fill="FFFFFF"/>
            <w:noWrap/>
            <w:hideMark/>
          </w:tcPr>
          <w:p w14:paraId="407C8ED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9858</w:t>
            </w:r>
          </w:p>
        </w:tc>
        <w:tc>
          <w:tcPr>
            <w:tcW w:w="762" w:type="dxa"/>
            <w:tcBorders>
              <w:top w:val="nil"/>
              <w:left w:val="nil"/>
              <w:bottom w:val="nil"/>
              <w:right w:val="nil"/>
            </w:tcBorders>
            <w:shd w:val="clear" w:color="000000" w:fill="FFFFFF"/>
            <w:noWrap/>
            <w:hideMark/>
          </w:tcPr>
          <w:p w14:paraId="057FC81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(56.4)</w:t>
            </w:r>
          </w:p>
        </w:tc>
        <w:tc>
          <w:tcPr>
            <w:tcW w:w="814" w:type="dxa"/>
            <w:tcBorders>
              <w:top w:val="nil"/>
              <w:left w:val="nil"/>
              <w:bottom w:val="nil"/>
              <w:right w:val="nil"/>
            </w:tcBorders>
            <w:shd w:val="clear" w:color="000000" w:fill="FFFFFF"/>
            <w:noWrap/>
            <w:hideMark/>
          </w:tcPr>
          <w:p w14:paraId="122AC30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0.07</w:t>
            </w:r>
          </w:p>
        </w:tc>
        <w:tc>
          <w:tcPr>
            <w:tcW w:w="540" w:type="dxa"/>
            <w:tcBorders>
              <w:top w:val="nil"/>
              <w:left w:val="nil"/>
              <w:bottom w:val="nil"/>
              <w:right w:val="nil"/>
            </w:tcBorders>
            <w:shd w:val="clear" w:color="000000" w:fill="FFFFFF"/>
            <w:noWrap/>
            <w:hideMark/>
          </w:tcPr>
          <w:p w14:paraId="0D88229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1110</w:t>
            </w:r>
          </w:p>
        </w:tc>
        <w:tc>
          <w:tcPr>
            <w:tcW w:w="770" w:type="dxa"/>
            <w:tcBorders>
              <w:top w:val="nil"/>
              <w:left w:val="nil"/>
              <w:bottom w:val="nil"/>
              <w:right w:val="nil"/>
            </w:tcBorders>
            <w:shd w:val="clear" w:color="000000" w:fill="FFFFFF"/>
            <w:noWrap/>
            <w:hideMark/>
          </w:tcPr>
          <w:p w14:paraId="3AA3757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(119.5)</w:t>
            </w:r>
          </w:p>
        </w:tc>
        <w:tc>
          <w:tcPr>
            <w:tcW w:w="540" w:type="dxa"/>
            <w:tcBorders>
              <w:top w:val="nil"/>
              <w:left w:val="nil"/>
              <w:bottom w:val="nil"/>
              <w:right w:val="nil"/>
            </w:tcBorders>
            <w:shd w:val="clear" w:color="000000" w:fill="FFFFFF"/>
            <w:noWrap/>
            <w:hideMark/>
          </w:tcPr>
          <w:p w14:paraId="2BDE06B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2054</w:t>
            </w:r>
          </w:p>
        </w:tc>
        <w:tc>
          <w:tcPr>
            <w:tcW w:w="770" w:type="dxa"/>
            <w:tcBorders>
              <w:top w:val="nil"/>
              <w:left w:val="nil"/>
              <w:bottom w:val="nil"/>
              <w:right w:val="nil"/>
            </w:tcBorders>
            <w:shd w:val="clear" w:color="000000" w:fill="FFFFFF"/>
            <w:noWrap/>
            <w:hideMark/>
          </w:tcPr>
          <w:p w14:paraId="7FB43B9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(117.7)</w:t>
            </w:r>
          </w:p>
        </w:tc>
        <w:tc>
          <w:tcPr>
            <w:tcW w:w="736" w:type="dxa"/>
            <w:tcBorders>
              <w:top w:val="nil"/>
              <w:left w:val="nil"/>
              <w:bottom w:val="nil"/>
              <w:right w:val="nil"/>
            </w:tcBorders>
            <w:shd w:val="clear" w:color="000000" w:fill="FFFFFF"/>
            <w:noWrap/>
            <w:hideMark/>
          </w:tcPr>
          <w:p w14:paraId="405F415C"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0.00</w:t>
            </w:r>
          </w:p>
        </w:tc>
      </w:tr>
      <w:tr w:rsidR="009A2121" w:rsidRPr="009A2121" w14:paraId="00918518" w14:textId="77777777" w:rsidTr="009A2121">
        <w:trPr>
          <w:trHeight w:val="240"/>
        </w:trPr>
        <w:tc>
          <w:tcPr>
            <w:tcW w:w="356" w:type="dxa"/>
            <w:tcBorders>
              <w:top w:val="nil"/>
              <w:left w:val="nil"/>
              <w:bottom w:val="nil"/>
              <w:right w:val="nil"/>
            </w:tcBorders>
            <w:shd w:val="clear" w:color="000000" w:fill="FFFFFF"/>
            <w:noWrap/>
            <w:hideMark/>
          </w:tcPr>
          <w:p w14:paraId="4683479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55DD33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Any insulin use</w:t>
            </w:r>
          </w:p>
        </w:tc>
        <w:tc>
          <w:tcPr>
            <w:tcW w:w="439" w:type="dxa"/>
            <w:tcBorders>
              <w:top w:val="nil"/>
              <w:left w:val="nil"/>
              <w:bottom w:val="nil"/>
              <w:right w:val="nil"/>
            </w:tcBorders>
            <w:shd w:val="clear" w:color="000000" w:fill="FFFFFF"/>
            <w:noWrap/>
            <w:hideMark/>
          </w:tcPr>
          <w:p w14:paraId="6B7C54F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232</w:t>
            </w:r>
          </w:p>
        </w:tc>
        <w:tc>
          <w:tcPr>
            <w:tcW w:w="688" w:type="dxa"/>
            <w:tcBorders>
              <w:top w:val="nil"/>
              <w:left w:val="nil"/>
              <w:bottom w:val="nil"/>
              <w:right w:val="nil"/>
            </w:tcBorders>
            <w:shd w:val="clear" w:color="000000" w:fill="FFFFFF"/>
            <w:noWrap/>
            <w:hideMark/>
          </w:tcPr>
          <w:p w14:paraId="1BD3A6B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(24.3)</w:t>
            </w:r>
          </w:p>
        </w:tc>
        <w:tc>
          <w:tcPr>
            <w:tcW w:w="733" w:type="dxa"/>
            <w:tcBorders>
              <w:top w:val="nil"/>
              <w:left w:val="nil"/>
              <w:bottom w:val="nil"/>
              <w:right w:val="nil"/>
            </w:tcBorders>
            <w:shd w:val="clear" w:color="000000" w:fill="FFFFFF"/>
            <w:noWrap/>
            <w:hideMark/>
          </w:tcPr>
          <w:p w14:paraId="21AEF25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3516</w:t>
            </w:r>
          </w:p>
        </w:tc>
        <w:tc>
          <w:tcPr>
            <w:tcW w:w="762" w:type="dxa"/>
            <w:tcBorders>
              <w:top w:val="nil"/>
              <w:left w:val="nil"/>
              <w:bottom w:val="nil"/>
              <w:right w:val="nil"/>
            </w:tcBorders>
            <w:shd w:val="clear" w:color="000000" w:fill="FFFFFF"/>
            <w:noWrap/>
            <w:hideMark/>
          </w:tcPr>
          <w:p w14:paraId="4F93371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(20.1)</w:t>
            </w:r>
          </w:p>
        </w:tc>
        <w:tc>
          <w:tcPr>
            <w:tcW w:w="814" w:type="dxa"/>
            <w:tcBorders>
              <w:top w:val="nil"/>
              <w:left w:val="nil"/>
              <w:bottom w:val="nil"/>
              <w:right w:val="nil"/>
            </w:tcBorders>
            <w:shd w:val="clear" w:color="000000" w:fill="FFFFFF"/>
            <w:noWrap/>
            <w:hideMark/>
          </w:tcPr>
          <w:p w14:paraId="5DB443A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0.10</w:t>
            </w:r>
          </w:p>
        </w:tc>
        <w:tc>
          <w:tcPr>
            <w:tcW w:w="540" w:type="dxa"/>
            <w:tcBorders>
              <w:top w:val="nil"/>
              <w:left w:val="nil"/>
              <w:bottom w:val="nil"/>
              <w:right w:val="nil"/>
            </w:tcBorders>
            <w:shd w:val="clear" w:color="000000" w:fill="FFFFFF"/>
            <w:noWrap/>
            <w:hideMark/>
          </w:tcPr>
          <w:p w14:paraId="6793DAD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452</w:t>
            </w:r>
          </w:p>
        </w:tc>
        <w:tc>
          <w:tcPr>
            <w:tcW w:w="770" w:type="dxa"/>
            <w:tcBorders>
              <w:top w:val="nil"/>
              <w:left w:val="nil"/>
              <w:bottom w:val="nil"/>
              <w:right w:val="nil"/>
            </w:tcBorders>
            <w:shd w:val="clear" w:color="000000" w:fill="FFFFFF"/>
            <w:noWrap/>
            <w:hideMark/>
          </w:tcPr>
          <w:p w14:paraId="2E3E87E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(48.7)</w:t>
            </w:r>
          </w:p>
        </w:tc>
        <w:tc>
          <w:tcPr>
            <w:tcW w:w="540" w:type="dxa"/>
            <w:tcBorders>
              <w:top w:val="nil"/>
              <w:left w:val="nil"/>
              <w:bottom w:val="nil"/>
              <w:right w:val="nil"/>
            </w:tcBorders>
            <w:shd w:val="clear" w:color="000000" w:fill="FFFFFF"/>
            <w:noWrap/>
            <w:hideMark/>
          </w:tcPr>
          <w:p w14:paraId="2FEF713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786</w:t>
            </w:r>
          </w:p>
        </w:tc>
        <w:tc>
          <w:tcPr>
            <w:tcW w:w="770" w:type="dxa"/>
            <w:tcBorders>
              <w:top w:val="nil"/>
              <w:left w:val="nil"/>
              <w:bottom w:val="nil"/>
              <w:right w:val="nil"/>
            </w:tcBorders>
            <w:shd w:val="clear" w:color="000000" w:fill="FFFFFF"/>
            <w:noWrap/>
            <w:hideMark/>
          </w:tcPr>
          <w:p w14:paraId="0FD6565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(45.0)</w:t>
            </w:r>
          </w:p>
        </w:tc>
        <w:tc>
          <w:tcPr>
            <w:tcW w:w="736" w:type="dxa"/>
            <w:tcBorders>
              <w:top w:val="nil"/>
              <w:left w:val="nil"/>
              <w:bottom w:val="nil"/>
              <w:right w:val="nil"/>
            </w:tcBorders>
            <w:shd w:val="clear" w:color="000000" w:fill="FFFFFF"/>
            <w:noWrap/>
            <w:hideMark/>
          </w:tcPr>
          <w:p w14:paraId="2CBA4262"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0.00</w:t>
            </w:r>
          </w:p>
        </w:tc>
      </w:tr>
      <w:tr w:rsidR="009A2121" w:rsidRPr="009A2121" w14:paraId="5FA35954" w14:textId="77777777" w:rsidTr="009A2121">
        <w:trPr>
          <w:trHeight w:val="240"/>
        </w:trPr>
        <w:tc>
          <w:tcPr>
            <w:tcW w:w="356" w:type="dxa"/>
            <w:tcBorders>
              <w:top w:val="nil"/>
              <w:left w:val="nil"/>
              <w:bottom w:val="nil"/>
              <w:right w:val="nil"/>
            </w:tcBorders>
            <w:shd w:val="clear" w:color="000000" w:fill="FFFFFF"/>
            <w:noWrap/>
            <w:hideMark/>
          </w:tcPr>
          <w:p w14:paraId="69AB94E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67B473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Any antihypertensive use</w:t>
            </w:r>
          </w:p>
        </w:tc>
        <w:tc>
          <w:tcPr>
            <w:tcW w:w="439" w:type="dxa"/>
            <w:tcBorders>
              <w:top w:val="nil"/>
              <w:left w:val="nil"/>
              <w:bottom w:val="nil"/>
              <w:right w:val="nil"/>
            </w:tcBorders>
            <w:shd w:val="clear" w:color="000000" w:fill="FFFFFF"/>
            <w:noWrap/>
            <w:hideMark/>
          </w:tcPr>
          <w:p w14:paraId="726704B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579</w:t>
            </w:r>
          </w:p>
        </w:tc>
        <w:tc>
          <w:tcPr>
            <w:tcW w:w="688" w:type="dxa"/>
            <w:tcBorders>
              <w:top w:val="nil"/>
              <w:left w:val="nil"/>
              <w:bottom w:val="nil"/>
              <w:right w:val="nil"/>
            </w:tcBorders>
            <w:shd w:val="clear" w:color="000000" w:fill="FFFFFF"/>
            <w:noWrap/>
            <w:hideMark/>
          </w:tcPr>
          <w:p w14:paraId="752D635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(60.8)</w:t>
            </w:r>
          </w:p>
        </w:tc>
        <w:tc>
          <w:tcPr>
            <w:tcW w:w="733" w:type="dxa"/>
            <w:tcBorders>
              <w:top w:val="nil"/>
              <w:left w:val="nil"/>
              <w:bottom w:val="nil"/>
              <w:right w:val="nil"/>
            </w:tcBorders>
            <w:shd w:val="clear" w:color="000000" w:fill="FFFFFF"/>
            <w:noWrap/>
            <w:hideMark/>
          </w:tcPr>
          <w:p w14:paraId="694989C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10368</w:t>
            </w:r>
          </w:p>
        </w:tc>
        <w:tc>
          <w:tcPr>
            <w:tcW w:w="762" w:type="dxa"/>
            <w:tcBorders>
              <w:top w:val="nil"/>
              <w:left w:val="nil"/>
              <w:bottom w:val="nil"/>
              <w:right w:val="nil"/>
            </w:tcBorders>
            <w:shd w:val="clear" w:color="000000" w:fill="FFFFFF"/>
            <w:noWrap/>
            <w:hideMark/>
          </w:tcPr>
          <w:p w14:paraId="45376A8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(59.3)</w:t>
            </w:r>
          </w:p>
        </w:tc>
        <w:tc>
          <w:tcPr>
            <w:tcW w:w="814" w:type="dxa"/>
            <w:tcBorders>
              <w:top w:val="nil"/>
              <w:left w:val="nil"/>
              <w:bottom w:val="nil"/>
              <w:right w:val="nil"/>
            </w:tcBorders>
            <w:shd w:val="clear" w:color="000000" w:fill="FFFFFF"/>
            <w:noWrap/>
            <w:hideMark/>
          </w:tcPr>
          <w:p w14:paraId="79FF0267"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0.03</w:t>
            </w:r>
          </w:p>
        </w:tc>
        <w:tc>
          <w:tcPr>
            <w:tcW w:w="540" w:type="dxa"/>
            <w:tcBorders>
              <w:top w:val="nil"/>
              <w:left w:val="nil"/>
              <w:bottom w:val="nil"/>
              <w:right w:val="nil"/>
            </w:tcBorders>
            <w:shd w:val="clear" w:color="000000" w:fill="FFFFFF"/>
            <w:noWrap/>
            <w:hideMark/>
          </w:tcPr>
          <w:p w14:paraId="470C143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1128</w:t>
            </w:r>
          </w:p>
        </w:tc>
        <w:tc>
          <w:tcPr>
            <w:tcW w:w="770" w:type="dxa"/>
            <w:tcBorders>
              <w:top w:val="nil"/>
              <w:left w:val="nil"/>
              <w:bottom w:val="nil"/>
              <w:right w:val="nil"/>
            </w:tcBorders>
            <w:shd w:val="clear" w:color="000000" w:fill="FFFFFF"/>
            <w:noWrap/>
            <w:hideMark/>
          </w:tcPr>
          <w:p w14:paraId="356F6F7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(121.4)</w:t>
            </w:r>
          </w:p>
        </w:tc>
        <w:tc>
          <w:tcPr>
            <w:tcW w:w="540" w:type="dxa"/>
            <w:tcBorders>
              <w:top w:val="nil"/>
              <w:left w:val="nil"/>
              <w:bottom w:val="nil"/>
              <w:right w:val="nil"/>
            </w:tcBorders>
            <w:shd w:val="clear" w:color="000000" w:fill="FFFFFF"/>
            <w:noWrap/>
            <w:hideMark/>
          </w:tcPr>
          <w:p w14:paraId="0F1530D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2110</w:t>
            </w:r>
          </w:p>
        </w:tc>
        <w:tc>
          <w:tcPr>
            <w:tcW w:w="770" w:type="dxa"/>
            <w:tcBorders>
              <w:top w:val="nil"/>
              <w:left w:val="nil"/>
              <w:bottom w:val="nil"/>
              <w:right w:val="nil"/>
            </w:tcBorders>
            <w:shd w:val="clear" w:color="000000" w:fill="FFFFFF"/>
            <w:noWrap/>
            <w:hideMark/>
          </w:tcPr>
          <w:p w14:paraId="3B00139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(120.9)</w:t>
            </w:r>
          </w:p>
        </w:tc>
        <w:tc>
          <w:tcPr>
            <w:tcW w:w="736" w:type="dxa"/>
            <w:tcBorders>
              <w:top w:val="nil"/>
              <w:left w:val="nil"/>
              <w:bottom w:val="nil"/>
              <w:right w:val="nil"/>
            </w:tcBorders>
            <w:shd w:val="clear" w:color="000000" w:fill="FFFFFF"/>
            <w:noWrap/>
            <w:hideMark/>
          </w:tcPr>
          <w:p w14:paraId="0CFCF72E"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0.01</w:t>
            </w:r>
          </w:p>
        </w:tc>
      </w:tr>
      <w:tr w:rsidR="009A2121" w:rsidRPr="009A2121" w14:paraId="6D6FE904" w14:textId="77777777" w:rsidTr="009A2121">
        <w:trPr>
          <w:trHeight w:val="240"/>
        </w:trPr>
        <w:tc>
          <w:tcPr>
            <w:tcW w:w="356" w:type="dxa"/>
            <w:tcBorders>
              <w:top w:val="nil"/>
              <w:left w:val="nil"/>
              <w:bottom w:val="nil"/>
              <w:right w:val="nil"/>
            </w:tcBorders>
            <w:shd w:val="clear" w:color="000000" w:fill="FFFFFF"/>
            <w:noWrap/>
            <w:hideMark/>
          </w:tcPr>
          <w:p w14:paraId="18A6DF8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54D9389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Any antihyperlipidemic use</w:t>
            </w:r>
          </w:p>
        </w:tc>
        <w:tc>
          <w:tcPr>
            <w:tcW w:w="439" w:type="dxa"/>
            <w:tcBorders>
              <w:top w:val="nil"/>
              <w:left w:val="nil"/>
              <w:bottom w:val="nil"/>
              <w:right w:val="nil"/>
            </w:tcBorders>
            <w:shd w:val="clear" w:color="000000" w:fill="FFFFFF"/>
            <w:noWrap/>
            <w:hideMark/>
          </w:tcPr>
          <w:p w14:paraId="2C5D0C2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547</w:t>
            </w:r>
          </w:p>
        </w:tc>
        <w:tc>
          <w:tcPr>
            <w:tcW w:w="688" w:type="dxa"/>
            <w:tcBorders>
              <w:top w:val="nil"/>
              <w:left w:val="nil"/>
              <w:bottom w:val="nil"/>
              <w:right w:val="nil"/>
            </w:tcBorders>
            <w:shd w:val="clear" w:color="000000" w:fill="FFFFFF"/>
            <w:noWrap/>
            <w:hideMark/>
          </w:tcPr>
          <w:p w14:paraId="08A8852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(57.4)</w:t>
            </w:r>
          </w:p>
        </w:tc>
        <w:tc>
          <w:tcPr>
            <w:tcW w:w="733" w:type="dxa"/>
            <w:tcBorders>
              <w:top w:val="nil"/>
              <w:left w:val="nil"/>
              <w:bottom w:val="nil"/>
              <w:right w:val="nil"/>
            </w:tcBorders>
            <w:shd w:val="clear" w:color="000000" w:fill="FFFFFF"/>
            <w:noWrap/>
            <w:hideMark/>
          </w:tcPr>
          <w:p w14:paraId="4408A6C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9211</w:t>
            </w:r>
          </w:p>
        </w:tc>
        <w:tc>
          <w:tcPr>
            <w:tcW w:w="762" w:type="dxa"/>
            <w:tcBorders>
              <w:top w:val="nil"/>
              <w:left w:val="nil"/>
              <w:bottom w:val="nil"/>
              <w:right w:val="nil"/>
            </w:tcBorders>
            <w:shd w:val="clear" w:color="000000" w:fill="FFFFFF"/>
            <w:noWrap/>
            <w:hideMark/>
          </w:tcPr>
          <w:p w14:paraId="1AF2B49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(52.7)</w:t>
            </w:r>
          </w:p>
        </w:tc>
        <w:tc>
          <w:tcPr>
            <w:tcW w:w="814" w:type="dxa"/>
            <w:tcBorders>
              <w:top w:val="nil"/>
              <w:left w:val="nil"/>
              <w:bottom w:val="nil"/>
              <w:right w:val="nil"/>
            </w:tcBorders>
            <w:shd w:val="clear" w:color="000000" w:fill="FFFFFF"/>
            <w:noWrap/>
            <w:hideMark/>
          </w:tcPr>
          <w:p w14:paraId="6C073409"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0.10</w:t>
            </w:r>
          </w:p>
        </w:tc>
        <w:tc>
          <w:tcPr>
            <w:tcW w:w="540" w:type="dxa"/>
            <w:tcBorders>
              <w:top w:val="nil"/>
              <w:left w:val="nil"/>
              <w:bottom w:val="nil"/>
              <w:right w:val="nil"/>
            </w:tcBorders>
            <w:shd w:val="clear" w:color="000000" w:fill="FFFFFF"/>
            <w:noWrap/>
            <w:hideMark/>
          </w:tcPr>
          <w:p w14:paraId="6B64310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1060</w:t>
            </w:r>
          </w:p>
        </w:tc>
        <w:tc>
          <w:tcPr>
            <w:tcW w:w="770" w:type="dxa"/>
            <w:tcBorders>
              <w:top w:val="nil"/>
              <w:left w:val="nil"/>
              <w:bottom w:val="nil"/>
              <w:right w:val="nil"/>
            </w:tcBorders>
            <w:shd w:val="clear" w:color="000000" w:fill="FFFFFF"/>
            <w:noWrap/>
            <w:hideMark/>
          </w:tcPr>
          <w:p w14:paraId="7DB9F22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(114.1)</w:t>
            </w:r>
          </w:p>
        </w:tc>
        <w:tc>
          <w:tcPr>
            <w:tcW w:w="540" w:type="dxa"/>
            <w:tcBorders>
              <w:top w:val="nil"/>
              <w:left w:val="nil"/>
              <w:bottom w:val="nil"/>
              <w:right w:val="nil"/>
            </w:tcBorders>
            <w:shd w:val="clear" w:color="000000" w:fill="FFFFFF"/>
            <w:noWrap/>
            <w:hideMark/>
          </w:tcPr>
          <w:p w14:paraId="618C5BF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1932</w:t>
            </w:r>
          </w:p>
        </w:tc>
        <w:tc>
          <w:tcPr>
            <w:tcW w:w="770" w:type="dxa"/>
            <w:tcBorders>
              <w:top w:val="nil"/>
              <w:left w:val="nil"/>
              <w:bottom w:val="nil"/>
              <w:right w:val="nil"/>
            </w:tcBorders>
            <w:shd w:val="clear" w:color="000000" w:fill="FFFFFF"/>
            <w:noWrap/>
            <w:hideMark/>
          </w:tcPr>
          <w:p w14:paraId="60B13F2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(110.7)</w:t>
            </w:r>
          </w:p>
        </w:tc>
        <w:tc>
          <w:tcPr>
            <w:tcW w:w="736" w:type="dxa"/>
            <w:tcBorders>
              <w:top w:val="nil"/>
              <w:left w:val="nil"/>
              <w:bottom w:val="nil"/>
              <w:right w:val="nil"/>
            </w:tcBorders>
            <w:shd w:val="clear" w:color="000000" w:fill="FFFFFF"/>
            <w:noWrap/>
            <w:hideMark/>
          </w:tcPr>
          <w:p w14:paraId="0AD02033"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0.07</w:t>
            </w:r>
          </w:p>
        </w:tc>
      </w:tr>
      <w:tr w:rsidR="009A2121" w:rsidRPr="009A2121" w14:paraId="6703BBA4" w14:textId="77777777" w:rsidTr="009A2121">
        <w:trPr>
          <w:trHeight w:val="240"/>
        </w:trPr>
        <w:tc>
          <w:tcPr>
            <w:tcW w:w="3512" w:type="dxa"/>
            <w:gridSpan w:val="2"/>
            <w:tcBorders>
              <w:top w:val="nil"/>
              <w:left w:val="nil"/>
              <w:bottom w:val="nil"/>
              <w:right w:val="nil"/>
            </w:tcBorders>
            <w:shd w:val="clear" w:color="000000" w:fill="FFFFFF"/>
            <w:noWrap/>
            <w:hideMark/>
          </w:tcPr>
          <w:p w14:paraId="794B29E6"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Baseline medication fills, Mean (SD)</w:t>
            </w:r>
          </w:p>
        </w:tc>
        <w:tc>
          <w:tcPr>
            <w:tcW w:w="439" w:type="dxa"/>
            <w:tcBorders>
              <w:top w:val="nil"/>
              <w:left w:val="nil"/>
              <w:bottom w:val="nil"/>
              <w:right w:val="nil"/>
            </w:tcBorders>
            <w:shd w:val="clear" w:color="000000" w:fill="FFFFFF"/>
            <w:noWrap/>
            <w:hideMark/>
          </w:tcPr>
          <w:p w14:paraId="539348A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5457F2E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4D0DA05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1ECE0EF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noWrap/>
            <w:hideMark/>
          </w:tcPr>
          <w:p w14:paraId="621FF06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7E56190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480BD0B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0852603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5B42A54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noWrap/>
            <w:hideMark/>
          </w:tcPr>
          <w:p w14:paraId="26CB7993"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7FB28133" w14:textId="77777777" w:rsidTr="009A2121">
        <w:trPr>
          <w:trHeight w:val="240"/>
        </w:trPr>
        <w:tc>
          <w:tcPr>
            <w:tcW w:w="356" w:type="dxa"/>
            <w:tcBorders>
              <w:top w:val="nil"/>
              <w:left w:val="nil"/>
              <w:bottom w:val="nil"/>
              <w:right w:val="nil"/>
            </w:tcBorders>
            <w:shd w:val="clear" w:color="000000" w:fill="FFFFFF"/>
            <w:noWrap/>
            <w:hideMark/>
          </w:tcPr>
          <w:p w14:paraId="1542681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FA0B25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Mean oral antidiabetic 30-day fills</w:t>
            </w:r>
          </w:p>
        </w:tc>
        <w:tc>
          <w:tcPr>
            <w:tcW w:w="439" w:type="dxa"/>
            <w:tcBorders>
              <w:top w:val="nil"/>
              <w:left w:val="nil"/>
              <w:bottom w:val="nil"/>
              <w:right w:val="nil"/>
            </w:tcBorders>
            <w:shd w:val="clear" w:color="000000" w:fill="FFFFFF"/>
            <w:noWrap/>
            <w:hideMark/>
          </w:tcPr>
          <w:p w14:paraId="42E7A2D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7.6 </w:t>
            </w:r>
          </w:p>
        </w:tc>
        <w:tc>
          <w:tcPr>
            <w:tcW w:w="688" w:type="dxa"/>
            <w:tcBorders>
              <w:top w:val="nil"/>
              <w:left w:val="nil"/>
              <w:bottom w:val="nil"/>
              <w:right w:val="nil"/>
            </w:tcBorders>
            <w:shd w:val="clear" w:color="000000" w:fill="FFFFFF"/>
            <w:noWrap/>
            <w:hideMark/>
          </w:tcPr>
          <w:p w14:paraId="4B5E815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(9.4)</w:t>
            </w:r>
          </w:p>
        </w:tc>
        <w:tc>
          <w:tcPr>
            <w:tcW w:w="733" w:type="dxa"/>
            <w:tcBorders>
              <w:top w:val="nil"/>
              <w:left w:val="nil"/>
              <w:bottom w:val="nil"/>
              <w:right w:val="nil"/>
            </w:tcBorders>
            <w:shd w:val="clear" w:color="000000" w:fill="FFFFFF"/>
            <w:noWrap/>
            <w:hideMark/>
          </w:tcPr>
          <w:p w14:paraId="03940C9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6.3 </w:t>
            </w:r>
          </w:p>
        </w:tc>
        <w:tc>
          <w:tcPr>
            <w:tcW w:w="762" w:type="dxa"/>
            <w:tcBorders>
              <w:top w:val="nil"/>
              <w:left w:val="nil"/>
              <w:bottom w:val="nil"/>
              <w:right w:val="nil"/>
            </w:tcBorders>
            <w:shd w:val="clear" w:color="000000" w:fill="FFFFFF"/>
            <w:noWrap/>
            <w:hideMark/>
          </w:tcPr>
          <w:p w14:paraId="61B4DD7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(8.3)</w:t>
            </w:r>
          </w:p>
        </w:tc>
        <w:tc>
          <w:tcPr>
            <w:tcW w:w="814" w:type="dxa"/>
            <w:tcBorders>
              <w:top w:val="nil"/>
              <w:left w:val="nil"/>
              <w:bottom w:val="nil"/>
              <w:right w:val="nil"/>
            </w:tcBorders>
            <w:shd w:val="clear" w:color="000000" w:fill="FFFFFF"/>
            <w:noWrap/>
            <w:hideMark/>
          </w:tcPr>
          <w:p w14:paraId="72A116C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0.15</w:t>
            </w:r>
          </w:p>
        </w:tc>
        <w:tc>
          <w:tcPr>
            <w:tcW w:w="540" w:type="dxa"/>
            <w:tcBorders>
              <w:top w:val="nil"/>
              <w:left w:val="nil"/>
              <w:bottom w:val="nil"/>
              <w:right w:val="nil"/>
            </w:tcBorders>
            <w:shd w:val="clear" w:color="000000" w:fill="FFFFFF"/>
            <w:noWrap/>
            <w:hideMark/>
          </w:tcPr>
          <w:p w14:paraId="28F4273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15.0 </w:t>
            </w:r>
          </w:p>
        </w:tc>
        <w:tc>
          <w:tcPr>
            <w:tcW w:w="770" w:type="dxa"/>
            <w:tcBorders>
              <w:top w:val="nil"/>
              <w:left w:val="nil"/>
              <w:bottom w:val="nil"/>
              <w:right w:val="nil"/>
            </w:tcBorders>
            <w:shd w:val="clear" w:color="000000" w:fill="FFFFFF"/>
            <w:noWrap/>
            <w:hideMark/>
          </w:tcPr>
          <w:p w14:paraId="3990342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(18.3)</w:t>
            </w:r>
          </w:p>
        </w:tc>
        <w:tc>
          <w:tcPr>
            <w:tcW w:w="540" w:type="dxa"/>
            <w:tcBorders>
              <w:top w:val="nil"/>
              <w:left w:val="nil"/>
              <w:bottom w:val="nil"/>
              <w:right w:val="nil"/>
            </w:tcBorders>
            <w:shd w:val="clear" w:color="000000" w:fill="FFFFFF"/>
            <w:noWrap/>
            <w:hideMark/>
          </w:tcPr>
          <w:p w14:paraId="6C2E971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15.3 </w:t>
            </w:r>
          </w:p>
        </w:tc>
        <w:tc>
          <w:tcPr>
            <w:tcW w:w="770" w:type="dxa"/>
            <w:tcBorders>
              <w:top w:val="nil"/>
              <w:left w:val="nil"/>
              <w:bottom w:val="nil"/>
              <w:right w:val="nil"/>
            </w:tcBorders>
            <w:shd w:val="clear" w:color="000000" w:fill="FFFFFF"/>
            <w:noWrap/>
            <w:hideMark/>
          </w:tcPr>
          <w:p w14:paraId="526700A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(18.9)</w:t>
            </w:r>
          </w:p>
        </w:tc>
        <w:tc>
          <w:tcPr>
            <w:tcW w:w="736" w:type="dxa"/>
            <w:tcBorders>
              <w:top w:val="nil"/>
              <w:left w:val="nil"/>
              <w:bottom w:val="nil"/>
              <w:right w:val="nil"/>
            </w:tcBorders>
            <w:shd w:val="clear" w:color="000000" w:fill="FFFFFF"/>
            <w:noWrap/>
            <w:hideMark/>
          </w:tcPr>
          <w:p w14:paraId="5491FD62"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-0.03</w:t>
            </w:r>
          </w:p>
        </w:tc>
      </w:tr>
      <w:tr w:rsidR="009A2121" w:rsidRPr="009A2121" w14:paraId="6F081451" w14:textId="77777777" w:rsidTr="009A2121">
        <w:trPr>
          <w:trHeight w:val="240"/>
        </w:trPr>
        <w:tc>
          <w:tcPr>
            <w:tcW w:w="356" w:type="dxa"/>
            <w:tcBorders>
              <w:top w:val="nil"/>
              <w:left w:val="nil"/>
              <w:bottom w:val="nil"/>
              <w:right w:val="nil"/>
            </w:tcBorders>
            <w:shd w:val="clear" w:color="000000" w:fill="FFFFFF"/>
            <w:noWrap/>
            <w:hideMark/>
          </w:tcPr>
          <w:p w14:paraId="7E13713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4AEC512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Mean insulin 30-day fills</w:t>
            </w:r>
          </w:p>
        </w:tc>
        <w:tc>
          <w:tcPr>
            <w:tcW w:w="439" w:type="dxa"/>
            <w:tcBorders>
              <w:top w:val="nil"/>
              <w:left w:val="nil"/>
              <w:bottom w:val="nil"/>
              <w:right w:val="nil"/>
            </w:tcBorders>
            <w:shd w:val="clear" w:color="000000" w:fill="FFFFFF"/>
            <w:noWrap/>
            <w:hideMark/>
          </w:tcPr>
          <w:p w14:paraId="66F157B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2.5 </w:t>
            </w:r>
          </w:p>
        </w:tc>
        <w:tc>
          <w:tcPr>
            <w:tcW w:w="688" w:type="dxa"/>
            <w:tcBorders>
              <w:top w:val="nil"/>
              <w:left w:val="nil"/>
              <w:bottom w:val="nil"/>
              <w:right w:val="nil"/>
            </w:tcBorders>
            <w:shd w:val="clear" w:color="000000" w:fill="FFFFFF"/>
            <w:noWrap/>
            <w:hideMark/>
          </w:tcPr>
          <w:p w14:paraId="53BE396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(5.4)</w:t>
            </w:r>
          </w:p>
        </w:tc>
        <w:tc>
          <w:tcPr>
            <w:tcW w:w="733" w:type="dxa"/>
            <w:tcBorders>
              <w:top w:val="nil"/>
              <w:left w:val="nil"/>
              <w:bottom w:val="nil"/>
              <w:right w:val="nil"/>
            </w:tcBorders>
            <w:shd w:val="clear" w:color="000000" w:fill="FFFFFF"/>
            <w:noWrap/>
            <w:hideMark/>
          </w:tcPr>
          <w:p w14:paraId="43AD1A4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1.9 </w:t>
            </w:r>
          </w:p>
        </w:tc>
        <w:tc>
          <w:tcPr>
            <w:tcW w:w="762" w:type="dxa"/>
            <w:tcBorders>
              <w:top w:val="nil"/>
              <w:left w:val="nil"/>
              <w:bottom w:val="nil"/>
              <w:right w:val="nil"/>
            </w:tcBorders>
            <w:shd w:val="clear" w:color="000000" w:fill="FFFFFF"/>
            <w:noWrap/>
            <w:hideMark/>
          </w:tcPr>
          <w:p w14:paraId="62D60B4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(4.7)</w:t>
            </w:r>
          </w:p>
        </w:tc>
        <w:tc>
          <w:tcPr>
            <w:tcW w:w="814" w:type="dxa"/>
            <w:tcBorders>
              <w:top w:val="nil"/>
              <w:left w:val="nil"/>
              <w:bottom w:val="nil"/>
              <w:right w:val="nil"/>
            </w:tcBorders>
            <w:shd w:val="clear" w:color="000000" w:fill="FFFFFF"/>
            <w:noWrap/>
            <w:hideMark/>
          </w:tcPr>
          <w:p w14:paraId="487B9BCD"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0.12</w:t>
            </w:r>
          </w:p>
        </w:tc>
        <w:tc>
          <w:tcPr>
            <w:tcW w:w="540" w:type="dxa"/>
            <w:tcBorders>
              <w:top w:val="nil"/>
              <w:left w:val="nil"/>
              <w:bottom w:val="nil"/>
              <w:right w:val="nil"/>
            </w:tcBorders>
            <w:shd w:val="clear" w:color="000000" w:fill="FFFFFF"/>
            <w:noWrap/>
            <w:hideMark/>
          </w:tcPr>
          <w:p w14:paraId="4914EEB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4.9 </w:t>
            </w:r>
          </w:p>
        </w:tc>
        <w:tc>
          <w:tcPr>
            <w:tcW w:w="770" w:type="dxa"/>
            <w:tcBorders>
              <w:top w:val="nil"/>
              <w:left w:val="nil"/>
              <w:bottom w:val="nil"/>
              <w:right w:val="nil"/>
            </w:tcBorders>
            <w:shd w:val="clear" w:color="000000" w:fill="FFFFFF"/>
            <w:noWrap/>
            <w:hideMark/>
          </w:tcPr>
          <w:p w14:paraId="4317149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(10.6)</w:t>
            </w:r>
          </w:p>
        </w:tc>
        <w:tc>
          <w:tcPr>
            <w:tcW w:w="540" w:type="dxa"/>
            <w:tcBorders>
              <w:top w:val="nil"/>
              <w:left w:val="nil"/>
              <w:bottom w:val="nil"/>
              <w:right w:val="nil"/>
            </w:tcBorders>
            <w:shd w:val="clear" w:color="000000" w:fill="FFFFFF"/>
            <w:noWrap/>
            <w:hideMark/>
          </w:tcPr>
          <w:p w14:paraId="677D8F1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4.8 </w:t>
            </w:r>
          </w:p>
        </w:tc>
        <w:tc>
          <w:tcPr>
            <w:tcW w:w="770" w:type="dxa"/>
            <w:tcBorders>
              <w:top w:val="nil"/>
              <w:left w:val="nil"/>
              <w:bottom w:val="nil"/>
              <w:right w:val="nil"/>
            </w:tcBorders>
            <w:shd w:val="clear" w:color="000000" w:fill="FFFFFF"/>
            <w:noWrap/>
            <w:hideMark/>
          </w:tcPr>
          <w:p w14:paraId="56E8367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(10.9)</w:t>
            </w:r>
          </w:p>
        </w:tc>
        <w:tc>
          <w:tcPr>
            <w:tcW w:w="736" w:type="dxa"/>
            <w:tcBorders>
              <w:top w:val="nil"/>
              <w:left w:val="nil"/>
              <w:bottom w:val="nil"/>
              <w:right w:val="nil"/>
            </w:tcBorders>
            <w:shd w:val="clear" w:color="000000" w:fill="FFFFFF"/>
            <w:noWrap/>
            <w:hideMark/>
          </w:tcPr>
          <w:p w14:paraId="257E0810"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0.02</w:t>
            </w:r>
          </w:p>
        </w:tc>
      </w:tr>
      <w:tr w:rsidR="009A2121" w:rsidRPr="009A2121" w14:paraId="47C48A18" w14:textId="77777777" w:rsidTr="009A2121">
        <w:trPr>
          <w:trHeight w:val="240"/>
        </w:trPr>
        <w:tc>
          <w:tcPr>
            <w:tcW w:w="356" w:type="dxa"/>
            <w:tcBorders>
              <w:top w:val="nil"/>
              <w:left w:val="nil"/>
              <w:bottom w:val="nil"/>
              <w:right w:val="nil"/>
            </w:tcBorders>
            <w:shd w:val="clear" w:color="000000" w:fill="FFFFFF"/>
            <w:noWrap/>
            <w:hideMark/>
          </w:tcPr>
          <w:p w14:paraId="240064B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E24423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Mean antihypertensive 30-day fills</w:t>
            </w:r>
          </w:p>
        </w:tc>
        <w:tc>
          <w:tcPr>
            <w:tcW w:w="439" w:type="dxa"/>
            <w:tcBorders>
              <w:top w:val="nil"/>
              <w:left w:val="nil"/>
              <w:bottom w:val="nil"/>
              <w:right w:val="nil"/>
            </w:tcBorders>
            <w:shd w:val="clear" w:color="000000" w:fill="FFFFFF"/>
            <w:noWrap/>
            <w:hideMark/>
          </w:tcPr>
          <w:p w14:paraId="100CA58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9.3 </w:t>
            </w:r>
          </w:p>
        </w:tc>
        <w:tc>
          <w:tcPr>
            <w:tcW w:w="688" w:type="dxa"/>
            <w:tcBorders>
              <w:top w:val="nil"/>
              <w:left w:val="nil"/>
              <w:bottom w:val="nil"/>
              <w:right w:val="nil"/>
            </w:tcBorders>
            <w:shd w:val="clear" w:color="000000" w:fill="FFFFFF"/>
            <w:noWrap/>
            <w:hideMark/>
          </w:tcPr>
          <w:p w14:paraId="5037D1D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(11.6)</w:t>
            </w:r>
          </w:p>
        </w:tc>
        <w:tc>
          <w:tcPr>
            <w:tcW w:w="733" w:type="dxa"/>
            <w:tcBorders>
              <w:top w:val="nil"/>
              <w:left w:val="nil"/>
              <w:bottom w:val="nil"/>
              <w:right w:val="nil"/>
            </w:tcBorders>
            <w:shd w:val="clear" w:color="000000" w:fill="FFFFFF"/>
            <w:noWrap/>
            <w:hideMark/>
          </w:tcPr>
          <w:p w14:paraId="0879E0C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8.7 </w:t>
            </w:r>
          </w:p>
        </w:tc>
        <w:tc>
          <w:tcPr>
            <w:tcW w:w="762" w:type="dxa"/>
            <w:tcBorders>
              <w:top w:val="nil"/>
              <w:left w:val="nil"/>
              <w:bottom w:val="nil"/>
              <w:right w:val="nil"/>
            </w:tcBorders>
            <w:shd w:val="clear" w:color="000000" w:fill="FFFFFF"/>
            <w:noWrap/>
            <w:hideMark/>
          </w:tcPr>
          <w:p w14:paraId="46AFEFB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(10.9)</w:t>
            </w:r>
          </w:p>
        </w:tc>
        <w:tc>
          <w:tcPr>
            <w:tcW w:w="814" w:type="dxa"/>
            <w:tcBorders>
              <w:top w:val="nil"/>
              <w:left w:val="nil"/>
              <w:bottom w:val="nil"/>
              <w:right w:val="nil"/>
            </w:tcBorders>
            <w:shd w:val="clear" w:color="000000" w:fill="FFFFFF"/>
            <w:noWrap/>
            <w:hideMark/>
          </w:tcPr>
          <w:p w14:paraId="668BB0F1"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0.05</w:t>
            </w:r>
          </w:p>
        </w:tc>
        <w:tc>
          <w:tcPr>
            <w:tcW w:w="540" w:type="dxa"/>
            <w:tcBorders>
              <w:top w:val="nil"/>
              <w:left w:val="nil"/>
              <w:bottom w:val="nil"/>
              <w:right w:val="nil"/>
            </w:tcBorders>
            <w:shd w:val="clear" w:color="000000" w:fill="FFFFFF"/>
            <w:noWrap/>
            <w:hideMark/>
          </w:tcPr>
          <w:p w14:paraId="1810049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18.3 </w:t>
            </w:r>
          </w:p>
        </w:tc>
        <w:tc>
          <w:tcPr>
            <w:tcW w:w="770" w:type="dxa"/>
            <w:tcBorders>
              <w:top w:val="nil"/>
              <w:left w:val="nil"/>
              <w:bottom w:val="nil"/>
              <w:right w:val="nil"/>
            </w:tcBorders>
            <w:shd w:val="clear" w:color="000000" w:fill="FFFFFF"/>
            <w:noWrap/>
            <w:hideMark/>
          </w:tcPr>
          <w:p w14:paraId="398DC69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(22.9)</w:t>
            </w:r>
          </w:p>
        </w:tc>
        <w:tc>
          <w:tcPr>
            <w:tcW w:w="540" w:type="dxa"/>
            <w:tcBorders>
              <w:top w:val="nil"/>
              <w:left w:val="nil"/>
              <w:bottom w:val="nil"/>
              <w:right w:val="nil"/>
            </w:tcBorders>
            <w:shd w:val="clear" w:color="000000" w:fill="FFFFFF"/>
            <w:noWrap/>
            <w:hideMark/>
          </w:tcPr>
          <w:p w14:paraId="0F075FC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18.8 </w:t>
            </w:r>
          </w:p>
        </w:tc>
        <w:tc>
          <w:tcPr>
            <w:tcW w:w="770" w:type="dxa"/>
            <w:tcBorders>
              <w:top w:val="nil"/>
              <w:left w:val="nil"/>
              <w:bottom w:val="nil"/>
              <w:right w:val="nil"/>
            </w:tcBorders>
            <w:shd w:val="clear" w:color="000000" w:fill="FFFFFF"/>
            <w:noWrap/>
            <w:hideMark/>
          </w:tcPr>
          <w:p w14:paraId="28F10FA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(23.2)</w:t>
            </w:r>
          </w:p>
        </w:tc>
        <w:tc>
          <w:tcPr>
            <w:tcW w:w="736" w:type="dxa"/>
            <w:tcBorders>
              <w:top w:val="nil"/>
              <w:left w:val="nil"/>
              <w:bottom w:val="nil"/>
              <w:right w:val="nil"/>
            </w:tcBorders>
            <w:shd w:val="clear" w:color="000000" w:fill="FFFFFF"/>
            <w:noWrap/>
            <w:hideMark/>
          </w:tcPr>
          <w:p w14:paraId="42F18D3F"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-0.05</w:t>
            </w:r>
          </w:p>
        </w:tc>
      </w:tr>
      <w:tr w:rsidR="009A2121" w:rsidRPr="009A2121" w14:paraId="16B87C90" w14:textId="77777777" w:rsidTr="009A2121">
        <w:trPr>
          <w:trHeight w:val="240"/>
        </w:trPr>
        <w:tc>
          <w:tcPr>
            <w:tcW w:w="356" w:type="dxa"/>
            <w:tcBorders>
              <w:top w:val="nil"/>
              <w:left w:val="nil"/>
              <w:bottom w:val="nil"/>
              <w:right w:val="nil"/>
            </w:tcBorders>
            <w:shd w:val="clear" w:color="000000" w:fill="FFFFFF"/>
            <w:noWrap/>
            <w:hideMark/>
          </w:tcPr>
          <w:p w14:paraId="59F29D4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4B87749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Mean antihyperlipidemic 30-day fills</w:t>
            </w:r>
          </w:p>
        </w:tc>
        <w:tc>
          <w:tcPr>
            <w:tcW w:w="439" w:type="dxa"/>
            <w:tcBorders>
              <w:top w:val="nil"/>
              <w:left w:val="nil"/>
              <w:bottom w:val="nil"/>
              <w:right w:val="nil"/>
            </w:tcBorders>
            <w:shd w:val="clear" w:color="000000" w:fill="FFFFFF"/>
            <w:noWrap/>
            <w:hideMark/>
          </w:tcPr>
          <w:p w14:paraId="2691BF7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5.9 </w:t>
            </w:r>
          </w:p>
        </w:tc>
        <w:tc>
          <w:tcPr>
            <w:tcW w:w="688" w:type="dxa"/>
            <w:tcBorders>
              <w:top w:val="nil"/>
              <w:left w:val="nil"/>
              <w:bottom w:val="nil"/>
              <w:right w:val="nil"/>
            </w:tcBorders>
            <w:shd w:val="clear" w:color="000000" w:fill="FFFFFF"/>
            <w:noWrap/>
            <w:hideMark/>
          </w:tcPr>
          <w:p w14:paraId="406B31E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(6.8)</w:t>
            </w:r>
          </w:p>
        </w:tc>
        <w:tc>
          <w:tcPr>
            <w:tcW w:w="733" w:type="dxa"/>
            <w:tcBorders>
              <w:top w:val="nil"/>
              <w:left w:val="nil"/>
              <w:bottom w:val="nil"/>
              <w:right w:val="nil"/>
            </w:tcBorders>
            <w:shd w:val="clear" w:color="000000" w:fill="FFFFFF"/>
            <w:noWrap/>
            <w:hideMark/>
          </w:tcPr>
          <w:p w14:paraId="6B66B73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5.3 </w:t>
            </w:r>
          </w:p>
        </w:tc>
        <w:tc>
          <w:tcPr>
            <w:tcW w:w="762" w:type="dxa"/>
            <w:tcBorders>
              <w:top w:val="nil"/>
              <w:left w:val="nil"/>
              <w:bottom w:val="nil"/>
              <w:right w:val="nil"/>
            </w:tcBorders>
            <w:shd w:val="clear" w:color="000000" w:fill="FFFFFF"/>
            <w:noWrap/>
            <w:hideMark/>
          </w:tcPr>
          <w:p w14:paraId="5E90D28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(6.9)</w:t>
            </w:r>
          </w:p>
        </w:tc>
        <w:tc>
          <w:tcPr>
            <w:tcW w:w="814" w:type="dxa"/>
            <w:tcBorders>
              <w:top w:val="nil"/>
              <w:left w:val="nil"/>
              <w:bottom w:val="nil"/>
              <w:right w:val="nil"/>
            </w:tcBorders>
            <w:shd w:val="clear" w:color="000000" w:fill="FFFFFF"/>
            <w:noWrap/>
            <w:hideMark/>
          </w:tcPr>
          <w:p w14:paraId="74E9CC46"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0.09</w:t>
            </w:r>
          </w:p>
        </w:tc>
        <w:tc>
          <w:tcPr>
            <w:tcW w:w="540" w:type="dxa"/>
            <w:tcBorders>
              <w:top w:val="nil"/>
              <w:left w:val="nil"/>
              <w:bottom w:val="nil"/>
              <w:right w:val="nil"/>
            </w:tcBorders>
            <w:shd w:val="clear" w:color="000000" w:fill="FFFFFF"/>
            <w:noWrap/>
            <w:hideMark/>
          </w:tcPr>
          <w:p w14:paraId="484E98F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11.7 </w:t>
            </w:r>
          </w:p>
        </w:tc>
        <w:tc>
          <w:tcPr>
            <w:tcW w:w="770" w:type="dxa"/>
            <w:tcBorders>
              <w:top w:val="nil"/>
              <w:left w:val="nil"/>
              <w:bottom w:val="nil"/>
              <w:right w:val="nil"/>
            </w:tcBorders>
            <w:shd w:val="clear" w:color="000000" w:fill="FFFFFF"/>
            <w:noWrap/>
            <w:hideMark/>
          </w:tcPr>
          <w:p w14:paraId="0A4ECED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(13.7)</w:t>
            </w:r>
          </w:p>
        </w:tc>
        <w:tc>
          <w:tcPr>
            <w:tcW w:w="540" w:type="dxa"/>
            <w:tcBorders>
              <w:top w:val="nil"/>
              <w:left w:val="nil"/>
              <w:bottom w:val="nil"/>
              <w:right w:val="nil"/>
            </w:tcBorders>
            <w:shd w:val="clear" w:color="000000" w:fill="FFFFFF"/>
            <w:noWrap/>
            <w:hideMark/>
          </w:tcPr>
          <w:p w14:paraId="0C61CDC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11.6 </w:t>
            </w:r>
          </w:p>
        </w:tc>
        <w:tc>
          <w:tcPr>
            <w:tcW w:w="770" w:type="dxa"/>
            <w:tcBorders>
              <w:top w:val="nil"/>
              <w:left w:val="nil"/>
              <w:bottom w:val="nil"/>
              <w:right w:val="nil"/>
            </w:tcBorders>
            <w:shd w:val="clear" w:color="000000" w:fill="FFFFFF"/>
            <w:noWrap/>
            <w:hideMark/>
          </w:tcPr>
          <w:p w14:paraId="1F20CDB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(14.4)</w:t>
            </w:r>
          </w:p>
        </w:tc>
        <w:tc>
          <w:tcPr>
            <w:tcW w:w="736" w:type="dxa"/>
            <w:tcBorders>
              <w:top w:val="nil"/>
              <w:left w:val="nil"/>
              <w:bottom w:val="nil"/>
              <w:right w:val="nil"/>
            </w:tcBorders>
            <w:shd w:val="clear" w:color="000000" w:fill="FFFFFF"/>
            <w:noWrap/>
            <w:hideMark/>
          </w:tcPr>
          <w:p w14:paraId="4880F80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0.01</w:t>
            </w:r>
          </w:p>
        </w:tc>
      </w:tr>
      <w:tr w:rsidR="009A2121" w:rsidRPr="009A2121" w14:paraId="29A64E52" w14:textId="77777777" w:rsidTr="009A2121">
        <w:trPr>
          <w:trHeight w:val="240"/>
        </w:trPr>
        <w:tc>
          <w:tcPr>
            <w:tcW w:w="3512" w:type="dxa"/>
            <w:gridSpan w:val="2"/>
            <w:tcBorders>
              <w:top w:val="nil"/>
              <w:left w:val="nil"/>
              <w:bottom w:val="nil"/>
              <w:right w:val="nil"/>
            </w:tcBorders>
            <w:shd w:val="clear" w:color="000000" w:fill="FFFFFF"/>
            <w:hideMark/>
          </w:tcPr>
          <w:p w14:paraId="3E8F6D7D"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Calendar year of index date, No. (%)</w:t>
            </w:r>
          </w:p>
        </w:tc>
        <w:tc>
          <w:tcPr>
            <w:tcW w:w="439" w:type="dxa"/>
            <w:tcBorders>
              <w:top w:val="nil"/>
              <w:left w:val="nil"/>
              <w:bottom w:val="nil"/>
              <w:right w:val="nil"/>
            </w:tcBorders>
            <w:shd w:val="clear" w:color="000000" w:fill="FFFFFF"/>
            <w:noWrap/>
            <w:hideMark/>
          </w:tcPr>
          <w:p w14:paraId="1F6831B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688" w:type="dxa"/>
            <w:tcBorders>
              <w:top w:val="nil"/>
              <w:left w:val="nil"/>
              <w:bottom w:val="nil"/>
              <w:right w:val="nil"/>
            </w:tcBorders>
            <w:shd w:val="clear" w:color="000000" w:fill="FFFFFF"/>
            <w:noWrap/>
            <w:hideMark/>
          </w:tcPr>
          <w:p w14:paraId="7B4758F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3" w:type="dxa"/>
            <w:tcBorders>
              <w:top w:val="nil"/>
              <w:left w:val="nil"/>
              <w:bottom w:val="nil"/>
              <w:right w:val="nil"/>
            </w:tcBorders>
            <w:shd w:val="clear" w:color="000000" w:fill="FFFFFF"/>
            <w:noWrap/>
            <w:hideMark/>
          </w:tcPr>
          <w:p w14:paraId="7B2D241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62" w:type="dxa"/>
            <w:tcBorders>
              <w:top w:val="nil"/>
              <w:left w:val="nil"/>
              <w:bottom w:val="nil"/>
              <w:right w:val="nil"/>
            </w:tcBorders>
            <w:shd w:val="clear" w:color="000000" w:fill="FFFFFF"/>
            <w:noWrap/>
            <w:hideMark/>
          </w:tcPr>
          <w:p w14:paraId="0DCE8C4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814" w:type="dxa"/>
            <w:tcBorders>
              <w:top w:val="nil"/>
              <w:left w:val="nil"/>
              <w:bottom w:val="nil"/>
              <w:right w:val="nil"/>
            </w:tcBorders>
            <w:shd w:val="clear" w:color="000000" w:fill="FFFFFF"/>
            <w:noWrap/>
            <w:hideMark/>
          </w:tcPr>
          <w:p w14:paraId="47E763DE"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0.72</w:t>
            </w:r>
          </w:p>
        </w:tc>
        <w:tc>
          <w:tcPr>
            <w:tcW w:w="540" w:type="dxa"/>
            <w:tcBorders>
              <w:top w:val="nil"/>
              <w:left w:val="nil"/>
              <w:bottom w:val="nil"/>
              <w:right w:val="nil"/>
            </w:tcBorders>
            <w:shd w:val="clear" w:color="000000" w:fill="FFFFFF"/>
            <w:noWrap/>
            <w:hideMark/>
          </w:tcPr>
          <w:p w14:paraId="12EF15B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7920CDB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7A7FF2B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70" w:type="dxa"/>
            <w:tcBorders>
              <w:top w:val="nil"/>
              <w:left w:val="nil"/>
              <w:bottom w:val="nil"/>
              <w:right w:val="nil"/>
            </w:tcBorders>
            <w:shd w:val="clear" w:color="000000" w:fill="FFFFFF"/>
            <w:noWrap/>
            <w:hideMark/>
          </w:tcPr>
          <w:p w14:paraId="198E3FA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736" w:type="dxa"/>
            <w:tcBorders>
              <w:top w:val="nil"/>
              <w:left w:val="nil"/>
              <w:bottom w:val="nil"/>
              <w:right w:val="nil"/>
            </w:tcBorders>
            <w:shd w:val="clear" w:color="000000" w:fill="FFFFFF"/>
            <w:noWrap/>
            <w:hideMark/>
          </w:tcPr>
          <w:p w14:paraId="012CAAEF"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0.35</w:t>
            </w:r>
          </w:p>
        </w:tc>
      </w:tr>
      <w:tr w:rsidR="009A2121" w:rsidRPr="009A2121" w14:paraId="544C6DEC" w14:textId="77777777" w:rsidTr="009A2121">
        <w:trPr>
          <w:trHeight w:val="240"/>
        </w:trPr>
        <w:tc>
          <w:tcPr>
            <w:tcW w:w="356" w:type="dxa"/>
            <w:tcBorders>
              <w:top w:val="nil"/>
              <w:left w:val="nil"/>
              <w:bottom w:val="nil"/>
              <w:right w:val="nil"/>
            </w:tcBorders>
            <w:shd w:val="clear" w:color="000000" w:fill="FFFFFF"/>
            <w:noWrap/>
            <w:hideMark/>
          </w:tcPr>
          <w:p w14:paraId="6C175BC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5729E62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2006-2008</w:t>
            </w:r>
          </w:p>
        </w:tc>
        <w:tc>
          <w:tcPr>
            <w:tcW w:w="439" w:type="dxa"/>
            <w:tcBorders>
              <w:top w:val="nil"/>
              <w:left w:val="nil"/>
              <w:bottom w:val="nil"/>
              <w:right w:val="nil"/>
            </w:tcBorders>
            <w:shd w:val="clear" w:color="000000" w:fill="FFFFFF"/>
            <w:noWrap/>
            <w:hideMark/>
          </w:tcPr>
          <w:p w14:paraId="7D6E84F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49</w:t>
            </w:r>
          </w:p>
        </w:tc>
        <w:tc>
          <w:tcPr>
            <w:tcW w:w="688" w:type="dxa"/>
            <w:tcBorders>
              <w:top w:val="nil"/>
              <w:left w:val="nil"/>
              <w:bottom w:val="nil"/>
              <w:right w:val="nil"/>
            </w:tcBorders>
            <w:shd w:val="clear" w:color="000000" w:fill="FFFFFF"/>
            <w:noWrap/>
            <w:hideMark/>
          </w:tcPr>
          <w:p w14:paraId="13F0A13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(5.1)</w:t>
            </w:r>
          </w:p>
        </w:tc>
        <w:tc>
          <w:tcPr>
            <w:tcW w:w="733" w:type="dxa"/>
            <w:tcBorders>
              <w:top w:val="nil"/>
              <w:left w:val="nil"/>
              <w:bottom w:val="nil"/>
              <w:right w:val="nil"/>
            </w:tcBorders>
            <w:shd w:val="clear" w:color="000000" w:fill="FFFFFF"/>
            <w:noWrap/>
            <w:hideMark/>
          </w:tcPr>
          <w:p w14:paraId="1164D98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2506</w:t>
            </w:r>
          </w:p>
        </w:tc>
        <w:tc>
          <w:tcPr>
            <w:tcW w:w="762" w:type="dxa"/>
            <w:tcBorders>
              <w:top w:val="nil"/>
              <w:left w:val="nil"/>
              <w:bottom w:val="nil"/>
              <w:right w:val="nil"/>
            </w:tcBorders>
            <w:shd w:val="clear" w:color="000000" w:fill="FFFFFF"/>
            <w:noWrap/>
            <w:hideMark/>
          </w:tcPr>
          <w:p w14:paraId="64F8D14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(14.3)</w:t>
            </w:r>
          </w:p>
        </w:tc>
        <w:tc>
          <w:tcPr>
            <w:tcW w:w="814" w:type="dxa"/>
            <w:tcBorders>
              <w:top w:val="nil"/>
              <w:left w:val="nil"/>
              <w:bottom w:val="nil"/>
              <w:right w:val="nil"/>
            </w:tcBorders>
            <w:shd w:val="clear" w:color="000000" w:fill="FFFFFF"/>
            <w:noWrap/>
            <w:hideMark/>
          </w:tcPr>
          <w:p w14:paraId="38815919"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5543F8C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98</w:t>
            </w:r>
          </w:p>
        </w:tc>
        <w:tc>
          <w:tcPr>
            <w:tcW w:w="770" w:type="dxa"/>
            <w:tcBorders>
              <w:top w:val="nil"/>
              <w:left w:val="nil"/>
              <w:bottom w:val="nil"/>
              <w:right w:val="nil"/>
            </w:tcBorders>
            <w:shd w:val="clear" w:color="000000" w:fill="FFFFFF"/>
            <w:noWrap/>
            <w:hideMark/>
          </w:tcPr>
          <w:p w14:paraId="2BAC15A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(10.5)</w:t>
            </w:r>
          </w:p>
        </w:tc>
        <w:tc>
          <w:tcPr>
            <w:tcW w:w="540" w:type="dxa"/>
            <w:tcBorders>
              <w:top w:val="nil"/>
              <w:left w:val="nil"/>
              <w:bottom w:val="nil"/>
              <w:right w:val="nil"/>
            </w:tcBorders>
            <w:shd w:val="clear" w:color="000000" w:fill="FFFFFF"/>
            <w:noWrap/>
            <w:hideMark/>
          </w:tcPr>
          <w:p w14:paraId="03C7915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110</w:t>
            </w:r>
          </w:p>
        </w:tc>
        <w:tc>
          <w:tcPr>
            <w:tcW w:w="770" w:type="dxa"/>
            <w:tcBorders>
              <w:top w:val="nil"/>
              <w:left w:val="nil"/>
              <w:bottom w:val="nil"/>
              <w:right w:val="nil"/>
            </w:tcBorders>
            <w:shd w:val="clear" w:color="000000" w:fill="FFFFFF"/>
            <w:noWrap/>
            <w:hideMark/>
          </w:tcPr>
          <w:p w14:paraId="1A1EAE9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(6.3)</w:t>
            </w:r>
          </w:p>
        </w:tc>
        <w:tc>
          <w:tcPr>
            <w:tcW w:w="736" w:type="dxa"/>
            <w:tcBorders>
              <w:top w:val="nil"/>
              <w:left w:val="nil"/>
              <w:bottom w:val="nil"/>
              <w:right w:val="nil"/>
            </w:tcBorders>
            <w:shd w:val="clear" w:color="000000" w:fill="FFFFFF"/>
            <w:noWrap/>
            <w:hideMark/>
          </w:tcPr>
          <w:p w14:paraId="261D7CE0"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r w:rsidR="009A2121" w:rsidRPr="009A2121" w14:paraId="095FB24C" w14:textId="77777777" w:rsidTr="009A2121">
        <w:trPr>
          <w:trHeight w:val="240"/>
        </w:trPr>
        <w:tc>
          <w:tcPr>
            <w:tcW w:w="356" w:type="dxa"/>
            <w:tcBorders>
              <w:top w:val="nil"/>
              <w:left w:val="nil"/>
              <w:bottom w:val="nil"/>
              <w:right w:val="nil"/>
            </w:tcBorders>
            <w:shd w:val="clear" w:color="000000" w:fill="FFFFFF"/>
            <w:noWrap/>
            <w:hideMark/>
          </w:tcPr>
          <w:p w14:paraId="1321DAB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14CF779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2009-2011</w:t>
            </w:r>
          </w:p>
        </w:tc>
        <w:tc>
          <w:tcPr>
            <w:tcW w:w="439" w:type="dxa"/>
            <w:tcBorders>
              <w:top w:val="nil"/>
              <w:left w:val="nil"/>
              <w:bottom w:val="nil"/>
              <w:right w:val="nil"/>
            </w:tcBorders>
            <w:shd w:val="clear" w:color="000000" w:fill="FFFFFF"/>
            <w:noWrap/>
            <w:hideMark/>
          </w:tcPr>
          <w:p w14:paraId="762CAE8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91</w:t>
            </w:r>
          </w:p>
        </w:tc>
        <w:tc>
          <w:tcPr>
            <w:tcW w:w="688" w:type="dxa"/>
            <w:tcBorders>
              <w:top w:val="nil"/>
              <w:left w:val="nil"/>
              <w:bottom w:val="nil"/>
              <w:right w:val="nil"/>
            </w:tcBorders>
            <w:shd w:val="clear" w:color="000000" w:fill="FFFFFF"/>
            <w:noWrap/>
            <w:hideMark/>
          </w:tcPr>
          <w:p w14:paraId="2B3071D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(9.5)</w:t>
            </w:r>
          </w:p>
        </w:tc>
        <w:tc>
          <w:tcPr>
            <w:tcW w:w="733" w:type="dxa"/>
            <w:tcBorders>
              <w:top w:val="nil"/>
              <w:left w:val="nil"/>
              <w:bottom w:val="nil"/>
              <w:right w:val="nil"/>
            </w:tcBorders>
            <w:shd w:val="clear" w:color="000000" w:fill="FFFFFF"/>
            <w:noWrap/>
            <w:hideMark/>
          </w:tcPr>
          <w:p w14:paraId="7C8C4E9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5627</w:t>
            </w:r>
          </w:p>
        </w:tc>
        <w:tc>
          <w:tcPr>
            <w:tcW w:w="762" w:type="dxa"/>
            <w:tcBorders>
              <w:top w:val="nil"/>
              <w:left w:val="nil"/>
              <w:bottom w:val="nil"/>
              <w:right w:val="nil"/>
            </w:tcBorders>
            <w:shd w:val="clear" w:color="000000" w:fill="FFFFFF"/>
            <w:noWrap/>
            <w:hideMark/>
          </w:tcPr>
          <w:p w14:paraId="2DB0295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(32.2)</w:t>
            </w:r>
          </w:p>
        </w:tc>
        <w:tc>
          <w:tcPr>
            <w:tcW w:w="814" w:type="dxa"/>
            <w:tcBorders>
              <w:top w:val="nil"/>
              <w:left w:val="nil"/>
              <w:bottom w:val="nil"/>
              <w:right w:val="nil"/>
            </w:tcBorders>
            <w:shd w:val="clear" w:color="000000" w:fill="FFFFFF"/>
            <w:noWrap/>
            <w:hideMark/>
          </w:tcPr>
          <w:p w14:paraId="5A2E957E"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4829E70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182</w:t>
            </w:r>
          </w:p>
        </w:tc>
        <w:tc>
          <w:tcPr>
            <w:tcW w:w="770" w:type="dxa"/>
            <w:tcBorders>
              <w:top w:val="nil"/>
              <w:left w:val="nil"/>
              <w:bottom w:val="nil"/>
              <w:right w:val="nil"/>
            </w:tcBorders>
            <w:shd w:val="clear" w:color="000000" w:fill="FFFFFF"/>
            <w:noWrap/>
            <w:hideMark/>
          </w:tcPr>
          <w:p w14:paraId="0A90D2B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(19.6)</w:t>
            </w:r>
          </w:p>
        </w:tc>
        <w:tc>
          <w:tcPr>
            <w:tcW w:w="540" w:type="dxa"/>
            <w:tcBorders>
              <w:top w:val="nil"/>
              <w:left w:val="nil"/>
              <w:bottom w:val="nil"/>
              <w:right w:val="nil"/>
            </w:tcBorders>
            <w:shd w:val="clear" w:color="000000" w:fill="FFFFFF"/>
            <w:noWrap/>
            <w:hideMark/>
          </w:tcPr>
          <w:p w14:paraId="70F12BF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530</w:t>
            </w:r>
          </w:p>
        </w:tc>
        <w:tc>
          <w:tcPr>
            <w:tcW w:w="770" w:type="dxa"/>
            <w:tcBorders>
              <w:top w:val="nil"/>
              <w:left w:val="nil"/>
              <w:bottom w:val="nil"/>
              <w:right w:val="nil"/>
            </w:tcBorders>
            <w:shd w:val="clear" w:color="000000" w:fill="FFFFFF"/>
            <w:noWrap/>
            <w:hideMark/>
          </w:tcPr>
          <w:p w14:paraId="6F2FBED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(30.4)</w:t>
            </w:r>
          </w:p>
        </w:tc>
        <w:tc>
          <w:tcPr>
            <w:tcW w:w="736" w:type="dxa"/>
            <w:tcBorders>
              <w:top w:val="nil"/>
              <w:left w:val="nil"/>
              <w:bottom w:val="nil"/>
              <w:right w:val="nil"/>
            </w:tcBorders>
            <w:shd w:val="clear" w:color="000000" w:fill="FFFFFF"/>
            <w:noWrap/>
            <w:hideMark/>
          </w:tcPr>
          <w:p w14:paraId="15B9863E"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r w:rsidR="009A2121" w:rsidRPr="009A2121" w14:paraId="1E73B217" w14:textId="77777777" w:rsidTr="009A2121">
        <w:trPr>
          <w:trHeight w:val="240"/>
        </w:trPr>
        <w:tc>
          <w:tcPr>
            <w:tcW w:w="356" w:type="dxa"/>
            <w:tcBorders>
              <w:top w:val="nil"/>
              <w:left w:val="nil"/>
              <w:bottom w:val="nil"/>
              <w:right w:val="nil"/>
            </w:tcBorders>
            <w:shd w:val="clear" w:color="000000" w:fill="FFFFFF"/>
            <w:noWrap/>
            <w:hideMark/>
          </w:tcPr>
          <w:p w14:paraId="3747C2C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570957B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2012-2014</w:t>
            </w:r>
          </w:p>
        </w:tc>
        <w:tc>
          <w:tcPr>
            <w:tcW w:w="439" w:type="dxa"/>
            <w:tcBorders>
              <w:top w:val="nil"/>
              <w:left w:val="nil"/>
              <w:bottom w:val="nil"/>
              <w:right w:val="nil"/>
            </w:tcBorders>
            <w:shd w:val="clear" w:color="000000" w:fill="FFFFFF"/>
            <w:noWrap/>
            <w:hideMark/>
          </w:tcPr>
          <w:p w14:paraId="1C75E8A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813</w:t>
            </w:r>
          </w:p>
        </w:tc>
        <w:tc>
          <w:tcPr>
            <w:tcW w:w="688" w:type="dxa"/>
            <w:tcBorders>
              <w:top w:val="nil"/>
              <w:left w:val="nil"/>
              <w:bottom w:val="nil"/>
              <w:right w:val="nil"/>
            </w:tcBorders>
            <w:shd w:val="clear" w:color="000000" w:fill="FFFFFF"/>
            <w:noWrap/>
            <w:hideMark/>
          </w:tcPr>
          <w:p w14:paraId="726A65B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(85.3)</w:t>
            </w:r>
          </w:p>
        </w:tc>
        <w:tc>
          <w:tcPr>
            <w:tcW w:w="733" w:type="dxa"/>
            <w:tcBorders>
              <w:top w:val="nil"/>
              <w:left w:val="nil"/>
              <w:bottom w:val="nil"/>
              <w:right w:val="nil"/>
            </w:tcBorders>
            <w:shd w:val="clear" w:color="000000" w:fill="FFFFFF"/>
            <w:noWrap/>
            <w:hideMark/>
          </w:tcPr>
          <w:p w14:paraId="76CC252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9351</w:t>
            </w:r>
          </w:p>
        </w:tc>
        <w:tc>
          <w:tcPr>
            <w:tcW w:w="762" w:type="dxa"/>
            <w:tcBorders>
              <w:top w:val="nil"/>
              <w:left w:val="nil"/>
              <w:bottom w:val="nil"/>
              <w:right w:val="nil"/>
            </w:tcBorders>
            <w:shd w:val="clear" w:color="000000" w:fill="FFFFFF"/>
            <w:noWrap/>
            <w:hideMark/>
          </w:tcPr>
          <w:p w14:paraId="10B9E15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(53.5)</w:t>
            </w:r>
          </w:p>
        </w:tc>
        <w:tc>
          <w:tcPr>
            <w:tcW w:w="814" w:type="dxa"/>
            <w:tcBorders>
              <w:top w:val="nil"/>
              <w:left w:val="nil"/>
              <w:bottom w:val="nil"/>
              <w:right w:val="nil"/>
            </w:tcBorders>
            <w:shd w:val="clear" w:color="000000" w:fill="FFFFFF"/>
            <w:noWrap/>
            <w:hideMark/>
          </w:tcPr>
          <w:p w14:paraId="4607C6C3"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33610B1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1578</w:t>
            </w:r>
          </w:p>
        </w:tc>
        <w:tc>
          <w:tcPr>
            <w:tcW w:w="770" w:type="dxa"/>
            <w:tcBorders>
              <w:top w:val="nil"/>
              <w:left w:val="nil"/>
              <w:bottom w:val="nil"/>
              <w:right w:val="nil"/>
            </w:tcBorders>
            <w:shd w:val="clear" w:color="000000" w:fill="FFFFFF"/>
            <w:noWrap/>
            <w:hideMark/>
          </w:tcPr>
          <w:p w14:paraId="2CF372E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(169.9)</w:t>
            </w:r>
          </w:p>
        </w:tc>
        <w:tc>
          <w:tcPr>
            <w:tcW w:w="540" w:type="dxa"/>
            <w:tcBorders>
              <w:top w:val="nil"/>
              <w:left w:val="nil"/>
              <w:bottom w:val="nil"/>
              <w:right w:val="nil"/>
            </w:tcBorders>
            <w:shd w:val="clear" w:color="000000" w:fill="FFFFFF"/>
            <w:noWrap/>
            <w:hideMark/>
          </w:tcPr>
          <w:p w14:paraId="128C0A4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2850</w:t>
            </w:r>
          </w:p>
        </w:tc>
        <w:tc>
          <w:tcPr>
            <w:tcW w:w="770" w:type="dxa"/>
            <w:tcBorders>
              <w:top w:val="nil"/>
              <w:left w:val="nil"/>
              <w:bottom w:val="nil"/>
              <w:right w:val="nil"/>
            </w:tcBorders>
            <w:shd w:val="clear" w:color="000000" w:fill="FFFFFF"/>
            <w:noWrap/>
            <w:hideMark/>
          </w:tcPr>
          <w:p w14:paraId="2173BB2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(163.3)</w:t>
            </w:r>
          </w:p>
        </w:tc>
        <w:tc>
          <w:tcPr>
            <w:tcW w:w="736" w:type="dxa"/>
            <w:tcBorders>
              <w:top w:val="nil"/>
              <w:left w:val="nil"/>
              <w:bottom w:val="nil"/>
              <w:right w:val="nil"/>
            </w:tcBorders>
            <w:shd w:val="clear" w:color="000000" w:fill="FFFFFF"/>
            <w:noWrap/>
            <w:hideMark/>
          </w:tcPr>
          <w:p w14:paraId="6FE0CF0A"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r w:rsidR="009A2121" w:rsidRPr="009A2121" w14:paraId="15504F7F" w14:textId="77777777" w:rsidTr="009A2121">
        <w:trPr>
          <w:trHeight w:val="240"/>
        </w:trPr>
        <w:tc>
          <w:tcPr>
            <w:tcW w:w="3512" w:type="dxa"/>
            <w:gridSpan w:val="2"/>
            <w:tcBorders>
              <w:top w:val="nil"/>
              <w:left w:val="nil"/>
              <w:bottom w:val="nil"/>
              <w:right w:val="nil"/>
            </w:tcBorders>
            <w:shd w:val="clear" w:color="000000" w:fill="FFFFFF"/>
            <w:noWrap/>
            <w:hideMark/>
          </w:tcPr>
          <w:p w14:paraId="5783CEC8"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Baseline deductible amount, No (%)</w:t>
            </w:r>
          </w:p>
        </w:tc>
        <w:tc>
          <w:tcPr>
            <w:tcW w:w="439" w:type="dxa"/>
            <w:tcBorders>
              <w:top w:val="nil"/>
              <w:left w:val="nil"/>
              <w:bottom w:val="nil"/>
              <w:right w:val="nil"/>
            </w:tcBorders>
            <w:shd w:val="clear" w:color="000000" w:fill="FFFFFF"/>
            <w:noWrap/>
            <w:hideMark/>
          </w:tcPr>
          <w:p w14:paraId="76A0B1D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w:t>
            </w:r>
          </w:p>
        </w:tc>
        <w:tc>
          <w:tcPr>
            <w:tcW w:w="688" w:type="dxa"/>
            <w:tcBorders>
              <w:top w:val="nil"/>
              <w:left w:val="nil"/>
              <w:bottom w:val="nil"/>
              <w:right w:val="nil"/>
            </w:tcBorders>
            <w:shd w:val="clear" w:color="000000" w:fill="FFFFFF"/>
            <w:noWrap/>
            <w:hideMark/>
          </w:tcPr>
          <w:p w14:paraId="0DD431A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33" w:type="dxa"/>
            <w:tcBorders>
              <w:top w:val="nil"/>
              <w:left w:val="nil"/>
              <w:bottom w:val="nil"/>
              <w:right w:val="nil"/>
            </w:tcBorders>
            <w:shd w:val="clear" w:color="000000" w:fill="FFFFFF"/>
            <w:noWrap/>
            <w:hideMark/>
          </w:tcPr>
          <w:p w14:paraId="2081500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62" w:type="dxa"/>
            <w:tcBorders>
              <w:top w:val="nil"/>
              <w:left w:val="nil"/>
              <w:bottom w:val="nil"/>
              <w:right w:val="nil"/>
            </w:tcBorders>
            <w:shd w:val="clear" w:color="000000" w:fill="FFFFFF"/>
            <w:noWrap/>
            <w:hideMark/>
          </w:tcPr>
          <w:p w14:paraId="1BE6C74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814" w:type="dxa"/>
            <w:tcBorders>
              <w:top w:val="nil"/>
              <w:left w:val="nil"/>
              <w:bottom w:val="nil"/>
              <w:right w:val="nil"/>
            </w:tcBorders>
            <w:shd w:val="clear" w:color="000000" w:fill="FFFFFF"/>
            <w:noWrap/>
            <w:hideMark/>
          </w:tcPr>
          <w:p w14:paraId="7F788A65"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0.44</w:t>
            </w:r>
          </w:p>
        </w:tc>
        <w:tc>
          <w:tcPr>
            <w:tcW w:w="540" w:type="dxa"/>
            <w:tcBorders>
              <w:top w:val="nil"/>
              <w:left w:val="nil"/>
              <w:bottom w:val="nil"/>
              <w:right w:val="nil"/>
            </w:tcBorders>
            <w:shd w:val="clear" w:color="000000" w:fill="FFFFFF"/>
            <w:noWrap/>
            <w:hideMark/>
          </w:tcPr>
          <w:p w14:paraId="4E62321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70" w:type="dxa"/>
            <w:tcBorders>
              <w:top w:val="nil"/>
              <w:left w:val="nil"/>
              <w:bottom w:val="nil"/>
              <w:right w:val="nil"/>
            </w:tcBorders>
            <w:shd w:val="clear" w:color="000000" w:fill="FFFFFF"/>
            <w:noWrap/>
            <w:hideMark/>
          </w:tcPr>
          <w:p w14:paraId="2828575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000000" w:fill="FFFFFF"/>
            <w:noWrap/>
            <w:hideMark/>
          </w:tcPr>
          <w:p w14:paraId="2EAAE31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70" w:type="dxa"/>
            <w:tcBorders>
              <w:top w:val="nil"/>
              <w:left w:val="nil"/>
              <w:bottom w:val="nil"/>
              <w:right w:val="nil"/>
            </w:tcBorders>
            <w:shd w:val="clear" w:color="000000" w:fill="FFFFFF"/>
            <w:noWrap/>
            <w:hideMark/>
          </w:tcPr>
          <w:p w14:paraId="6CD7D92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36" w:type="dxa"/>
            <w:tcBorders>
              <w:top w:val="nil"/>
              <w:left w:val="nil"/>
              <w:bottom w:val="nil"/>
              <w:right w:val="nil"/>
            </w:tcBorders>
            <w:shd w:val="clear" w:color="000000" w:fill="FFFFFF"/>
            <w:noWrap/>
            <w:hideMark/>
          </w:tcPr>
          <w:p w14:paraId="2FB3870A"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0.10</w:t>
            </w:r>
          </w:p>
        </w:tc>
      </w:tr>
      <w:tr w:rsidR="009A2121" w:rsidRPr="009A2121" w14:paraId="7BFA0F17" w14:textId="77777777" w:rsidTr="009A2121">
        <w:trPr>
          <w:trHeight w:val="240"/>
        </w:trPr>
        <w:tc>
          <w:tcPr>
            <w:tcW w:w="356" w:type="dxa"/>
            <w:tcBorders>
              <w:top w:val="nil"/>
              <w:left w:val="nil"/>
              <w:bottom w:val="nil"/>
              <w:right w:val="nil"/>
            </w:tcBorders>
            <w:shd w:val="clear" w:color="000000" w:fill="FFFFFF"/>
            <w:noWrap/>
            <w:hideMark/>
          </w:tcPr>
          <w:p w14:paraId="45066BD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263F37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$1000-$2499</w:t>
            </w:r>
          </w:p>
        </w:tc>
        <w:tc>
          <w:tcPr>
            <w:tcW w:w="439" w:type="dxa"/>
            <w:tcBorders>
              <w:top w:val="nil"/>
              <w:left w:val="nil"/>
              <w:bottom w:val="nil"/>
              <w:right w:val="nil"/>
            </w:tcBorders>
            <w:shd w:val="clear" w:color="000000" w:fill="FFFFFF"/>
            <w:noWrap/>
            <w:hideMark/>
          </w:tcPr>
          <w:p w14:paraId="6F810130"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232</w:t>
            </w:r>
          </w:p>
        </w:tc>
        <w:tc>
          <w:tcPr>
            <w:tcW w:w="688" w:type="dxa"/>
            <w:tcBorders>
              <w:top w:val="nil"/>
              <w:left w:val="nil"/>
              <w:bottom w:val="nil"/>
              <w:right w:val="nil"/>
            </w:tcBorders>
            <w:shd w:val="clear" w:color="000000" w:fill="FFFFFF"/>
            <w:noWrap/>
            <w:hideMark/>
          </w:tcPr>
          <w:p w14:paraId="4317752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(24.3)</w:t>
            </w:r>
          </w:p>
        </w:tc>
        <w:tc>
          <w:tcPr>
            <w:tcW w:w="733" w:type="dxa"/>
            <w:tcBorders>
              <w:top w:val="nil"/>
              <w:left w:val="nil"/>
              <w:bottom w:val="nil"/>
              <w:right w:val="nil"/>
            </w:tcBorders>
            <w:shd w:val="clear" w:color="000000" w:fill="FFFFFF"/>
            <w:noWrap/>
            <w:hideMark/>
          </w:tcPr>
          <w:p w14:paraId="75F6A74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6927</w:t>
            </w:r>
          </w:p>
        </w:tc>
        <w:tc>
          <w:tcPr>
            <w:tcW w:w="762" w:type="dxa"/>
            <w:tcBorders>
              <w:top w:val="nil"/>
              <w:left w:val="nil"/>
              <w:bottom w:val="nil"/>
              <w:right w:val="nil"/>
            </w:tcBorders>
            <w:shd w:val="clear" w:color="000000" w:fill="FFFFFF"/>
            <w:noWrap/>
            <w:hideMark/>
          </w:tcPr>
          <w:p w14:paraId="127CDCB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(39.6)</w:t>
            </w:r>
          </w:p>
        </w:tc>
        <w:tc>
          <w:tcPr>
            <w:tcW w:w="814" w:type="dxa"/>
            <w:tcBorders>
              <w:top w:val="nil"/>
              <w:left w:val="nil"/>
              <w:bottom w:val="nil"/>
              <w:right w:val="nil"/>
            </w:tcBorders>
            <w:shd w:val="clear" w:color="000000" w:fill="FFFFFF"/>
            <w:noWrap/>
            <w:hideMark/>
          </w:tcPr>
          <w:p w14:paraId="5B2B09E7"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c>
          <w:tcPr>
            <w:tcW w:w="540" w:type="dxa"/>
            <w:tcBorders>
              <w:top w:val="nil"/>
              <w:left w:val="nil"/>
              <w:bottom w:val="nil"/>
              <w:right w:val="nil"/>
            </w:tcBorders>
            <w:shd w:val="clear" w:color="000000" w:fill="FFFFFF"/>
            <w:noWrap/>
            <w:hideMark/>
          </w:tcPr>
          <w:p w14:paraId="1D27C51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464</w:t>
            </w:r>
          </w:p>
        </w:tc>
        <w:tc>
          <w:tcPr>
            <w:tcW w:w="770" w:type="dxa"/>
            <w:tcBorders>
              <w:top w:val="nil"/>
              <w:left w:val="nil"/>
              <w:bottom w:val="nil"/>
              <w:right w:val="nil"/>
            </w:tcBorders>
            <w:shd w:val="clear" w:color="000000" w:fill="FFFFFF"/>
            <w:noWrap/>
            <w:hideMark/>
          </w:tcPr>
          <w:p w14:paraId="19C041C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(49.9)</w:t>
            </w:r>
          </w:p>
        </w:tc>
        <w:tc>
          <w:tcPr>
            <w:tcW w:w="540" w:type="dxa"/>
            <w:tcBorders>
              <w:top w:val="nil"/>
              <w:left w:val="nil"/>
              <w:bottom w:val="nil"/>
              <w:right w:val="nil"/>
            </w:tcBorders>
            <w:shd w:val="clear" w:color="000000" w:fill="FFFFFF"/>
            <w:noWrap/>
            <w:hideMark/>
          </w:tcPr>
          <w:p w14:paraId="7FA8E50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958</w:t>
            </w:r>
          </w:p>
        </w:tc>
        <w:tc>
          <w:tcPr>
            <w:tcW w:w="770" w:type="dxa"/>
            <w:tcBorders>
              <w:top w:val="nil"/>
              <w:left w:val="nil"/>
              <w:bottom w:val="nil"/>
              <w:right w:val="nil"/>
            </w:tcBorders>
            <w:shd w:val="clear" w:color="000000" w:fill="FFFFFF"/>
            <w:noWrap/>
            <w:hideMark/>
          </w:tcPr>
          <w:p w14:paraId="0D6841E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(54.9)</w:t>
            </w:r>
          </w:p>
        </w:tc>
        <w:tc>
          <w:tcPr>
            <w:tcW w:w="736" w:type="dxa"/>
            <w:tcBorders>
              <w:top w:val="nil"/>
              <w:left w:val="nil"/>
              <w:bottom w:val="nil"/>
              <w:right w:val="nil"/>
            </w:tcBorders>
            <w:shd w:val="clear" w:color="000000" w:fill="FFFFFF"/>
            <w:noWrap/>
            <w:hideMark/>
          </w:tcPr>
          <w:p w14:paraId="73B4D91C"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r>
      <w:tr w:rsidR="009A2121" w:rsidRPr="009A2121" w14:paraId="7A4873C1" w14:textId="77777777" w:rsidTr="009A2121">
        <w:trPr>
          <w:trHeight w:val="240"/>
        </w:trPr>
        <w:tc>
          <w:tcPr>
            <w:tcW w:w="356" w:type="dxa"/>
            <w:tcBorders>
              <w:top w:val="nil"/>
              <w:left w:val="nil"/>
              <w:bottom w:val="nil"/>
              <w:right w:val="nil"/>
            </w:tcBorders>
            <w:shd w:val="clear" w:color="000000" w:fill="FFFFFF"/>
            <w:noWrap/>
            <w:hideMark/>
          </w:tcPr>
          <w:p w14:paraId="4321D26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039091C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$2500+</w:t>
            </w:r>
          </w:p>
        </w:tc>
        <w:tc>
          <w:tcPr>
            <w:tcW w:w="439" w:type="dxa"/>
            <w:tcBorders>
              <w:top w:val="nil"/>
              <w:left w:val="nil"/>
              <w:bottom w:val="nil"/>
              <w:right w:val="nil"/>
            </w:tcBorders>
            <w:shd w:val="clear" w:color="000000" w:fill="FFFFFF"/>
            <w:noWrap/>
            <w:hideMark/>
          </w:tcPr>
          <w:p w14:paraId="5C36590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236</w:t>
            </w:r>
          </w:p>
        </w:tc>
        <w:tc>
          <w:tcPr>
            <w:tcW w:w="688" w:type="dxa"/>
            <w:tcBorders>
              <w:top w:val="nil"/>
              <w:left w:val="nil"/>
              <w:bottom w:val="nil"/>
              <w:right w:val="nil"/>
            </w:tcBorders>
            <w:shd w:val="clear" w:color="000000" w:fill="FFFFFF"/>
            <w:noWrap/>
            <w:hideMark/>
          </w:tcPr>
          <w:p w14:paraId="2C01A56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(24.8)</w:t>
            </w:r>
          </w:p>
        </w:tc>
        <w:tc>
          <w:tcPr>
            <w:tcW w:w="733" w:type="dxa"/>
            <w:tcBorders>
              <w:top w:val="nil"/>
              <w:left w:val="nil"/>
              <w:bottom w:val="nil"/>
              <w:right w:val="nil"/>
            </w:tcBorders>
            <w:shd w:val="clear" w:color="000000" w:fill="FFFFFF"/>
            <w:noWrap/>
            <w:hideMark/>
          </w:tcPr>
          <w:p w14:paraId="5632332F"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5045</w:t>
            </w:r>
          </w:p>
        </w:tc>
        <w:tc>
          <w:tcPr>
            <w:tcW w:w="762" w:type="dxa"/>
            <w:tcBorders>
              <w:top w:val="nil"/>
              <w:left w:val="nil"/>
              <w:bottom w:val="nil"/>
              <w:right w:val="nil"/>
            </w:tcBorders>
            <w:shd w:val="clear" w:color="000000" w:fill="FFFFFF"/>
            <w:noWrap/>
            <w:hideMark/>
          </w:tcPr>
          <w:p w14:paraId="5EE26DB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(28.9)</w:t>
            </w:r>
          </w:p>
        </w:tc>
        <w:tc>
          <w:tcPr>
            <w:tcW w:w="814" w:type="dxa"/>
            <w:tcBorders>
              <w:top w:val="nil"/>
              <w:left w:val="nil"/>
              <w:bottom w:val="nil"/>
              <w:right w:val="nil"/>
            </w:tcBorders>
            <w:shd w:val="clear" w:color="000000" w:fill="FFFFFF"/>
            <w:noWrap/>
            <w:hideMark/>
          </w:tcPr>
          <w:p w14:paraId="2F97BE94"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c>
          <w:tcPr>
            <w:tcW w:w="540" w:type="dxa"/>
            <w:tcBorders>
              <w:top w:val="nil"/>
              <w:left w:val="nil"/>
              <w:bottom w:val="nil"/>
              <w:right w:val="nil"/>
            </w:tcBorders>
            <w:shd w:val="clear" w:color="000000" w:fill="FFFFFF"/>
            <w:noWrap/>
            <w:hideMark/>
          </w:tcPr>
          <w:p w14:paraId="6B76F6F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470</w:t>
            </w:r>
          </w:p>
        </w:tc>
        <w:tc>
          <w:tcPr>
            <w:tcW w:w="770" w:type="dxa"/>
            <w:tcBorders>
              <w:top w:val="nil"/>
              <w:left w:val="nil"/>
              <w:bottom w:val="nil"/>
              <w:right w:val="nil"/>
            </w:tcBorders>
            <w:shd w:val="clear" w:color="000000" w:fill="FFFFFF"/>
            <w:noWrap/>
            <w:hideMark/>
          </w:tcPr>
          <w:p w14:paraId="4DEDAC0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(50.6)</w:t>
            </w:r>
          </w:p>
        </w:tc>
        <w:tc>
          <w:tcPr>
            <w:tcW w:w="540" w:type="dxa"/>
            <w:tcBorders>
              <w:top w:val="nil"/>
              <w:left w:val="nil"/>
              <w:bottom w:val="nil"/>
              <w:right w:val="nil"/>
            </w:tcBorders>
            <w:shd w:val="clear" w:color="000000" w:fill="FFFFFF"/>
            <w:noWrap/>
            <w:hideMark/>
          </w:tcPr>
          <w:p w14:paraId="31EDBF98"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860</w:t>
            </w:r>
          </w:p>
        </w:tc>
        <w:tc>
          <w:tcPr>
            <w:tcW w:w="770" w:type="dxa"/>
            <w:tcBorders>
              <w:top w:val="nil"/>
              <w:left w:val="nil"/>
              <w:bottom w:val="nil"/>
              <w:right w:val="nil"/>
            </w:tcBorders>
            <w:shd w:val="clear" w:color="000000" w:fill="FFFFFF"/>
            <w:noWrap/>
            <w:hideMark/>
          </w:tcPr>
          <w:p w14:paraId="08DBFA6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(49.3)</w:t>
            </w:r>
          </w:p>
        </w:tc>
        <w:tc>
          <w:tcPr>
            <w:tcW w:w="736" w:type="dxa"/>
            <w:tcBorders>
              <w:top w:val="nil"/>
              <w:left w:val="nil"/>
              <w:bottom w:val="nil"/>
              <w:right w:val="nil"/>
            </w:tcBorders>
            <w:shd w:val="clear" w:color="000000" w:fill="FFFFFF"/>
            <w:noWrap/>
            <w:hideMark/>
          </w:tcPr>
          <w:p w14:paraId="7A21B5CD"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r>
      <w:tr w:rsidR="009A2121" w:rsidRPr="009A2121" w14:paraId="6D345E24" w14:textId="77777777" w:rsidTr="009A2121">
        <w:trPr>
          <w:trHeight w:val="240"/>
        </w:trPr>
        <w:tc>
          <w:tcPr>
            <w:tcW w:w="356" w:type="dxa"/>
            <w:tcBorders>
              <w:top w:val="nil"/>
              <w:left w:val="nil"/>
              <w:bottom w:val="nil"/>
              <w:right w:val="nil"/>
            </w:tcBorders>
            <w:shd w:val="clear" w:color="000000" w:fill="FFFFFF"/>
            <w:noWrap/>
            <w:hideMark/>
          </w:tcPr>
          <w:p w14:paraId="488D9DBC"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BE9216A"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$1000+ (level uncertain)</w:t>
            </w:r>
          </w:p>
        </w:tc>
        <w:tc>
          <w:tcPr>
            <w:tcW w:w="439" w:type="dxa"/>
            <w:tcBorders>
              <w:top w:val="nil"/>
              <w:left w:val="nil"/>
              <w:bottom w:val="nil"/>
              <w:right w:val="nil"/>
            </w:tcBorders>
            <w:shd w:val="clear" w:color="000000" w:fill="FFFFFF"/>
            <w:noWrap/>
            <w:hideMark/>
          </w:tcPr>
          <w:p w14:paraId="39B3E3D5"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485</w:t>
            </w:r>
          </w:p>
        </w:tc>
        <w:tc>
          <w:tcPr>
            <w:tcW w:w="688" w:type="dxa"/>
            <w:tcBorders>
              <w:top w:val="nil"/>
              <w:left w:val="nil"/>
              <w:bottom w:val="nil"/>
              <w:right w:val="nil"/>
            </w:tcBorders>
            <w:shd w:val="clear" w:color="000000" w:fill="FFFFFF"/>
            <w:noWrap/>
            <w:hideMark/>
          </w:tcPr>
          <w:p w14:paraId="453833D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(50.9)</w:t>
            </w:r>
          </w:p>
        </w:tc>
        <w:tc>
          <w:tcPr>
            <w:tcW w:w="733" w:type="dxa"/>
            <w:tcBorders>
              <w:top w:val="nil"/>
              <w:left w:val="nil"/>
              <w:bottom w:val="nil"/>
              <w:right w:val="nil"/>
            </w:tcBorders>
            <w:shd w:val="clear" w:color="000000" w:fill="FFFFFF"/>
            <w:noWrap/>
            <w:hideMark/>
          </w:tcPr>
          <w:p w14:paraId="1829108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5515</w:t>
            </w:r>
          </w:p>
        </w:tc>
        <w:tc>
          <w:tcPr>
            <w:tcW w:w="762" w:type="dxa"/>
            <w:tcBorders>
              <w:top w:val="nil"/>
              <w:left w:val="nil"/>
              <w:bottom w:val="nil"/>
              <w:right w:val="nil"/>
            </w:tcBorders>
            <w:shd w:val="clear" w:color="000000" w:fill="FFFFFF"/>
            <w:noWrap/>
            <w:hideMark/>
          </w:tcPr>
          <w:p w14:paraId="7A6AD91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(31.5)</w:t>
            </w:r>
          </w:p>
        </w:tc>
        <w:tc>
          <w:tcPr>
            <w:tcW w:w="814" w:type="dxa"/>
            <w:tcBorders>
              <w:top w:val="nil"/>
              <w:left w:val="nil"/>
              <w:bottom w:val="nil"/>
              <w:right w:val="nil"/>
            </w:tcBorders>
            <w:shd w:val="clear" w:color="000000" w:fill="FFFFFF"/>
            <w:noWrap/>
            <w:hideMark/>
          </w:tcPr>
          <w:p w14:paraId="701711FB"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c>
          <w:tcPr>
            <w:tcW w:w="540" w:type="dxa"/>
            <w:tcBorders>
              <w:top w:val="nil"/>
              <w:left w:val="nil"/>
              <w:bottom w:val="nil"/>
              <w:right w:val="nil"/>
            </w:tcBorders>
            <w:shd w:val="clear" w:color="000000" w:fill="FFFFFF"/>
            <w:noWrap/>
            <w:hideMark/>
          </w:tcPr>
          <w:p w14:paraId="4019C717"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924</w:t>
            </w:r>
          </w:p>
        </w:tc>
        <w:tc>
          <w:tcPr>
            <w:tcW w:w="770" w:type="dxa"/>
            <w:tcBorders>
              <w:top w:val="nil"/>
              <w:left w:val="nil"/>
              <w:bottom w:val="nil"/>
              <w:right w:val="nil"/>
            </w:tcBorders>
            <w:shd w:val="clear" w:color="000000" w:fill="FFFFFF"/>
            <w:noWrap/>
            <w:hideMark/>
          </w:tcPr>
          <w:p w14:paraId="37F78F6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(99.5)</w:t>
            </w:r>
          </w:p>
        </w:tc>
        <w:tc>
          <w:tcPr>
            <w:tcW w:w="540" w:type="dxa"/>
            <w:tcBorders>
              <w:top w:val="nil"/>
              <w:left w:val="nil"/>
              <w:bottom w:val="nil"/>
              <w:right w:val="nil"/>
            </w:tcBorders>
            <w:shd w:val="clear" w:color="000000" w:fill="FFFFFF"/>
            <w:noWrap/>
            <w:hideMark/>
          </w:tcPr>
          <w:p w14:paraId="2F45384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1672</w:t>
            </w:r>
          </w:p>
        </w:tc>
        <w:tc>
          <w:tcPr>
            <w:tcW w:w="770" w:type="dxa"/>
            <w:tcBorders>
              <w:top w:val="nil"/>
              <w:left w:val="nil"/>
              <w:bottom w:val="nil"/>
              <w:right w:val="nil"/>
            </w:tcBorders>
            <w:shd w:val="clear" w:color="000000" w:fill="FFFFFF"/>
            <w:noWrap/>
            <w:hideMark/>
          </w:tcPr>
          <w:p w14:paraId="0D8D288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(95.8)</w:t>
            </w:r>
          </w:p>
        </w:tc>
        <w:tc>
          <w:tcPr>
            <w:tcW w:w="736" w:type="dxa"/>
            <w:tcBorders>
              <w:top w:val="nil"/>
              <w:left w:val="nil"/>
              <w:bottom w:val="nil"/>
              <w:right w:val="nil"/>
            </w:tcBorders>
            <w:shd w:val="clear" w:color="000000" w:fill="FFFFFF"/>
            <w:noWrap/>
            <w:hideMark/>
          </w:tcPr>
          <w:p w14:paraId="7B57AA7C"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w:t>
            </w:r>
          </w:p>
        </w:tc>
      </w:tr>
      <w:tr w:rsidR="009A2121" w:rsidRPr="009A2121" w14:paraId="4C811AE6" w14:textId="77777777" w:rsidTr="009A2121">
        <w:trPr>
          <w:trHeight w:val="240"/>
        </w:trPr>
        <w:tc>
          <w:tcPr>
            <w:tcW w:w="3512" w:type="dxa"/>
            <w:gridSpan w:val="2"/>
            <w:tcBorders>
              <w:top w:val="nil"/>
              <w:left w:val="nil"/>
              <w:bottom w:val="nil"/>
              <w:right w:val="nil"/>
            </w:tcBorders>
            <w:shd w:val="clear" w:color="000000" w:fill="FFFFFF"/>
            <w:noWrap/>
            <w:vAlign w:val="bottom"/>
            <w:hideMark/>
          </w:tcPr>
          <w:p w14:paraId="0D0C781A"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Employer size, (No. %)</w:t>
            </w:r>
          </w:p>
        </w:tc>
        <w:tc>
          <w:tcPr>
            <w:tcW w:w="439" w:type="dxa"/>
            <w:tcBorders>
              <w:top w:val="nil"/>
              <w:left w:val="nil"/>
              <w:bottom w:val="nil"/>
              <w:right w:val="nil"/>
            </w:tcBorders>
            <w:shd w:val="clear" w:color="000000" w:fill="FFFFFF"/>
            <w:noWrap/>
            <w:hideMark/>
          </w:tcPr>
          <w:p w14:paraId="32683C0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688" w:type="dxa"/>
            <w:tcBorders>
              <w:top w:val="nil"/>
              <w:left w:val="nil"/>
              <w:bottom w:val="nil"/>
              <w:right w:val="nil"/>
            </w:tcBorders>
            <w:shd w:val="clear" w:color="000000" w:fill="FFFFFF"/>
            <w:noWrap/>
            <w:hideMark/>
          </w:tcPr>
          <w:p w14:paraId="63D30C4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33" w:type="dxa"/>
            <w:tcBorders>
              <w:top w:val="nil"/>
              <w:left w:val="nil"/>
              <w:bottom w:val="nil"/>
              <w:right w:val="nil"/>
            </w:tcBorders>
            <w:shd w:val="clear" w:color="000000" w:fill="FFFFFF"/>
            <w:noWrap/>
            <w:hideMark/>
          </w:tcPr>
          <w:p w14:paraId="328A69F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62" w:type="dxa"/>
            <w:tcBorders>
              <w:top w:val="nil"/>
              <w:left w:val="nil"/>
              <w:bottom w:val="nil"/>
              <w:right w:val="nil"/>
            </w:tcBorders>
            <w:shd w:val="clear" w:color="000000" w:fill="FFFFFF"/>
            <w:noWrap/>
            <w:hideMark/>
          </w:tcPr>
          <w:p w14:paraId="0310EE39"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814" w:type="dxa"/>
            <w:tcBorders>
              <w:top w:val="nil"/>
              <w:left w:val="nil"/>
              <w:bottom w:val="nil"/>
              <w:right w:val="nil"/>
            </w:tcBorders>
            <w:shd w:val="clear" w:color="000000" w:fill="FFFFFF"/>
            <w:noWrap/>
            <w:hideMark/>
          </w:tcPr>
          <w:p w14:paraId="3B8FB5FB"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0.79</w:t>
            </w:r>
          </w:p>
        </w:tc>
        <w:tc>
          <w:tcPr>
            <w:tcW w:w="540" w:type="dxa"/>
            <w:tcBorders>
              <w:top w:val="nil"/>
              <w:left w:val="nil"/>
              <w:bottom w:val="nil"/>
              <w:right w:val="nil"/>
            </w:tcBorders>
            <w:shd w:val="clear" w:color="000000" w:fill="FFFFFF"/>
            <w:noWrap/>
            <w:hideMark/>
          </w:tcPr>
          <w:p w14:paraId="13453DA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70" w:type="dxa"/>
            <w:tcBorders>
              <w:top w:val="nil"/>
              <w:left w:val="nil"/>
              <w:bottom w:val="nil"/>
              <w:right w:val="nil"/>
            </w:tcBorders>
            <w:shd w:val="clear" w:color="000000" w:fill="FFFFFF"/>
            <w:noWrap/>
            <w:hideMark/>
          </w:tcPr>
          <w:p w14:paraId="625ABD27"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540" w:type="dxa"/>
            <w:tcBorders>
              <w:top w:val="nil"/>
              <w:left w:val="nil"/>
              <w:bottom w:val="nil"/>
              <w:right w:val="nil"/>
            </w:tcBorders>
            <w:shd w:val="clear" w:color="000000" w:fill="FFFFFF"/>
            <w:noWrap/>
            <w:hideMark/>
          </w:tcPr>
          <w:p w14:paraId="4E1775A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70" w:type="dxa"/>
            <w:tcBorders>
              <w:top w:val="nil"/>
              <w:left w:val="nil"/>
              <w:bottom w:val="nil"/>
              <w:right w:val="nil"/>
            </w:tcBorders>
            <w:shd w:val="clear" w:color="000000" w:fill="FFFFFF"/>
            <w:noWrap/>
            <w:hideMark/>
          </w:tcPr>
          <w:p w14:paraId="750A7F5B"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w:t>
            </w:r>
          </w:p>
        </w:tc>
        <w:tc>
          <w:tcPr>
            <w:tcW w:w="736" w:type="dxa"/>
            <w:tcBorders>
              <w:top w:val="nil"/>
              <w:left w:val="nil"/>
              <w:bottom w:val="nil"/>
              <w:right w:val="nil"/>
            </w:tcBorders>
            <w:shd w:val="clear" w:color="000000" w:fill="FFFFFF"/>
            <w:noWrap/>
            <w:hideMark/>
          </w:tcPr>
          <w:p w14:paraId="2EC4BC86"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0.16</w:t>
            </w:r>
          </w:p>
        </w:tc>
      </w:tr>
      <w:tr w:rsidR="009A2121" w:rsidRPr="009A2121" w14:paraId="0C179406" w14:textId="77777777" w:rsidTr="009A2121">
        <w:trPr>
          <w:trHeight w:val="240"/>
        </w:trPr>
        <w:tc>
          <w:tcPr>
            <w:tcW w:w="356" w:type="dxa"/>
            <w:tcBorders>
              <w:top w:val="nil"/>
              <w:left w:val="nil"/>
              <w:bottom w:val="nil"/>
              <w:right w:val="nil"/>
            </w:tcBorders>
            <w:shd w:val="clear" w:color="000000" w:fill="FFFFFF"/>
            <w:noWrap/>
            <w:vAlign w:val="bottom"/>
            <w:hideMark/>
          </w:tcPr>
          <w:p w14:paraId="0FF1C891" w14:textId="77777777" w:rsidR="009A2121" w:rsidRPr="009A2121" w:rsidRDefault="009A2121" w:rsidP="009A2121">
            <w:pPr>
              <w:spacing w:after="0" w:line="240" w:lineRule="auto"/>
              <w:rPr>
                <w:rFonts w:ascii="Calibri" w:eastAsia="Times New Roman" w:hAnsi="Calibri" w:cs="Times New Roman"/>
                <w:b/>
                <w:bCs/>
                <w:color w:val="000000"/>
                <w:sz w:val="18"/>
                <w:szCs w:val="18"/>
              </w:rPr>
            </w:pPr>
            <w:r w:rsidRPr="009A2121">
              <w:rPr>
                <w:rFonts w:ascii="Calibri" w:eastAsia="Times New Roman" w:hAnsi="Calibri" w:cs="Times New Roman"/>
                <w:b/>
                <w:bCs/>
                <w:color w:val="000000"/>
                <w:sz w:val="18"/>
                <w:szCs w:val="18"/>
              </w:rPr>
              <w:t xml:space="preserve"> </w:t>
            </w:r>
          </w:p>
        </w:tc>
        <w:tc>
          <w:tcPr>
            <w:tcW w:w="3156" w:type="dxa"/>
            <w:tcBorders>
              <w:top w:val="nil"/>
              <w:left w:val="nil"/>
              <w:bottom w:val="nil"/>
              <w:right w:val="nil"/>
            </w:tcBorders>
            <w:shd w:val="clear" w:color="000000" w:fill="FFFFFF"/>
            <w:noWrap/>
            <w:hideMark/>
          </w:tcPr>
          <w:p w14:paraId="49A8227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Less than 100 Employees</w:t>
            </w:r>
          </w:p>
        </w:tc>
        <w:tc>
          <w:tcPr>
            <w:tcW w:w="439" w:type="dxa"/>
            <w:tcBorders>
              <w:top w:val="nil"/>
              <w:left w:val="nil"/>
              <w:bottom w:val="nil"/>
              <w:right w:val="nil"/>
            </w:tcBorders>
            <w:shd w:val="clear" w:color="000000" w:fill="FFFFFF"/>
            <w:noWrap/>
            <w:hideMark/>
          </w:tcPr>
          <w:p w14:paraId="523E12A1"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213</w:t>
            </w:r>
          </w:p>
        </w:tc>
        <w:tc>
          <w:tcPr>
            <w:tcW w:w="688" w:type="dxa"/>
            <w:tcBorders>
              <w:top w:val="nil"/>
              <w:left w:val="nil"/>
              <w:bottom w:val="nil"/>
              <w:right w:val="nil"/>
            </w:tcBorders>
            <w:shd w:val="clear" w:color="000000" w:fill="FFFFFF"/>
            <w:noWrap/>
            <w:hideMark/>
          </w:tcPr>
          <w:p w14:paraId="325D929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(22.4)</w:t>
            </w:r>
          </w:p>
        </w:tc>
        <w:tc>
          <w:tcPr>
            <w:tcW w:w="733" w:type="dxa"/>
            <w:tcBorders>
              <w:top w:val="nil"/>
              <w:left w:val="nil"/>
              <w:bottom w:val="nil"/>
              <w:right w:val="nil"/>
            </w:tcBorders>
            <w:shd w:val="clear" w:color="000000" w:fill="FFFFFF"/>
            <w:noWrap/>
            <w:hideMark/>
          </w:tcPr>
          <w:p w14:paraId="4ACC839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7420</w:t>
            </w:r>
          </w:p>
        </w:tc>
        <w:tc>
          <w:tcPr>
            <w:tcW w:w="762" w:type="dxa"/>
            <w:tcBorders>
              <w:top w:val="nil"/>
              <w:left w:val="nil"/>
              <w:bottom w:val="nil"/>
              <w:right w:val="nil"/>
            </w:tcBorders>
            <w:shd w:val="clear" w:color="000000" w:fill="FFFFFF"/>
            <w:noWrap/>
            <w:hideMark/>
          </w:tcPr>
          <w:p w14:paraId="22E20E0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(42.4)</w:t>
            </w:r>
          </w:p>
        </w:tc>
        <w:tc>
          <w:tcPr>
            <w:tcW w:w="814" w:type="dxa"/>
            <w:tcBorders>
              <w:top w:val="nil"/>
              <w:left w:val="nil"/>
              <w:bottom w:val="nil"/>
              <w:right w:val="nil"/>
            </w:tcBorders>
            <w:shd w:val="clear" w:color="000000" w:fill="FFFFFF"/>
            <w:noWrap/>
            <w:hideMark/>
          </w:tcPr>
          <w:p w14:paraId="5541F7C4"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c>
          <w:tcPr>
            <w:tcW w:w="540" w:type="dxa"/>
            <w:tcBorders>
              <w:top w:val="nil"/>
              <w:left w:val="nil"/>
              <w:bottom w:val="nil"/>
              <w:right w:val="nil"/>
            </w:tcBorders>
            <w:shd w:val="clear" w:color="000000" w:fill="FFFFFF"/>
            <w:noWrap/>
            <w:hideMark/>
          </w:tcPr>
          <w:p w14:paraId="5ECAFB6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426</w:t>
            </w:r>
          </w:p>
        </w:tc>
        <w:tc>
          <w:tcPr>
            <w:tcW w:w="770" w:type="dxa"/>
            <w:tcBorders>
              <w:top w:val="nil"/>
              <w:left w:val="nil"/>
              <w:bottom w:val="nil"/>
              <w:right w:val="nil"/>
            </w:tcBorders>
            <w:shd w:val="clear" w:color="000000" w:fill="FFFFFF"/>
            <w:noWrap/>
            <w:hideMark/>
          </w:tcPr>
          <w:p w14:paraId="2C1ACEF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(45.9)</w:t>
            </w:r>
          </w:p>
        </w:tc>
        <w:tc>
          <w:tcPr>
            <w:tcW w:w="540" w:type="dxa"/>
            <w:tcBorders>
              <w:top w:val="nil"/>
              <w:left w:val="nil"/>
              <w:bottom w:val="nil"/>
              <w:right w:val="nil"/>
            </w:tcBorders>
            <w:shd w:val="clear" w:color="000000" w:fill="FFFFFF"/>
            <w:noWrap/>
            <w:hideMark/>
          </w:tcPr>
          <w:p w14:paraId="1B83D1C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850</w:t>
            </w:r>
          </w:p>
        </w:tc>
        <w:tc>
          <w:tcPr>
            <w:tcW w:w="770" w:type="dxa"/>
            <w:tcBorders>
              <w:top w:val="nil"/>
              <w:left w:val="nil"/>
              <w:bottom w:val="nil"/>
              <w:right w:val="nil"/>
            </w:tcBorders>
            <w:shd w:val="clear" w:color="000000" w:fill="FFFFFF"/>
            <w:noWrap/>
            <w:hideMark/>
          </w:tcPr>
          <w:p w14:paraId="2B144BB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(48.7)</w:t>
            </w:r>
          </w:p>
        </w:tc>
        <w:tc>
          <w:tcPr>
            <w:tcW w:w="736" w:type="dxa"/>
            <w:tcBorders>
              <w:top w:val="nil"/>
              <w:left w:val="nil"/>
              <w:bottom w:val="nil"/>
              <w:right w:val="nil"/>
            </w:tcBorders>
            <w:shd w:val="clear" w:color="000000" w:fill="FFFFFF"/>
            <w:noWrap/>
            <w:hideMark/>
          </w:tcPr>
          <w:p w14:paraId="44A86AD7" w14:textId="77777777" w:rsidR="009A2121" w:rsidRPr="009A2121" w:rsidRDefault="009A2121" w:rsidP="009A2121">
            <w:pPr>
              <w:spacing w:after="0" w:line="240" w:lineRule="auto"/>
              <w:jc w:val="center"/>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 xml:space="preserve"> </w:t>
            </w:r>
          </w:p>
        </w:tc>
      </w:tr>
      <w:tr w:rsidR="009A2121" w:rsidRPr="009A2121" w14:paraId="1467BFBB" w14:textId="77777777" w:rsidTr="009A2121">
        <w:trPr>
          <w:trHeight w:val="240"/>
        </w:trPr>
        <w:tc>
          <w:tcPr>
            <w:tcW w:w="356" w:type="dxa"/>
            <w:tcBorders>
              <w:top w:val="nil"/>
              <w:left w:val="nil"/>
              <w:bottom w:val="nil"/>
              <w:right w:val="nil"/>
            </w:tcBorders>
            <w:shd w:val="clear" w:color="000000" w:fill="FFFFFF"/>
            <w:noWrap/>
            <w:vAlign w:val="bottom"/>
            <w:hideMark/>
          </w:tcPr>
          <w:p w14:paraId="7F965C74" w14:textId="77777777" w:rsidR="009A2121" w:rsidRPr="009A2121" w:rsidRDefault="009A2121" w:rsidP="009A2121">
            <w:pPr>
              <w:spacing w:after="0" w:line="240" w:lineRule="auto"/>
              <w:rPr>
                <w:rFonts w:ascii="Calibri" w:eastAsia="Times New Roman" w:hAnsi="Calibri" w:cs="Times New Roman"/>
                <w:color w:val="000000"/>
                <w:sz w:val="16"/>
                <w:szCs w:val="16"/>
              </w:rPr>
            </w:pPr>
            <w:r w:rsidRPr="009A2121">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4665C9C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101-500 Employees</w:t>
            </w:r>
          </w:p>
        </w:tc>
        <w:tc>
          <w:tcPr>
            <w:tcW w:w="439" w:type="dxa"/>
            <w:tcBorders>
              <w:top w:val="nil"/>
              <w:left w:val="nil"/>
              <w:bottom w:val="nil"/>
              <w:right w:val="nil"/>
            </w:tcBorders>
            <w:shd w:val="clear" w:color="000000" w:fill="FFFFFF"/>
            <w:noWrap/>
            <w:hideMark/>
          </w:tcPr>
          <w:p w14:paraId="49FA7FAE"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100</w:t>
            </w:r>
          </w:p>
        </w:tc>
        <w:tc>
          <w:tcPr>
            <w:tcW w:w="688" w:type="dxa"/>
            <w:tcBorders>
              <w:top w:val="nil"/>
              <w:left w:val="nil"/>
              <w:bottom w:val="nil"/>
              <w:right w:val="nil"/>
            </w:tcBorders>
            <w:shd w:val="clear" w:color="000000" w:fill="FFFFFF"/>
            <w:noWrap/>
            <w:hideMark/>
          </w:tcPr>
          <w:p w14:paraId="2A010C61"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(10.5)</w:t>
            </w:r>
          </w:p>
        </w:tc>
        <w:tc>
          <w:tcPr>
            <w:tcW w:w="733" w:type="dxa"/>
            <w:tcBorders>
              <w:top w:val="nil"/>
              <w:left w:val="nil"/>
              <w:bottom w:val="nil"/>
              <w:right w:val="nil"/>
            </w:tcBorders>
            <w:shd w:val="clear" w:color="000000" w:fill="FFFFFF"/>
            <w:noWrap/>
            <w:hideMark/>
          </w:tcPr>
          <w:p w14:paraId="0544BABC"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4617</w:t>
            </w:r>
          </w:p>
        </w:tc>
        <w:tc>
          <w:tcPr>
            <w:tcW w:w="762" w:type="dxa"/>
            <w:tcBorders>
              <w:top w:val="nil"/>
              <w:left w:val="nil"/>
              <w:bottom w:val="nil"/>
              <w:right w:val="nil"/>
            </w:tcBorders>
            <w:shd w:val="clear" w:color="000000" w:fill="FFFFFF"/>
            <w:noWrap/>
            <w:hideMark/>
          </w:tcPr>
          <w:p w14:paraId="38BC7B70"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(26.4)</w:t>
            </w:r>
          </w:p>
        </w:tc>
        <w:tc>
          <w:tcPr>
            <w:tcW w:w="814" w:type="dxa"/>
            <w:tcBorders>
              <w:top w:val="nil"/>
              <w:left w:val="nil"/>
              <w:bottom w:val="nil"/>
              <w:right w:val="nil"/>
            </w:tcBorders>
            <w:shd w:val="clear" w:color="000000" w:fill="FFFFFF"/>
            <w:noWrap/>
            <w:hideMark/>
          </w:tcPr>
          <w:p w14:paraId="31D859EB"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53FE6B3B"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200</w:t>
            </w:r>
          </w:p>
        </w:tc>
        <w:tc>
          <w:tcPr>
            <w:tcW w:w="770" w:type="dxa"/>
            <w:tcBorders>
              <w:top w:val="nil"/>
              <w:left w:val="nil"/>
              <w:bottom w:val="nil"/>
              <w:right w:val="nil"/>
            </w:tcBorders>
            <w:shd w:val="clear" w:color="000000" w:fill="FFFFFF"/>
            <w:noWrap/>
            <w:hideMark/>
          </w:tcPr>
          <w:p w14:paraId="62648E9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(21.5)</w:t>
            </w:r>
          </w:p>
        </w:tc>
        <w:tc>
          <w:tcPr>
            <w:tcW w:w="540" w:type="dxa"/>
            <w:tcBorders>
              <w:top w:val="nil"/>
              <w:left w:val="nil"/>
              <w:bottom w:val="nil"/>
              <w:right w:val="nil"/>
            </w:tcBorders>
            <w:shd w:val="clear" w:color="000000" w:fill="FFFFFF"/>
            <w:noWrap/>
            <w:hideMark/>
          </w:tcPr>
          <w:p w14:paraId="46C061F2"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442</w:t>
            </w:r>
          </w:p>
        </w:tc>
        <w:tc>
          <w:tcPr>
            <w:tcW w:w="770" w:type="dxa"/>
            <w:tcBorders>
              <w:top w:val="nil"/>
              <w:left w:val="nil"/>
              <w:bottom w:val="nil"/>
              <w:right w:val="nil"/>
            </w:tcBorders>
            <w:shd w:val="clear" w:color="000000" w:fill="FFFFFF"/>
            <w:noWrap/>
            <w:hideMark/>
          </w:tcPr>
          <w:p w14:paraId="5D7A683D"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(25.3)</w:t>
            </w:r>
          </w:p>
        </w:tc>
        <w:tc>
          <w:tcPr>
            <w:tcW w:w="736" w:type="dxa"/>
            <w:tcBorders>
              <w:top w:val="nil"/>
              <w:left w:val="nil"/>
              <w:bottom w:val="nil"/>
              <w:right w:val="nil"/>
            </w:tcBorders>
            <w:shd w:val="clear" w:color="000000" w:fill="FFFFFF"/>
            <w:noWrap/>
            <w:hideMark/>
          </w:tcPr>
          <w:p w14:paraId="3BFDD882"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r w:rsidR="009A2121" w:rsidRPr="009A2121" w14:paraId="1E26B231" w14:textId="77777777" w:rsidTr="009A2121">
        <w:trPr>
          <w:trHeight w:val="240"/>
        </w:trPr>
        <w:tc>
          <w:tcPr>
            <w:tcW w:w="356" w:type="dxa"/>
            <w:tcBorders>
              <w:top w:val="nil"/>
              <w:left w:val="nil"/>
              <w:bottom w:val="nil"/>
              <w:right w:val="nil"/>
            </w:tcBorders>
            <w:shd w:val="clear" w:color="000000" w:fill="FFFFFF"/>
            <w:noWrap/>
            <w:vAlign w:val="bottom"/>
            <w:hideMark/>
          </w:tcPr>
          <w:p w14:paraId="6B332DDE" w14:textId="77777777" w:rsidR="009A2121" w:rsidRPr="009A2121" w:rsidRDefault="009A2121" w:rsidP="009A2121">
            <w:pPr>
              <w:spacing w:after="0" w:line="240" w:lineRule="auto"/>
              <w:rPr>
                <w:rFonts w:ascii="Calibri" w:eastAsia="Times New Roman" w:hAnsi="Calibri" w:cs="Times New Roman"/>
                <w:color w:val="000000"/>
                <w:sz w:val="16"/>
                <w:szCs w:val="16"/>
              </w:rPr>
            </w:pPr>
            <w:r w:rsidRPr="009A2121">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25737BAF"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501-2500 Employees</w:t>
            </w:r>
          </w:p>
        </w:tc>
        <w:tc>
          <w:tcPr>
            <w:tcW w:w="439" w:type="dxa"/>
            <w:tcBorders>
              <w:top w:val="nil"/>
              <w:left w:val="nil"/>
              <w:bottom w:val="nil"/>
              <w:right w:val="nil"/>
            </w:tcBorders>
            <w:shd w:val="clear" w:color="000000" w:fill="FFFFFF"/>
            <w:noWrap/>
            <w:hideMark/>
          </w:tcPr>
          <w:p w14:paraId="5A5CC0EA"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246</w:t>
            </w:r>
          </w:p>
        </w:tc>
        <w:tc>
          <w:tcPr>
            <w:tcW w:w="688" w:type="dxa"/>
            <w:tcBorders>
              <w:top w:val="nil"/>
              <w:left w:val="nil"/>
              <w:bottom w:val="nil"/>
              <w:right w:val="nil"/>
            </w:tcBorders>
            <w:shd w:val="clear" w:color="000000" w:fill="FFFFFF"/>
            <w:noWrap/>
            <w:hideMark/>
          </w:tcPr>
          <w:p w14:paraId="3361B0C4"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(25.8)</w:t>
            </w:r>
          </w:p>
        </w:tc>
        <w:tc>
          <w:tcPr>
            <w:tcW w:w="733" w:type="dxa"/>
            <w:tcBorders>
              <w:top w:val="nil"/>
              <w:left w:val="nil"/>
              <w:bottom w:val="nil"/>
              <w:right w:val="nil"/>
            </w:tcBorders>
            <w:shd w:val="clear" w:color="000000" w:fill="FFFFFF"/>
            <w:noWrap/>
            <w:hideMark/>
          </w:tcPr>
          <w:p w14:paraId="45C72E49"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2706</w:t>
            </w:r>
          </w:p>
        </w:tc>
        <w:tc>
          <w:tcPr>
            <w:tcW w:w="762" w:type="dxa"/>
            <w:tcBorders>
              <w:top w:val="nil"/>
              <w:left w:val="nil"/>
              <w:bottom w:val="nil"/>
              <w:right w:val="nil"/>
            </w:tcBorders>
            <w:shd w:val="clear" w:color="000000" w:fill="FFFFFF"/>
            <w:noWrap/>
            <w:hideMark/>
          </w:tcPr>
          <w:p w14:paraId="0547939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(15.5)</w:t>
            </w:r>
          </w:p>
        </w:tc>
        <w:tc>
          <w:tcPr>
            <w:tcW w:w="814" w:type="dxa"/>
            <w:tcBorders>
              <w:top w:val="nil"/>
              <w:left w:val="nil"/>
              <w:bottom w:val="nil"/>
              <w:right w:val="nil"/>
            </w:tcBorders>
            <w:shd w:val="clear" w:color="000000" w:fill="FFFFFF"/>
            <w:noWrap/>
            <w:hideMark/>
          </w:tcPr>
          <w:p w14:paraId="25F6D9DC"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0A108F03"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490</w:t>
            </w:r>
          </w:p>
        </w:tc>
        <w:tc>
          <w:tcPr>
            <w:tcW w:w="770" w:type="dxa"/>
            <w:tcBorders>
              <w:top w:val="nil"/>
              <w:left w:val="nil"/>
              <w:bottom w:val="nil"/>
              <w:right w:val="nil"/>
            </w:tcBorders>
            <w:shd w:val="clear" w:color="000000" w:fill="FFFFFF"/>
            <w:noWrap/>
            <w:hideMark/>
          </w:tcPr>
          <w:p w14:paraId="384B2182"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(52.7)</w:t>
            </w:r>
          </w:p>
        </w:tc>
        <w:tc>
          <w:tcPr>
            <w:tcW w:w="540" w:type="dxa"/>
            <w:tcBorders>
              <w:top w:val="nil"/>
              <w:left w:val="nil"/>
              <w:bottom w:val="nil"/>
              <w:right w:val="nil"/>
            </w:tcBorders>
            <w:shd w:val="clear" w:color="000000" w:fill="FFFFFF"/>
            <w:noWrap/>
            <w:hideMark/>
          </w:tcPr>
          <w:p w14:paraId="355153A4"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898</w:t>
            </w:r>
          </w:p>
        </w:tc>
        <w:tc>
          <w:tcPr>
            <w:tcW w:w="770" w:type="dxa"/>
            <w:tcBorders>
              <w:top w:val="nil"/>
              <w:left w:val="nil"/>
              <w:bottom w:val="nil"/>
              <w:right w:val="nil"/>
            </w:tcBorders>
            <w:shd w:val="clear" w:color="000000" w:fill="FFFFFF"/>
            <w:noWrap/>
            <w:hideMark/>
          </w:tcPr>
          <w:p w14:paraId="0C028523"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(51.5)</w:t>
            </w:r>
          </w:p>
        </w:tc>
        <w:tc>
          <w:tcPr>
            <w:tcW w:w="736" w:type="dxa"/>
            <w:tcBorders>
              <w:top w:val="nil"/>
              <w:left w:val="nil"/>
              <w:bottom w:val="nil"/>
              <w:right w:val="nil"/>
            </w:tcBorders>
            <w:shd w:val="clear" w:color="000000" w:fill="FFFFFF"/>
            <w:noWrap/>
            <w:hideMark/>
          </w:tcPr>
          <w:p w14:paraId="57BA38ED"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r w:rsidR="009A2121" w:rsidRPr="009A2121" w14:paraId="1F3E5A64" w14:textId="77777777" w:rsidTr="009A2121">
        <w:trPr>
          <w:trHeight w:val="240"/>
        </w:trPr>
        <w:tc>
          <w:tcPr>
            <w:tcW w:w="356" w:type="dxa"/>
            <w:tcBorders>
              <w:top w:val="nil"/>
              <w:left w:val="nil"/>
              <w:bottom w:val="nil"/>
              <w:right w:val="nil"/>
            </w:tcBorders>
            <w:shd w:val="clear" w:color="000000" w:fill="FFFFFF"/>
            <w:noWrap/>
            <w:vAlign w:val="bottom"/>
            <w:hideMark/>
          </w:tcPr>
          <w:p w14:paraId="4D8ED053" w14:textId="77777777" w:rsidR="009A2121" w:rsidRPr="009A2121" w:rsidRDefault="009A2121" w:rsidP="009A2121">
            <w:pPr>
              <w:spacing w:after="0" w:line="240" w:lineRule="auto"/>
              <w:rPr>
                <w:rFonts w:ascii="Calibri" w:eastAsia="Times New Roman" w:hAnsi="Calibri" w:cs="Times New Roman"/>
                <w:color w:val="000000"/>
                <w:sz w:val="16"/>
                <w:szCs w:val="16"/>
              </w:rPr>
            </w:pPr>
            <w:r w:rsidRPr="009A2121">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7ADAE7C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2500+ Employees</w:t>
            </w:r>
          </w:p>
        </w:tc>
        <w:tc>
          <w:tcPr>
            <w:tcW w:w="439" w:type="dxa"/>
            <w:tcBorders>
              <w:top w:val="nil"/>
              <w:left w:val="nil"/>
              <w:bottom w:val="nil"/>
              <w:right w:val="nil"/>
            </w:tcBorders>
            <w:shd w:val="clear" w:color="000000" w:fill="FFFFFF"/>
            <w:noWrap/>
            <w:hideMark/>
          </w:tcPr>
          <w:p w14:paraId="3AFA9F2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394</w:t>
            </w:r>
          </w:p>
        </w:tc>
        <w:tc>
          <w:tcPr>
            <w:tcW w:w="688" w:type="dxa"/>
            <w:tcBorders>
              <w:top w:val="nil"/>
              <w:left w:val="nil"/>
              <w:bottom w:val="nil"/>
              <w:right w:val="nil"/>
            </w:tcBorders>
            <w:shd w:val="clear" w:color="000000" w:fill="FFFFFF"/>
            <w:noWrap/>
            <w:hideMark/>
          </w:tcPr>
          <w:p w14:paraId="3BB85756"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(41.3)</w:t>
            </w:r>
          </w:p>
        </w:tc>
        <w:tc>
          <w:tcPr>
            <w:tcW w:w="733" w:type="dxa"/>
            <w:tcBorders>
              <w:top w:val="nil"/>
              <w:left w:val="nil"/>
              <w:bottom w:val="nil"/>
              <w:right w:val="nil"/>
            </w:tcBorders>
            <w:shd w:val="clear" w:color="000000" w:fill="FFFFFF"/>
            <w:noWrap/>
            <w:hideMark/>
          </w:tcPr>
          <w:p w14:paraId="29FB529D"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2744</w:t>
            </w:r>
          </w:p>
        </w:tc>
        <w:tc>
          <w:tcPr>
            <w:tcW w:w="762" w:type="dxa"/>
            <w:tcBorders>
              <w:top w:val="nil"/>
              <w:left w:val="nil"/>
              <w:bottom w:val="nil"/>
              <w:right w:val="nil"/>
            </w:tcBorders>
            <w:shd w:val="clear" w:color="000000" w:fill="FFFFFF"/>
            <w:noWrap/>
            <w:hideMark/>
          </w:tcPr>
          <w:p w14:paraId="299D18BE"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(15.7)</w:t>
            </w:r>
          </w:p>
        </w:tc>
        <w:tc>
          <w:tcPr>
            <w:tcW w:w="814" w:type="dxa"/>
            <w:tcBorders>
              <w:top w:val="nil"/>
              <w:left w:val="nil"/>
              <w:bottom w:val="nil"/>
              <w:right w:val="nil"/>
            </w:tcBorders>
            <w:shd w:val="clear" w:color="000000" w:fill="FFFFFF"/>
            <w:noWrap/>
            <w:hideMark/>
          </w:tcPr>
          <w:p w14:paraId="0ACB0459"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c>
          <w:tcPr>
            <w:tcW w:w="540" w:type="dxa"/>
            <w:tcBorders>
              <w:top w:val="nil"/>
              <w:left w:val="nil"/>
              <w:bottom w:val="nil"/>
              <w:right w:val="nil"/>
            </w:tcBorders>
            <w:shd w:val="clear" w:color="000000" w:fill="FFFFFF"/>
            <w:noWrap/>
            <w:hideMark/>
          </w:tcPr>
          <w:p w14:paraId="29727D3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742</w:t>
            </w:r>
          </w:p>
        </w:tc>
        <w:tc>
          <w:tcPr>
            <w:tcW w:w="770" w:type="dxa"/>
            <w:tcBorders>
              <w:top w:val="nil"/>
              <w:left w:val="nil"/>
              <w:bottom w:val="nil"/>
              <w:right w:val="nil"/>
            </w:tcBorders>
            <w:shd w:val="clear" w:color="000000" w:fill="FFFFFF"/>
            <w:noWrap/>
            <w:hideMark/>
          </w:tcPr>
          <w:p w14:paraId="283A40E8"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(79.9)</w:t>
            </w:r>
          </w:p>
        </w:tc>
        <w:tc>
          <w:tcPr>
            <w:tcW w:w="540" w:type="dxa"/>
            <w:tcBorders>
              <w:top w:val="nil"/>
              <w:left w:val="nil"/>
              <w:bottom w:val="nil"/>
              <w:right w:val="nil"/>
            </w:tcBorders>
            <w:shd w:val="clear" w:color="000000" w:fill="FFFFFF"/>
            <w:noWrap/>
            <w:hideMark/>
          </w:tcPr>
          <w:p w14:paraId="5DD8D846" w14:textId="77777777" w:rsidR="009A2121" w:rsidRPr="009A2121" w:rsidRDefault="009A2121" w:rsidP="009A2121">
            <w:pPr>
              <w:spacing w:after="0" w:line="240" w:lineRule="auto"/>
              <w:jc w:val="right"/>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1300</w:t>
            </w:r>
          </w:p>
        </w:tc>
        <w:tc>
          <w:tcPr>
            <w:tcW w:w="770" w:type="dxa"/>
            <w:tcBorders>
              <w:top w:val="nil"/>
              <w:left w:val="nil"/>
              <w:bottom w:val="nil"/>
              <w:right w:val="nil"/>
            </w:tcBorders>
            <w:shd w:val="clear" w:color="000000" w:fill="FFFFFF"/>
            <w:noWrap/>
            <w:hideMark/>
          </w:tcPr>
          <w:p w14:paraId="62EDE705" w14:textId="77777777" w:rsidR="009A2121" w:rsidRPr="009A2121" w:rsidRDefault="009A2121" w:rsidP="009A2121">
            <w:pPr>
              <w:spacing w:after="0" w:line="240" w:lineRule="auto"/>
              <w:rPr>
                <w:rFonts w:ascii="Calibri" w:eastAsia="Times New Roman" w:hAnsi="Calibri" w:cs="Times New Roman"/>
                <w:color w:val="000000"/>
                <w:sz w:val="18"/>
                <w:szCs w:val="18"/>
              </w:rPr>
            </w:pPr>
            <w:r w:rsidRPr="009A2121">
              <w:rPr>
                <w:rFonts w:ascii="Calibri" w:eastAsia="Times New Roman" w:hAnsi="Calibri" w:cs="Times New Roman"/>
                <w:color w:val="000000"/>
                <w:sz w:val="18"/>
                <w:szCs w:val="18"/>
              </w:rPr>
              <w:t>(74.5)</w:t>
            </w:r>
          </w:p>
        </w:tc>
        <w:tc>
          <w:tcPr>
            <w:tcW w:w="736" w:type="dxa"/>
            <w:tcBorders>
              <w:top w:val="nil"/>
              <w:left w:val="nil"/>
              <w:bottom w:val="nil"/>
              <w:right w:val="nil"/>
            </w:tcBorders>
            <w:shd w:val="clear" w:color="000000" w:fill="FFFFFF"/>
            <w:noWrap/>
            <w:hideMark/>
          </w:tcPr>
          <w:p w14:paraId="5BC492BE" w14:textId="77777777" w:rsidR="009A2121" w:rsidRPr="009A2121" w:rsidRDefault="009A2121" w:rsidP="009A2121">
            <w:pPr>
              <w:spacing w:after="0" w:line="240" w:lineRule="auto"/>
              <w:jc w:val="center"/>
              <w:rPr>
                <w:rFonts w:ascii="Calibri" w:eastAsia="Times New Roman" w:hAnsi="Calibri" w:cs="Times New Roman"/>
                <w:color w:val="000000"/>
              </w:rPr>
            </w:pPr>
            <w:r w:rsidRPr="009A2121">
              <w:rPr>
                <w:rFonts w:ascii="Calibri" w:eastAsia="Times New Roman" w:hAnsi="Calibri" w:cs="Times New Roman"/>
                <w:color w:val="000000"/>
              </w:rPr>
              <w:t xml:space="preserve"> </w:t>
            </w:r>
          </w:p>
        </w:tc>
      </w:tr>
    </w:tbl>
    <w:p w14:paraId="59842638" w14:textId="77777777" w:rsidR="00726A2D" w:rsidRPr="007E159E" w:rsidRDefault="00726A2D" w:rsidP="00726A2D">
      <w:pPr>
        <w:spacing w:after="0" w:line="240" w:lineRule="auto"/>
        <w:rPr>
          <w:rFonts w:ascii="Calibri" w:eastAsia="Times New Roman" w:hAnsi="Calibri" w:cs="Calibri"/>
          <w:color w:val="000000"/>
          <w:sz w:val="18"/>
          <w:szCs w:val="18"/>
        </w:rPr>
      </w:pPr>
      <w:r w:rsidRPr="007E159E">
        <w:rPr>
          <w:rFonts w:ascii="Calibri" w:eastAsia="Times New Roman" w:hAnsi="Calibri" w:cs="Calibri"/>
          <w:color w:val="000000"/>
          <w:sz w:val="18"/>
          <w:szCs w:val="18"/>
        </w:rPr>
        <w:t xml:space="preserve">Abbreviations: ACG, Adjusted Clinical Group; PDL, Preventive Drug List; OOP, out of pocket.  </w:t>
      </w:r>
      <w:r w:rsidRPr="007E159E">
        <w:rPr>
          <w:rFonts w:ascii="Calibri" w:eastAsia="Times New Roman" w:hAnsi="Calibri" w:cs="Calibri"/>
          <w:color w:val="000000"/>
          <w:sz w:val="18"/>
          <w:szCs w:val="18"/>
          <w:vertAlign w:val="superscript"/>
        </w:rPr>
        <w:t>1</w:t>
      </w:r>
      <w:r w:rsidRPr="007E159E">
        <w:rPr>
          <w:rFonts w:ascii="Calibri" w:eastAsia="Times New Roman" w:hAnsi="Calibri" w:cs="Calibri"/>
          <w:color w:val="000000"/>
          <w:sz w:val="18"/>
          <w:szCs w:val="18"/>
        </w:rPr>
        <w:t xml:space="preserve"> Defined as high-income. </w:t>
      </w:r>
      <w:r w:rsidRPr="007E159E">
        <w:rPr>
          <w:rFonts w:ascii="Calibri" w:eastAsia="Times New Roman" w:hAnsi="Calibri" w:cs="Calibri"/>
          <w:color w:val="000000"/>
          <w:sz w:val="18"/>
          <w:szCs w:val="18"/>
          <w:vertAlign w:val="superscript"/>
        </w:rPr>
        <w:t>2</w:t>
      </w:r>
      <w:r w:rsidRPr="007E159E">
        <w:rPr>
          <w:rFonts w:ascii="Calibri" w:eastAsia="Times New Roman" w:hAnsi="Calibri" w:cs="Calibri"/>
          <w:color w:val="000000"/>
          <w:sz w:val="18"/>
          <w:szCs w:val="18"/>
        </w:rPr>
        <w:t xml:space="preserve"> Defined as lower income. </w:t>
      </w:r>
      <w:r w:rsidRPr="007E159E">
        <w:rPr>
          <w:rFonts w:ascii="Calibri" w:eastAsia="Times New Roman" w:hAnsi="Calibri" w:cs="Calibri"/>
          <w:color w:val="000000"/>
          <w:sz w:val="18"/>
          <w:szCs w:val="18"/>
          <w:vertAlign w:val="superscript"/>
        </w:rPr>
        <w:t>3</w:t>
      </w:r>
      <w:r w:rsidRPr="007E159E">
        <w:rPr>
          <w:rFonts w:ascii="Calibri" w:eastAsia="Times New Roman" w:hAnsi="Calibri" w:cs="Calibri"/>
          <w:color w:val="000000"/>
          <w:sz w:val="18"/>
          <w:szCs w:val="18"/>
        </w:rPr>
        <w:t xml:space="preserve"> See manuscript for definition of race/ethnicity categories. </w:t>
      </w:r>
      <w:r w:rsidRPr="007E159E">
        <w:rPr>
          <w:rFonts w:ascii="Calibri" w:eastAsia="Times New Roman" w:hAnsi="Calibri" w:cs="Calibri"/>
          <w:color w:val="000000"/>
          <w:sz w:val="18"/>
          <w:szCs w:val="18"/>
          <w:vertAlign w:val="superscript"/>
        </w:rPr>
        <w:t>*</w:t>
      </w:r>
      <w:r w:rsidRPr="007E159E">
        <w:rPr>
          <w:rFonts w:ascii="Calibri" w:eastAsia="Times New Roman" w:hAnsi="Calibri" w:cs="Calibri"/>
          <w:color w:val="000000"/>
          <w:sz w:val="18"/>
          <w:szCs w:val="18"/>
        </w:rPr>
        <w:t xml:space="preserve"> Lower standardized differences indicate greater similarity. </w:t>
      </w:r>
      <w:r w:rsidRPr="007E159E">
        <w:rPr>
          <w:rFonts w:ascii="Calibri" w:eastAsia="Times New Roman" w:hAnsi="Calibri" w:cs="Calibri"/>
          <w:color w:val="000000"/>
          <w:sz w:val="18"/>
          <w:szCs w:val="18"/>
          <w:vertAlign w:val="superscript"/>
        </w:rPr>
        <w:t>**</w:t>
      </w:r>
      <w:r w:rsidRPr="007E159E">
        <w:rPr>
          <w:rFonts w:ascii="Calibri" w:eastAsia="Times New Roman" w:hAnsi="Calibri" w:cs="Calibri"/>
          <w:color w:val="000000"/>
          <w:sz w:val="18"/>
          <w:szCs w:val="18"/>
        </w:rPr>
        <w:t xml:space="preserve"> An ACG Score of 1.0 represents the mean score of the reference population</w:t>
      </w:r>
    </w:p>
    <w:p w14:paraId="70A1D86E" w14:textId="77777777" w:rsidR="003025EB" w:rsidRDefault="003025EB" w:rsidP="00B10CD1">
      <w:pPr>
        <w:spacing w:after="160" w:line="259" w:lineRule="auto"/>
      </w:pPr>
    </w:p>
    <w:p w14:paraId="1D0DF8B4" w14:textId="77777777" w:rsidR="00C41753" w:rsidRDefault="00D41B24" w:rsidP="00B10CD1">
      <w:pPr>
        <w:spacing w:after="160" w:line="259" w:lineRule="auto"/>
        <w:sectPr w:rsidR="00C41753" w:rsidSect="007604B7">
          <w:pgSz w:w="12240" w:h="15840"/>
          <w:pgMar w:top="720" w:right="720" w:bottom="720" w:left="720" w:header="720" w:footer="720" w:gutter="0"/>
          <w:cols w:space="720"/>
          <w:docGrid w:linePitch="299"/>
        </w:sectPr>
      </w:pPr>
      <w:r>
        <w:br w:type="page"/>
      </w:r>
    </w:p>
    <w:p w14:paraId="63509463" w14:textId="7374761D" w:rsidR="00C41753" w:rsidRDefault="00C41753" w:rsidP="00C41753">
      <w:pPr>
        <w:spacing w:after="0" w:line="240" w:lineRule="auto"/>
        <w:rPr>
          <w:rFonts w:ascii="Calibri" w:eastAsia="Times New Roman" w:hAnsi="Calibri" w:cs="Calibri"/>
          <w:b/>
          <w:bCs/>
          <w:color w:val="000000"/>
        </w:rPr>
      </w:pPr>
      <w:r w:rsidRPr="00753C13">
        <w:rPr>
          <w:b/>
        </w:rPr>
        <w:lastRenderedPageBreak/>
        <w:t>SDC Table 5</w:t>
      </w:r>
      <w:r w:rsidR="00711477">
        <w:rPr>
          <w:b/>
        </w:rPr>
        <w:t>b</w:t>
      </w:r>
      <w:r w:rsidR="00095A9D">
        <w:rPr>
          <w:b/>
        </w:rPr>
        <w:t>.</w:t>
      </w:r>
      <w:r>
        <w:rPr>
          <w:b/>
        </w:rPr>
        <w:t xml:space="preserve"> </w:t>
      </w:r>
      <w:r w:rsidR="00993A25" w:rsidRPr="007604B7">
        <w:rPr>
          <w:rFonts w:ascii="Calibri" w:eastAsia="Times New Roman" w:hAnsi="Calibri" w:cs="Calibri"/>
          <w:b/>
          <w:bCs/>
          <w:color w:val="000000"/>
        </w:rPr>
        <w:t xml:space="preserve">Baseline characteristics of PDL and control patients living in neighborhoods with </w:t>
      </w:r>
      <w:r w:rsidR="00DC5F95">
        <w:rPr>
          <w:rFonts w:ascii="Calibri" w:eastAsia="Times New Roman" w:hAnsi="Calibri" w:cs="Calibri"/>
          <w:b/>
          <w:bCs/>
          <w:color w:val="000000"/>
        </w:rPr>
        <w:t>≥</w:t>
      </w:r>
      <w:r w:rsidR="00993A25" w:rsidRPr="007604B7">
        <w:rPr>
          <w:rFonts w:ascii="Calibri" w:eastAsia="Times New Roman" w:hAnsi="Calibri" w:cs="Calibri"/>
          <w:b/>
          <w:bCs/>
          <w:color w:val="000000"/>
        </w:rPr>
        <w:t>10% below poverty</w:t>
      </w:r>
      <w:r w:rsidR="00993A25">
        <w:rPr>
          <w:rFonts w:ascii="Calibri" w:eastAsia="Times New Roman" w:hAnsi="Calibri" w:cs="Calibri"/>
          <w:b/>
          <w:bCs/>
          <w:color w:val="000000"/>
        </w:rPr>
        <w:t xml:space="preserve"> (</w:t>
      </w:r>
      <w:r w:rsidR="00DC5F95">
        <w:rPr>
          <w:rFonts w:ascii="Calibri" w:eastAsia="Times New Roman" w:hAnsi="Calibri" w:cs="Calibri"/>
          <w:b/>
          <w:bCs/>
          <w:color w:val="000000"/>
        </w:rPr>
        <w:t>lower income</w:t>
      </w:r>
      <w:r w:rsidR="00993A25">
        <w:rPr>
          <w:rFonts w:ascii="Calibri" w:eastAsia="Times New Roman" w:hAnsi="Calibri" w:cs="Calibri"/>
          <w:b/>
          <w:bCs/>
          <w:color w:val="000000"/>
        </w:rPr>
        <w:t>)</w:t>
      </w:r>
      <w:r w:rsidR="00993A25" w:rsidRPr="007604B7">
        <w:rPr>
          <w:rFonts w:ascii="Calibri" w:eastAsia="Times New Roman" w:hAnsi="Calibri" w:cs="Calibri"/>
          <w:b/>
          <w:bCs/>
          <w:color w:val="000000"/>
        </w:rPr>
        <w:t>, before and after the propensity score match</w:t>
      </w:r>
    </w:p>
    <w:p w14:paraId="5C7E3BA3" w14:textId="77777777" w:rsidR="0047121B" w:rsidRDefault="0047121B" w:rsidP="00C41753">
      <w:pPr>
        <w:spacing w:after="0" w:line="240" w:lineRule="auto"/>
        <w:rPr>
          <w:rFonts w:ascii="Calibri" w:eastAsia="Times New Roman" w:hAnsi="Calibri" w:cs="Calibri"/>
          <w:b/>
          <w:bCs/>
          <w:color w:val="000000"/>
        </w:rPr>
      </w:pPr>
    </w:p>
    <w:tbl>
      <w:tblPr>
        <w:tblW w:w="10304" w:type="dxa"/>
        <w:tblLook w:val="04A0" w:firstRow="1" w:lastRow="0" w:firstColumn="1" w:lastColumn="0" w:noHBand="0" w:noVBand="1"/>
      </w:tblPr>
      <w:tblGrid>
        <w:gridCol w:w="356"/>
        <w:gridCol w:w="3156"/>
        <w:gridCol w:w="490"/>
        <w:gridCol w:w="703"/>
        <w:gridCol w:w="749"/>
        <w:gridCol w:w="703"/>
        <w:gridCol w:w="832"/>
        <w:gridCol w:w="490"/>
        <w:gridCol w:w="722"/>
        <w:gridCol w:w="614"/>
        <w:gridCol w:w="722"/>
        <w:gridCol w:w="837"/>
      </w:tblGrid>
      <w:tr w:rsidR="003D58B4" w:rsidRPr="003D58B4" w14:paraId="6393FD54" w14:textId="77777777" w:rsidTr="003D58B4">
        <w:trPr>
          <w:trHeight w:val="204"/>
        </w:trPr>
        <w:tc>
          <w:tcPr>
            <w:tcW w:w="356" w:type="dxa"/>
            <w:tcBorders>
              <w:top w:val="nil"/>
              <w:left w:val="nil"/>
              <w:bottom w:val="nil"/>
              <w:right w:val="nil"/>
            </w:tcBorders>
            <w:shd w:val="clear" w:color="000000" w:fill="FFFFFF"/>
            <w:noWrap/>
            <w:vAlign w:val="bottom"/>
            <w:hideMark/>
          </w:tcPr>
          <w:p w14:paraId="0F12CD7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3156" w:type="dxa"/>
            <w:tcBorders>
              <w:top w:val="nil"/>
              <w:left w:val="nil"/>
              <w:bottom w:val="nil"/>
              <w:right w:val="nil"/>
            </w:tcBorders>
            <w:shd w:val="clear" w:color="000000" w:fill="FFFFFF"/>
            <w:noWrap/>
            <w:vAlign w:val="bottom"/>
            <w:hideMark/>
          </w:tcPr>
          <w:p w14:paraId="5F60391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3436" w:type="dxa"/>
            <w:gridSpan w:val="5"/>
            <w:tcBorders>
              <w:top w:val="nil"/>
              <w:left w:val="nil"/>
              <w:bottom w:val="nil"/>
              <w:right w:val="nil"/>
            </w:tcBorders>
            <w:shd w:val="clear" w:color="000000" w:fill="FFFFFF"/>
            <w:noWrap/>
            <w:vAlign w:val="bottom"/>
            <w:hideMark/>
          </w:tcPr>
          <w:p w14:paraId="097C48A2"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Before Propensity Matching</w:t>
            </w:r>
          </w:p>
        </w:tc>
        <w:tc>
          <w:tcPr>
            <w:tcW w:w="3356" w:type="dxa"/>
            <w:gridSpan w:val="5"/>
            <w:tcBorders>
              <w:top w:val="nil"/>
              <w:left w:val="nil"/>
              <w:bottom w:val="nil"/>
              <w:right w:val="nil"/>
            </w:tcBorders>
            <w:shd w:val="clear" w:color="000000" w:fill="FFFFFF"/>
            <w:noWrap/>
            <w:vAlign w:val="bottom"/>
            <w:hideMark/>
          </w:tcPr>
          <w:p w14:paraId="7FFB37AE"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After Propensity Matching</w:t>
            </w:r>
          </w:p>
        </w:tc>
      </w:tr>
      <w:tr w:rsidR="003D58B4" w:rsidRPr="003D58B4" w14:paraId="2F075ABF" w14:textId="77777777" w:rsidTr="003D58B4">
        <w:trPr>
          <w:trHeight w:val="264"/>
        </w:trPr>
        <w:tc>
          <w:tcPr>
            <w:tcW w:w="356" w:type="dxa"/>
            <w:tcBorders>
              <w:top w:val="nil"/>
              <w:left w:val="nil"/>
              <w:bottom w:val="nil"/>
              <w:right w:val="nil"/>
            </w:tcBorders>
            <w:shd w:val="clear" w:color="000000" w:fill="FFFFFF"/>
            <w:noWrap/>
            <w:hideMark/>
          </w:tcPr>
          <w:p w14:paraId="3F6A67BE"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 </w:t>
            </w:r>
          </w:p>
        </w:tc>
        <w:tc>
          <w:tcPr>
            <w:tcW w:w="3156" w:type="dxa"/>
            <w:tcBorders>
              <w:top w:val="nil"/>
              <w:left w:val="nil"/>
              <w:bottom w:val="nil"/>
              <w:right w:val="nil"/>
            </w:tcBorders>
            <w:shd w:val="clear" w:color="000000" w:fill="FFFFFF"/>
            <w:noWrap/>
            <w:hideMark/>
          </w:tcPr>
          <w:p w14:paraId="701AB0E6"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 </w:t>
            </w:r>
          </w:p>
        </w:tc>
        <w:tc>
          <w:tcPr>
            <w:tcW w:w="1152" w:type="dxa"/>
            <w:gridSpan w:val="2"/>
            <w:tcBorders>
              <w:top w:val="nil"/>
              <w:left w:val="nil"/>
              <w:bottom w:val="nil"/>
              <w:right w:val="nil"/>
            </w:tcBorders>
            <w:shd w:val="clear" w:color="000000" w:fill="FFFFFF"/>
            <w:hideMark/>
          </w:tcPr>
          <w:p w14:paraId="4B014F54"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PDL Group</w:t>
            </w:r>
          </w:p>
        </w:tc>
        <w:tc>
          <w:tcPr>
            <w:tcW w:w="1452" w:type="dxa"/>
            <w:gridSpan w:val="2"/>
            <w:tcBorders>
              <w:top w:val="nil"/>
              <w:left w:val="nil"/>
              <w:bottom w:val="nil"/>
              <w:right w:val="nil"/>
            </w:tcBorders>
            <w:shd w:val="clear" w:color="000000" w:fill="FFFFFF"/>
            <w:hideMark/>
          </w:tcPr>
          <w:p w14:paraId="0C4D3963"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Control Group</w:t>
            </w:r>
          </w:p>
        </w:tc>
        <w:tc>
          <w:tcPr>
            <w:tcW w:w="832" w:type="dxa"/>
            <w:tcBorders>
              <w:top w:val="nil"/>
              <w:left w:val="nil"/>
              <w:bottom w:val="nil"/>
              <w:right w:val="nil"/>
            </w:tcBorders>
            <w:shd w:val="clear" w:color="000000" w:fill="FFFFFF"/>
            <w:hideMark/>
          </w:tcPr>
          <w:p w14:paraId="099F45B6"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Std.</w:t>
            </w:r>
          </w:p>
        </w:tc>
        <w:tc>
          <w:tcPr>
            <w:tcW w:w="1183" w:type="dxa"/>
            <w:gridSpan w:val="2"/>
            <w:tcBorders>
              <w:top w:val="nil"/>
              <w:left w:val="nil"/>
              <w:bottom w:val="nil"/>
              <w:right w:val="nil"/>
            </w:tcBorders>
            <w:shd w:val="clear" w:color="000000" w:fill="FFFFFF"/>
            <w:hideMark/>
          </w:tcPr>
          <w:p w14:paraId="3E421A2E"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PDL Group</w:t>
            </w:r>
          </w:p>
        </w:tc>
        <w:tc>
          <w:tcPr>
            <w:tcW w:w="1336" w:type="dxa"/>
            <w:gridSpan w:val="2"/>
            <w:tcBorders>
              <w:top w:val="nil"/>
              <w:left w:val="nil"/>
              <w:bottom w:val="nil"/>
              <w:right w:val="nil"/>
            </w:tcBorders>
            <w:shd w:val="clear" w:color="000000" w:fill="FFFFFF"/>
            <w:hideMark/>
          </w:tcPr>
          <w:p w14:paraId="08F31FFF"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Control Group</w:t>
            </w:r>
          </w:p>
        </w:tc>
        <w:tc>
          <w:tcPr>
            <w:tcW w:w="837" w:type="dxa"/>
            <w:tcBorders>
              <w:top w:val="nil"/>
              <w:left w:val="nil"/>
              <w:bottom w:val="nil"/>
              <w:right w:val="nil"/>
            </w:tcBorders>
            <w:shd w:val="clear" w:color="000000" w:fill="FFFFFF"/>
            <w:hideMark/>
          </w:tcPr>
          <w:p w14:paraId="721F1F79"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Std.</w:t>
            </w:r>
          </w:p>
        </w:tc>
      </w:tr>
      <w:tr w:rsidR="003D58B4" w:rsidRPr="003D58B4" w14:paraId="6C425BD0" w14:textId="77777777" w:rsidTr="003D58B4">
        <w:trPr>
          <w:trHeight w:val="312"/>
        </w:trPr>
        <w:tc>
          <w:tcPr>
            <w:tcW w:w="356" w:type="dxa"/>
            <w:tcBorders>
              <w:top w:val="nil"/>
              <w:left w:val="nil"/>
              <w:bottom w:val="nil"/>
              <w:right w:val="nil"/>
            </w:tcBorders>
            <w:shd w:val="clear" w:color="000000" w:fill="FFFFFF"/>
            <w:noWrap/>
            <w:hideMark/>
          </w:tcPr>
          <w:p w14:paraId="4831198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3156" w:type="dxa"/>
            <w:tcBorders>
              <w:top w:val="nil"/>
              <w:left w:val="nil"/>
              <w:bottom w:val="nil"/>
              <w:right w:val="nil"/>
            </w:tcBorders>
            <w:shd w:val="clear" w:color="000000" w:fill="FFFFFF"/>
            <w:noWrap/>
            <w:hideMark/>
          </w:tcPr>
          <w:p w14:paraId="1EADC044" w14:textId="77777777" w:rsidR="003D58B4" w:rsidRPr="003D58B4" w:rsidRDefault="003D58B4" w:rsidP="003D58B4">
            <w:pPr>
              <w:spacing w:after="0" w:line="240" w:lineRule="auto"/>
              <w:rPr>
                <w:rFonts w:ascii="Calibri" w:eastAsia="Times New Roman" w:hAnsi="Calibri" w:cs="Times New Roman"/>
                <w:b/>
                <w:bCs/>
                <w:color w:val="FFFFFF"/>
                <w:sz w:val="18"/>
                <w:szCs w:val="18"/>
              </w:rPr>
            </w:pPr>
            <w:r w:rsidRPr="003D58B4">
              <w:rPr>
                <w:rFonts w:ascii="Calibri" w:eastAsia="Times New Roman" w:hAnsi="Calibri" w:cs="Times New Roman"/>
                <w:b/>
                <w:bCs/>
                <w:color w:val="FFFFFF"/>
                <w:sz w:val="18"/>
                <w:szCs w:val="18"/>
              </w:rPr>
              <w:t>Sample Size</w:t>
            </w:r>
          </w:p>
        </w:tc>
        <w:tc>
          <w:tcPr>
            <w:tcW w:w="1152" w:type="dxa"/>
            <w:gridSpan w:val="2"/>
            <w:tcBorders>
              <w:top w:val="nil"/>
              <w:left w:val="nil"/>
              <w:bottom w:val="single" w:sz="4" w:space="0" w:color="auto"/>
              <w:right w:val="nil"/>
            </w:tcBorders>
            <w:shd w:val="clear" w:color="000000" w:fill="FFFFFF"/>
            <w:noWrap/>
            <w:hideMark/>
          </w:tcPr>
          <w:p w14:paraId="0AB5B138"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(N=807)</w:t>
            </w:r>
          </w:p>
        </w:tc>
        <w:tc>
          <w:tcPr>
            <w:tcW w:w="1452" w:type="dxa"/>
            <w:gridSpan w:val="2"/>
            <w:tcBorders>
              <w:top w:val="nil"/>
              <w:left w:val="nil"/>
              <w:bottom w:val="single" w:sz="4" w:space="0" w:color="auto"/>
              <w:right w:val="nil"/>
            </w:tcBorders>
            <w:shd w:val="clear" w:color="000000" w:fill="FFFFFF"/>
            <w:noWrap/>
            <w:hideMark/>
          </w:tcPr>
          <w:p w14:paraId="775C73E1"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(N=15317)</w:t>
            </w:r>
          </w:p>
        </w:tc>
        <w:tc>
          <w:tcPr>
            <w:tcW w:w="832" w:type="dxa"/>
            <w:tcBorders>
              <w:top w:val="nil"/>
              <w:left w:val="nil"/>
              <w:bottom w:val="single" w:sz="4" w:space="0" w:color="auto"/>
              <w:right w:val="nil"/>
            </w:tcBorders>
            <w:shd w:val="clear" w:color="000000" w:fill="FFFFFF"/>
            <w:hideMark/>
          </w:tcPr>
          <w:p w14:paraId="30D663F8"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Diff. *</w:t>
            </w:r>
          </w:p>
        </w:tc>
        <w:tc>
          <w:tcPr>
            <w:tcW w:w="1183" w:type="dxa"/>
            <w:gridSpan w:val="2"/>
            <w:tcBorders>
              <w:top w:val="nil"/>
              <w:left w:val="nil"/>
              <w:bottom w:val="single" w:sz="4" w:space="0" w:color="auto"/>
              <w:right w:val="nil"/>
            </w:tcBorders>
            <w:shd w:val="clear" w:color="000000" w:fill="FFFFFF"/>
            <w:noWrap/>
            <w:hideMark/>
          </w:tcPr>
          <w:p w14:paraId="2BC5E3DB"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(N=801)</w:t>
            </w:r>
          </w:p>
        </w:tc>
        <w:tc>
          <w:tcPr>
            <w:tcW w:w="1336" w:type="dxa"/>
            <w:gridSpan w:val="2"/>
            <w:tcBorders>
              <w:top w:val="nil"/>
              <w:left w:val="nil"/>
              <w:bottom w:val="single" w:sz="4" w:space="0" w:color="auto"/>
              <w:right w:val="nil"/>
            </w:tcBorders>
            <w:shd w:val="clear" w:color="000000" w:fill="FFFFFF"/>
            <w:noWrap/>
            <w:hideMark/>
          </w:tcPr>
          <w:p w14:paraId="61C31C54"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(N=1577)</w:t>
            </w:r>
          </w:p>
        </w:tc>
        <w:tc>
          <w:tcPr>
            <w:tcW w:w="837" w:type="dxa"/>
            <w:tcBorders>
              <w:top w:val="nil"/>
              <w:left w:val="nil"/>
              <w:bottom w:val="single" w:sz="4" w:space="0" w:color="auto"/>
              <w:right w:val="nil"/>
            </w:tcBorders>
            <w:shd w:val="clear" w:color="000000" w:fill="FFFFFF"/>
            <w:hideMark/>
          </w:tcPr>
          <w:p w14:paraId="15229F34" w14:textId="77777777" w:rsidR="003D58B4" w:rsidRPr="003D58B4" w:rsidRDefault="003D58B4" w:rsidP="003D58B4">
            <w:pPr>
              <w:spacing w:after="0" w:line="240" w:lineRule="auto"/>
              <w:jc w:val="center"/>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Diff. *</w:t>
            </w:r>
          </w:p>
        </w:tc>
      </w:tr>
      <w:tr w:rsidR="003D58B4" w:rsidRPr="003D58B4" w14:paraId="1230B776" w14:textId="77777777" w:rsidTr="003D58B4">
        <w:trPr>
          <w:trHeight w:val="240"/>
        </w:trPr>
        <w:tc>
          <w:tcPr>
            <w:tcW w:w="3512" w:type="dxa"/>
            <w:gridSpan w:val="2"/>
            <w:tcBorders>
              <w:top w:val="nil"/>
              <w:left w:val="nil"/>
              <w:bottom w:val="nil"/>
              <w:right w:val="nil"/>
            </w:tcBorders>
            <w:shd w:val="clear" w:color="000000" w:fill="FFFFFF"/>
            <w:noWrap/>
            <w:hideMark/>
          </w:tcPr>
          <w:p w14:paraId="48C9372B"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Female gender, No. (%)</w:t>
            </w:r>
          </w:p>
        </w:tc>
        <w:tc>
          <w:tcPr>
            <w:tcW w:w="449" w:type="dxa"/>
            <w:tcBorders>
              <w:top w:val="nil"/>
              <w:left w:val="nil"/>
              <w:bottom w:val="nil"/>
              <w:right w:val="nil"/>
            </w:tcBorders>
            <w:shd w:val="clear" w:color="000000" w:fill="FFFFFF"/>
            <w:noWrap/>
            <w:hideMark/>
          </w:tcPr>
          <w:p w14:paraId="6A56492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355</w:t>
            </w:r>
          </w:p>
        </w:tc>
        <w:tc>
          <w:tcPr>
            <w:tcW w:w="703" w:type="dxa"/>
            <w:tcBorders>
              <w:top w:val="nil"/>
              <w:left w:val="nil"/>
              <w:bottom w:val="nil"/>
              <w:right w:val="nil"/>
            </w:tcBorders>
            <w:shd w:val="clear" w:color="000000" w:fill="FFFFFF"/>
            <w:noWrap/>
            <w:hideMark/>
          </w:tcPr>
          <w:p w14:paraId="0B4169E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(44.0)</w:t>
            </w:r>
          </w:p>
        </w:tc>
        <w:tc>
          <w:tcPr>
            <w:tcW w:w="749" w:type="dxa"/>
            <w:tcBorders>
              <w:top w:val="nil"/>
              <w:left w:val="nil"/>
              <w:bottom w:val="nil"/>
              <w:right w:val="nil"/>
            </w:tcBorders>
            <w:shd w:val="clear" w:color="000000" w:fill="FFFFFF"/>
            <w:noWrap/>
            <w:hideMark/>
          </w:tcPr>
          <w:p w14:paraId="6787E19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7181</w:t>
            </w:r>
          </w:p>
        </w:tc>
        <w:tc>
          <w:tcPr>
            <w:tcW w:w="703" w:type="dxa"/>
            <w:tcBorders>
              <w:top w:val="nil"/>
              <w:left w:val="nil"/>
              <w:bottom w:val="nil"/>
              <w:right w:val="nil"/>
            </w:tcBorders>
            <w:shd w:val="clear" w:color="000000" w:fill="FFFFFF"/>
            <w:noWrap/>
            <w:hideMark/>
          </w:tcPr>
          <w:p w14:paraId="62E6133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(46.9)</w:t>
            </w:r>
          </w:p>
        </w:tc>
        <w:tc>
          <w:tcPr>
            <w:tcW w:w="832" w:type="dxa"/>
            <w:tcBorders>
              <w:top w:val="nil"/>
              <w:left w:val="nil"/>
              <w:bottom w:val="nil"/>
              <w:right w:val="nil"/>
            </w:tcBorders>
            <w:shd w:val="clear" w:color="000000" w:fill="FFFFFF"/>
            <w:noWrap/>
            <w:hideMark/>
          </w:tcPr>
          <w:p w14:paraId="2F7B985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-0.06</w:t>
            </w:r>
          </w:p>
        </w:tc>
        <w:tc>
          <w:tcPr>
            <w:tcW w:w="461" w:type="dxa"/>
            <w:tcBorders>
              <w:top w:val="nil"/>
              <w:left w:val="nil"/>
              <w:bottom w:val="nil"/>
              <w:right w:val="nil"/>
            </w:tcBorders>
            <w:shd w:val="clear" w:color="000000" w:fill="FFFFFF"/>
            <w:noWrap/>
            <w:hideMark/>
          </w:tcPr>
          <w:p w14:paraId="338F40E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352</w:t>
            </w:r>
          </w:p>
        </w:tc>
        <w:tc>
          <w:tcPr>
            <w:tcW w:w="722" w:type="dxa"/>
            <w:tcBorders>
              <w:top w:val="nil"/>
              <w:left w:val="nil"/>
              <w:bottom w:val="nil"/>
              <w:right w:val="nil"/>
            </w:tcBorders>
            <w:shd w:val="clear" w:color="000000" w:fill="FFFFFF"/>
            <w:noWrap/>
            <w:hideMark/>
          </w:tcPr>
          <w:p w14:paraId="19B8CF5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(43.9)</w:t>
            </w:r>
          </w:p>
        </w:tc>
        <w:tc>
          <w:tcPr>
            <w:tcW w:w="614" w:type="dxa"/>
            <w:tcBorders>
              <w:top w:val="nil"/>
              <w:left w:val="nil"/>
              <w:bottom w:val="nil"/>
              <w:right w:val="nil"/>
            </w:tcBorders>
            <w:shd w:val="clear" w:color="000000" w:fill="FFFFFF"/>
            <w:noWrap/>
            <w:hideMark/>
          </w:tcPr>
          <w:p w14:paraId="61F6B05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713</w:t>
            </w:r>
          </w:p>
        </w:tc>
        <w:tc>
          <w:tcPr>
            <w:tcW w:w="722" w:type="dxa"/>
            <w:tcBorders>
              <w:top w:val="nil"/>
              <w:left w:val="nil"/>
              <w:bottom w:val="nil"/>
              <w:right w:val="nil"/>
            </w:tcBorders>
            <w:shd w:val="clear" w:color="000000" w:fill="FFFFFF"/>
            <w:noWrap/>
            <w:hideMark/>
          </w:tcPr>
          <w:p w14:paraId="4FD6F55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(45.2)</w:t>
            </w:r>
          </w:p>
        </w:tc>
        <w:tc>
          <w:tcPr>
            <w:tcW w:w="837" w:type="dxa"/>
            <w:tcBorders>
              <w:top w:val="nil"/>
              <w:left w:val="nil"/>
              <w:bottom w:val="nil"/>
              <w:right w:val="nil"/>
            </w:tcBorders>
            <w:shd w:val="clear" w:color="000000" w:fill="FFFFFF"/>
            <w:noWrap/>
            <w:hideMark/>
          </w:tcPr>
          <w:p w14:paraId="048F8D6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-0.03</w:t>
            </w:r>
          </w:p>
        </w:tc>
      </w:tr>
      <w:tr w:rsidR="003D58B4" w:rsidRPr="003D58B4" w14:paraId="6D8A4E67" w14:textId="77777777" w:rsidTr="003D58B4">
        <w:trPr>
          <w:trHeight w:val="240"/>
        </w:trPr>
        <w:tc>
          <w:tcPr>
            <w:tcW w:w="3512" w:type="dxa"/>
            <w:gridSpan w:val="2"/>
            <w:tcBorders>
              <w:top w:val="nil"/>
              <w:left w:val="nil"/>
              <w:bottom w:val="nil"/>
              <w:right w:val="nil"/>
            </w:tcBorders>
            <w:shd w:val="clear" w:color="000000" w:fill="FFFFFF"/>
            <w:noWrap/>
            <w:hideMark/>
          </w:tcPr>
          <w:p w14:paraId="71FAD3D3"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Age on index date, Mean (SD)</w:t>
            </w:r>
          </w:p>
        </w:tc>
        <w:tc>
          <w:tcPr>
            <w:tcW w:w="449" w:type="dxa"/>
            <w:tcBorders>
              <w:top w:val="nil"/>
              <w:left w:val="nil"/>
              <w:bottom w:val="nil"/>
              <w:right w:val="nil"/>
            </w:tcBorders>
            <w:shd w:val="clear" w:color="000000" w:fill="FFFFFF"/>
            <w:noWrap/>
            <w:hideMark/>
          </w:tcPr>
          <w:p w14:paraId="3E9D3B1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703" w:type="dxa"/>
            <w:tcBorders>
              <w:top w:val="nil"/>
              <w:left w:val="nil"/>
              <w:bottom w:val="nil"/>
              <w:right w:val="nil"/>
            </w:tcBorders>
            <w:shd w:val="clear" w:color="000000" w:fill="FFFFFF"/>
            <w:noWrap/>
            <w:hideMark/>
          </w:tcPr>
          <w:p w14:paraId="30EFC6E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(9.7)</w:t>
            </w:r>
          </w:p>
        </w:tc>
        <w:tc>
          <w:tcPr>
            <w:tcW w:w="749" w:type="dxa"/>
            <w:tcBorders>
              <w:top w:val="nil"/>
              <w:left w:val="nil"/>
              <w:bottom w:val="nil"/>
              <w:right w:val="nil"/>
            </w:tcBorders>
            <w:shd w:val="clear" w:color="000000" w:fill="FFFFFF"/>
            <w:noWrap/>
            <w:hideMark/>
          </w:tcPr>
          <w:p w14:paraId="79AF646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703" w:type="dxa"/>
            <w:tcBorders>
              <w:top w:val="nil"/>
              <w:left w:val="nil"/>
              <w:bottom w:val="nil"/>
              <w:right w:val="nil"/>
            </w:tcBorders>
            <w:shd w:val="clear" w:color="000000" w:fill="FFFFFF"/>
            <w:noWrap/>
            <w:hideMark/>
          </w:tcPr>
          <w:p w14:paraId="58ACFD9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(10.1)</w:t>
            </w:r>
          </w:p>
        </w:tc>
        <w:tc>
          <w:tcPr>
            <w:tcW w:w="832" w:type="dxa"/>
            <w:tcBorders>
              <w:top w:val="nil"/>
              <w:left w:val="nil"/>
              <w:bottom w:val="nil"/>
              <w:right w:val="nil"/>
            </w:tcBorders>
            <w:shd w:val="clear" w:color="000000" w:fill="FFFFFF"/>
            <w:noWrap/>
            <w:hideMark/>
          </w:tcPr>
          <w:p w14:paraId="7F889EA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-0.04</w:t>
            </w:r>
          </w:p>
        </w:tc>
        <w:tc>
          <w:tcPr>
            <w:tcW w:w="461" w:type="dxa"/>
            <w:tcBorders>
              <w:top w:val="nil"/>
              <w:left w:val="nil"/>
              <w:bottom w:val="nil"/>
              <w:right w:val="nil"/>
            </w:tcBorders>
            <w:shd w:val="clear" w:color="000000" w:fill="FFFFFF"/>
            <w:noWrap/>
            <w:hideMark/>
          </w:tcPr>
          <w:p w14:paraId="373A897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722" w:type="dxa"/>
            <w:tcBorders>
              <w:top w:val="nil"/>
              <w:left w:val="nil"/>
              <w:bottom w:val="nil"/>
              <w:right w:val="nil"/>
            </w:tcBorders>
            <w:shd w:val="clear" w:color="000000" w:fill="FFFFFF"/>
            <w:noWrap/>
            <w:hideMark/>
          </w:tcPr>
          <w:p w14:paraId="5BB8613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(9.6)</w:t>
            </w:r>
          </w:p>
        </w:tc>
        <w:tc>
          <w:tcPr>
            <w:tcW w:w="614" w:type="dxa"/>
            <w:tcBorders>
              <w:top w:val="nil"/>
              <w:left w:val="nil"/>
              <w:bottom w:val="nil"/>
              <w:right w:val="nil"/>
            </w:tcBorders>
            <w:shd w:val="clear" w:color="000000" w:fill="FFFFFF"/>
            <w:noWrap/>
            <w:hideMark/>
          </w:tcPr>
          <w:p w14:paraId="4B7548C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722" w:type="dxa"/>
            <w:tcBorders>
              <w:top w:val="nil"/>
              <w:left w:val="nil"/>
              <w:bottom w:val="nil"/>
              <w:right w:val="nil"/>
            </w:tcBorders>
            <w:shd w:val="clear" w:color="000000" w:fill="FFFFFF"/>
            <w:noWrap/>
            <w:hideMark/>
          </w:tcPr>
          <w:p w14:paraId="6D76BC8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(10.2)</w:t>
            </w:r>
          </w:p>
        </w:tc>
        <w:tc>
          <w:tcPr>
            <w:tcW w:w="837" w:type="dxa"/>
            <w:tcBorders>
              <w:top w:val="nil"/>
              <w:left w:val="nil"/>
              <w:bottom w:val="nil"/>
              <w:right w:val="nil"/>
            </w:tcBorders>
            <w:shd w:val="clear" w:color="000000" w:fill="FFFFFF"/>
            <w:noWrap/>
            <w:hideMark/>
          </w:tcPr>
          <w:p w14:paraId="7F2C9CDA"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-0.04</w:t>
            </w:r>
          </w:p>
        </w:tc>
      </w:tr>
      <w:tr w:rsidR="003D58B4" w:rsidRPr="003D58B4" w14:paraId="3E5EDA20" w14:textId="77777777" w:rsidTr="003D58B4">
        <w:trPr>
          <w:trHeight w:val="240"/>
        </w:trPr>
        <w:tc>
          <w:tcPr>
            <w:tcW w:w="3512" w:type="dxa"/>
            <w:gridSpan w:val="2"/>
            <w:tcBorders>
              <w:top w:val="nil"/>
              <w:left w:val="nil"/>
              <w:bottom w:val="nil"/>
              <w:right w:val="nil"/>
            </w:tcBorders>
            <w:shd w:val="clear" w:color="000000" w:fill="FFFFFF"/>
            <w:noWrap/>
            <w:hideMark/>
          </w:tcPr>
          <w:p w14:paraId="6DEEC551"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Age &gt; 45 on index date, No. (%)</w:t>
            </w:r>
          </w:p>
        </w:tc>
        <w:tc>
          <w:tcPr>
            <w:tcW w:w="449" w:type="dxa"/>
            <w:tcBorders>
              <w:top w:val="nil"/>
              <w:left w:val="nil"/>
              <w:bottom w:val="nil"/>
              <w:right w:val="nil"/>
            </w:tcBorders>
            <w:shd w:val="clear" w:color="000000" w:fill="FFFFFF"/>
            <w:noWrap/>
            <w:hideMark/>
          </w:tcPr>
          <w:p w14:paraId="7C14B70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622</w:t>
            </w:r>
          </w:p>
        </w:tc>
        <w:tc>
          <w:tcPr>
            <w:tcW w:w="703" w:type="dxa"/>
            <w:tcBorders>
              <w:top w:val="nil"/>
              <w:left w:val="nil"/>
              <w:bottom w:val="nil"/>
              <w:right w:val="nil"/>
            </w:tcBorders>
            <w:shd w:val="clear" w:color="000000" w:fill="FFFFFF"/>
            <w:noWrap/>
            <w:hideMark/>
          </w:tcPr>
          <w:p w14:paraId="41BE521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(77.1)</w:t>
            </w:r>
          </w:p>
        </w:tc>
        <w:tc>
          <w:tcPr>
            <w:tcW w:w="749" w:type="dxa"/>
            <w:tcBorders>
              <w:top w:val="nil"/>
              <w:left w:val="nil"/>
              <w:bottom w:val="nil"/>
              <w:right w:val="nil"/>
            </w:tcBorders>
            <w:shd w:val="clear" w:color="000000" w:fill="FFFFFF"/>
            <w:noWrap/>
            <w:hideMark/>
          </w:tcPr>
          <w:p w14:paraId="3D6058B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11872</w:t>
            </w:r>
          </w:p>
        </w:tc>
        <w:tc>
          <w:tcPr>
            <w:tcW w:w="703" w:type="dxa"/>
            <w:tcBorders>
              <w:top w:val="nil"/>
              <w:left w:val="nil"/>
              <w:bottom w:val="nil"/>
              <w:right w:val="nil"/>
            </w:tcBorders>
            <w:shd w:val="clear" w:color="000000" w:fill="FFFFFF"/>
            <w:noWrap/>
            <w:hideMark/>
          </w:tcPr>
          <w:p w14:paraId="3438DAF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(77.5)</w:t>
            </w:r>
          </w:p>
        </w:tc>
        <w:tc>
          <w:tcPr>
            <w:tcW w:w="832" w:type="dxa"/>
            <w:tcBorders>
              <w:top w:val="nil"/>
              <w:left w:val="nil"/>
              <w:bottom w:val="nil"/>
              <w:right w:val="nil"/>
            </w:tcBorders>
            <w:shd w:val="clear" w:color="000000" w:fill="FFFFFF"/>
            <w:noWrap/>
            <w:hideMark/>
          </w:tcPr>
          <w:p w14:paraId="0436330B"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-0.01</w:t>
            </w:r>
          </w:p>
        </w:tc>
        <w:tc>
          <w:tcPr>
            <w:tcW w:w="461" w:type="dxa"/>
            <w:tcBorders>
              <w:top w:val="nil"/>
              <w:left w:val="nil"/>
              <w:bottom w:val="nil"/>
              <w:right w:val="nil"/>
            </w:tcBorders>
            <w:shd w:val="clear" w:color="000000" w:fill="FFFFFF"/>
            <w:noWrap/>
            <w:hideMark/>
          </w:tcPr>
          <w:p w14:paraId="2E50EEA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618</w:t>
            </w:r>
          </w:p>
        </w:tc>
        <w:tc>
          <w:tcPr>
            <w:tcW w:w="722" w:type="dxa"/>
            <w:tcBorders>
              <w:top w:val="nil"/>
              <w:left w:val="nil"/>
              <w:bottom w:val="nil"/>
              <w:right w:val="nil"/>
            </w:tcBorders>
            <w:shd w:val="clear" w:color="000000" w:fill="FFFFFF"/>
            <w:noWrap/>
            <w:hideMark/>
          </w:tcPr>
          <w:p w14:paraId="71DF9B2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(77.2)</w:t>
            </w:r>
          </w:p>
        </w:tc>
        <w:tc>
          <w:tcPr>
            <w:tcW w:w="614" w:type="dxa"/>
            <w:tcBorders>
              <w:top w:val="nil"/>
              <w:left w:val="nil"/>
              <w:bottom w:val="nil"/>
              <w:right w:val="nil"/>
            </w:tcBorders>
            <w:shd w:val="clear" w:color="000000" w:fill="FFFFFF"/>
            <w:noWrap/>
            <w:hideMark/>
          </w:tcPr>
          <w:p w14:paraId="2A514E3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1215</w:t>
            </w:r>
          </w:p>
        </w:tc>
        <w:tc>
          <w:tcPr>
            <w:tcW w:w="722" w:type="dxa"/>
            <w:tcBorders>
              <w:top w:val="nil"/>
              <w:left w:val="nil"/>
              <w:bottom w:val="nil"/>
              <w:right w:val="nil"/>
            </w:tcBorders>
            <w:shd w:val="clear" w:color="000000" w:fill="FFFFFF"/>
            <w:noWrap/>
            <w:hideMark/>
          </w:tcPr>
          <w:p w14:paraId="0C325C7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(77.0)</w:t>
            </w:r>
          </w:p>
        </w:tc>
        <w:tc>
          <w:tcPr>
            <w:tcW w:w="837" w:type="dxa"/>
            <w:tcBorders>
              <w:top w:val="nil"/>
              <w:left w:val="nil"/>
              <w:bottom w:val="nil"/>
              <w:right w:val="nil"/>
            </w:tcBorders>
            <w:shd w:val="clear" w:color="000000" w:fill="FFFFFF"/>
            <w:noWrap/>
            <w:hideMark/>
          </w:tcPr>
          <w:p w14:paraId="031100F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0.00</w:t>
            </w:r>
          </w:p>
        </w:tc>
      </w:tr>
      <w:tr w:rsidR="003D58B4" w:rsidRPr="003D58B4" w14:paraId="0454AA45" w14:textId="77777777" w:rsidTr="003D58B4">
        <w:trPr>
          <w:trHeight w:val="240"/>
        </w:trPr>
        <w:tc>
          <w:tcPr>
            <w:tcW w:w="3512" w:type="dxa"/>
            <w:gridSpan w:val="2"/>
            <w:tcBorders>
              <w:top w:val="nil"/>
              <w:left w:val="nil"/>
              <w:bottom w:val="nil"/>
              <w:right w:val="nil"/>
            </w:tcBorders>
            <w:shd w:val="clear" w:color="auto" w:fill="auto"/>
            <w:hideMark/>
          </w:tcPr>
          <w:p w14:paraId="57E2C1A9"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Neighborhood below-poverty level, No. %</w:t>
            </w:r>
          </w:p>
        </w:tc>
        <w:tc>
          <w:tcPr>
            <w:tcW w:w="449" w:type="dxa"/>
            <w:tcBorders>
              <w:top w:val="nil"/>
              <w:left w:val="nil"/>
              <w:bottom w:val="nil"/>
              <w:right w:val="nil"/>
            </w:tcBorders>
            <w:shd w:val="clear" w:color="000000" w:fill="FFFFFF"/>
            <w:noWrap/>
            <w:hideMark/>
          </w:tcPr>
          <w:p w14:paraId="312C5E8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0E33AE6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6FB73A5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634675B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noWrap/>
            <w:hideMark/>
          </w:tcPr>
          <w:p w14:paraId="211F0AC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506181">
              <w:rPr>
                <w:rFonts w:ascii="Calibri" w:eastAsia="Times New Roman" w:hAnsi="Calibri" w:cs="Times New Roman"/>
                <w:color w:val="000000"/>
                <w:sz w:val="18"/>
                <w:szCs w:val="18"/>
                <w:highlight w:val="yellow"/>
              </w:rPr>
              <w:t>0.00</w:t>
            </w:r>
          </w:p>
        </w:tc>
        <w:tc>
          <w:tcPr>
            <w:tcW w:w="461" w:type="dxa"/>
            <w:tcBorders>
              <w:top w:val="nil"/>
              <w:left w:val="nil"/>
              <w:bottom w:val="nil"/>
              <w:right w:val="nil"/>
            </w:tcBorders>
            <w:shd w:val="clear" w:color="000000" w:fill="FFFFFF"/>
            <w:noWrap/>
            <w:hideMark/>
          </w:tcPr>
          <w:p w14:paraId="3EEC721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0FE0DBD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405F26B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1D5C2EB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noWrap/>
            <w:hideMark/>
          </w:tcPr>
          <w:p w14:paraId="7479EBB6"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506181">
              <w:rPr>
                <w:rFonts w:ascii="Calibri" w:eastAsia="Times New Roman" w:hAnsi="Calibri" w:cs="Times New Roman"/>
                <w:color w:val="000000"/>
                <w:sz w:val="18"/>
                <w:szCs w:val="18"/>
                <w:highlight w:val="yellow"/>
              </w:rPr>
              <w:t>0.00</w:t>
            </w:r>
          </w:p>
        </w:tc>
      </w:tr>
      <w:tr w:rsidR="003D58B4" w:rsidRPr="003D58B4" w14:paraId="4E4B1362" w14:textId="77777777" w:rsidTr="003D58B4">
        <w:trPr>
          <w:trHeight w:val="240"/>
        </w:trPr>
        <w:tc>
          <w:tcPr>
            <w:tcW w:w="356" w:type="dxa"/>
            <w:tcBorders>
              <w:top w:val="nil"/>
              <w:left w:val="nil"/>
              <w:bottom w:val="nil"/>
              <w:right w:val="nil"/>
            </w:tcBorders>
            <w:shd w:val="clear" w:color="000000" w:fill="FFFFFF"/>
            <w:noWrap/>
            <w:hideMark/>
          </w:tcPr>
          <w:p w14:paraId="3F14C40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1AB010E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&lt;5%</w:t>
            </w:r>
            <w:r w:rsidRPr="003D58B4">
              <w:rPr>
                <w:rFonts w:ascii="Calibri" w:eastAsia="Times New Roman" w:hAnsi="Calibri" w:cs="Times New Roman"/>
                <w:color w:val="000000"/>
                <w:sz w:val="18"/>
                <w:szCs w:val="18"/>
                <w:vertAlign w:val="superscript"/>
              </w:rPr>
              <w:t>1</w:t>
            </w:r>
          </w:p>
        </w:tc>
        <w:tc>
          <w:tcPr>
            <w:tcW w:w="449" w:type="dxa"/>
            <w:tcBorders>
              <w:top w:val="nil"/>
              <w:left w:val="nil"/>
              <w:bottom w:val="nil"/>
              <w:right w:val="nil"/>
            </w:tcBorders>
            <w:shd w:val="clear" w:color="000000" w:fill="FFFFFF"/>
            <w:noWrap/>
            <w:hideMark/>
          </w:tcPr>
          <w:p w14:paraId="6F859D7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03" w:type="dxa"/>
            <w:tcBorders>
              <w:top w:val="nil"/>
              <w:left w:val="nil"/>
              <w:bottom w:val="nil"/>
              <w:right w:val="nil"/>
            </w:tcBorders>
            <w:shd w:val="clear" w:color="000000" w:fill="FFFFFF"/>
            <w:noWrap/>
            <w:hideMark/>
          </w:tcPr>
          <w:p w14:paraId="73F71B3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749" w:type="dxa"/>
            <w:tcBorders>
              <w:top w:val="nil"/>
              <w:left w:val="nil"/>
              <w:bottom w:val="nil"/>
              <w:right w:val="nil"/>
            </w:tcBorders>
            <w:shd w:val="clear" w:color="000000" w:fill="FFFFFF"/>
            <w:noWrap/>
            <w:hideMark/>
          </w:tcPr>
          <w:p w14:paraId="69DB514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03" w:type="dxa"/>
            <w:tcBorders>
              <w:top w:val="nil"/>
              <w:left w:val="nil"/>
              <w:bottom w:val="nil"/>
              <w:right w:val="nil"/>
            </w:tcBorders>
            <w:shd w:val="clear" w:color="000000" w:fill="FFFFFF"/>
            <w:noWrap/>
            <w:hideMark/>
          </w:tcPr>
          <w:p w14:paraId="1DC95A2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832" w:type="dxa"/>
            <w:tcBorders>
              <w:top w:val="nil"/>
              <w:left w:val="nil"/>
              <w:bottom w:val="nil"/>
              <w:right w:val="nil"/>
            </w:tcBorders>
            <w:shd w:val="clear" w:color="auto" w:fill="auto"/>
            <w:noWrap/>
            <w:hideMark/>
          </w:tcPr>
          <w:p w14:paraId="509513DD" w14:textId="77777777" w:rsidR="003D58B4" w:rsidRPr="003D58B4" w:rsidRDefault="003D58B4" w:rsidP="003D58B4">
            <w:pPr>
              <w:spacing w:after="0" w:line="240" w:lineRule="auto"/>
              <w:jc w:val="center"/>
              <w:rPr>
                <w:rFonts w:ascii="Calibri" w:eastAsia="Times New Roman" w:hAnsi="Calibri" w:cs="Times New Roman"/>
                <w:color w:val="000000"/>
                <w:sz w:val="20"/>
                <w:szCs w:val="20"/>
              </w:rPr>
            </w:pPr>
            <w:r w:rsidRPr="003D58B4">
              <w:rPr>
                <w:rFonts w:ascii="Calibri" w:eastAsia="Times New Roman" w:hAnsi="Calibri" w:cs="Times New Roman"/>
                <w:color w:val="000000"/>
                <w:sz w:val="20"/>
                <w:szCs w:val="20"/>
              </w:rPr>
              <w:t xml:space="preserve"> </w:t>
            </w:r>
          </w:p>
        </w:tc>
        <w:tc>
          <w:tcPr>
            <w:tcW w:w="461" w:type="dxa"/>
            <w:tcBorders>
              <w:top w:val="nil"/>
              <w:left w:val="nil"/>
              <w:bottom w:val="nil"/>
              <w:right w:val="nil"/>
            </w:tcBorders>
            <w:shd w:val="clear" w:color="000000" w:fill="FFFFFF"/>
            <w:noWrap/>
            <w:hideMark/>
          </w:tcPr>
          <w:p w14:paraId="0227E2E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22" w:type="dxa"/>
            <w:tcBorders>
              <w:top w:val="nil"/>
              <w:left w:val="nil"/>
              <w:bottom w:val="nil"/>
              <w:right w:val="nil"/>
            </w:tcBorders>
            <w:shd w:val="clear" w:color="000000" w:fill="FFFFFF"/>
            <w:noWrap/>
            <w:hideMark/>
          </w:tcPr>
          <w:p w14:paraId="4F3759D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614" w:type="dxa"/>
            <w:tcBorders>
              <w:top w:val="nil"/>
              <w:left w:val="nil"/>
              <w:bottom w:val="nil"/>
              <w:right w:val="nil"/>
            </w:tcBorders>
            <w:shd w:val="clear" w:color="000000" w:fill="FFFFFF"/>
            <w:noWrap/>
            <w:hideMark/>
          </w:tcPr>
          <w:p w14:paraId="197E0B8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22" w:type="dxa"/>
            <w:tcBorders>
              <w:top w:val="nil"/>
              <w:left w:val="nil"/>
              <w:bottom w:val="nil"/>
              <w:right w:val="nil"/>
            </w:tcBorders>
            <w:shd w:val="clear" w:color="000000" w:fill="FFFFFF"/>
            <w:noWrap/>
            <w:hideMark/>
          </w:tcPr>
          <w:p w14:paraId="138D585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837" w:type="dxa"/>
            <w:tcBorders>
              <w:top w:val="nil"/>
              <w:left w:val="nil"/>
              <w:bottom w:val="nil"/>
              <w:right w:val="nil"/>
            </w:tcBorders>
            <w:shd w:val="clear" w:color="auto" w:fill="auto"/>
            <w:noWrap/>
            <w:hideMark/>
          </w:tcPr>
          <w:p w14:paraId="3083E092" w14:textId="77777777" w:rsidR="003D58B4" w:rsidRPr="003D58B4" w:rsidRDefault="003D58B4" w:rsidP="003D58B4">
            <w:pPr>
              <w:spacing w:after="0" w:line="240" w:lineRule="auto"/>
              <w:jc w:val="center"/>
              <w:rPr>
                <w:rFonts w:ascii="Calibri" w:eastAsia="Times New Roman" w:hAnsi="Calibri" w:cs="Times New Roman"/>
                <w:color w:val="000000"/>
                <w:sz w:val="20"/>
                <w:szCs w:val="20"/>
              </w:rPr>
            </w:pPr>
            <w:r w:rsidRPr="003D58B4">
              <w:rPr>
                <w:rFonts w:ascii="Calibri" w:eastAsia="Times New Roman" w:hAnsi="Calibri" w:cs="Times New Roman"/>
                <w:color w:val="000000"/>
                <w:sz w:val="20"/>
                <w:szCs w:val="20"/>
              </w:rPr>
              <w:t xml:space="preserve"> </w:t>
            </w:r>
          </w:p>
        </w:tc>
      </w:tr>
      <w:tr w:rsidR="003D58B4" w:rsidRPr="003D58B4" w14:paraId="4D921710" w14:textId="77777777" w:rsidTr="003D58B4">
        <w:trPr>
          <w:trHeight w:val="240"/>
        </w:trPr>
        <w:tc>
          <w:tcPr>
            <w:tcW w:w="356" w:type="dxa"/>
            <w:tcBorders>
              <w:top w:val="nil"/>
              <w:left w:val="nil"/>
              <w:bottom w:val="nil"/>
              <w:right w:val="nil"/>
            </w:tcBorders>
            <w:shd w:val="clear" w:color="000000" w:fill="FFFFFF"/>
            <w:noWrap/>
            <w:hideMark/>
          </w:tcPr>
          <w:p w14:paraId="3133885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102677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5%-9.9%</w:t>
            </w:r>
            <w:r w:rsidRPr="003D58B4">
              <w:rPr>
                <w:rFonts w:ascii="Calibri" w:eastAsia="Times New Roman" w:hAnsi="Calibri" w:cs="Times New Roman"/>
                <w:color w:val="000000"/>
                <w:sz w:val="18"/>
                <w:szCs w:val="18"/>
                <w:vertAlign w:val="superscript"/>
              </w:rPr>
              <w:t>1</w:t>
            </w:r>
          </w:p>
        </w:tc>
        <w:tc>
          <w:tcPr>
            <w:tcW w:w="449" w:type="dxa"/>
            <w:tcBorders>
              <w:top w:val="nil"/>
              <w:left w:val="nil"/>
              <w:bottom w:val="nil"/>
              <w:right w:val="nil"/>
            </w:tcBorders>
            <w:shd w:val="clear" w:color="000000" w:fill="FFFFFF"/>
            <w:noWrap/>
            <w:hideMark/>
          </w:tcPr>
          <w:p w14:paraId="744835B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03" w:type="dxa"/>
            <w:tcBorders>
              <w:top w:val="nil"/>
              <w:left w:val="nil"/>
              <w:bottom w:val="nil"/>
              <w:right w:val="nil"/>
            </w:tcBorders>
            <w:shd w:val="clear" w:color="000000" w:fill="FFFFFF"/>
            <w:noWrap/>
            <w:hideMark/>
          </w:tcPr>
          <w:p w14:paraId="1141A67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749" w:type="dxa"/>
            <w:tcBorders>
              <w:top w:val="nil"/>
              <w:left w:val="nil"/>
              <w:bottom w:val="nil"/>
              <w:right w:val="nil"/>
            </w:tcBorders>
            <w:shd w:val="clear" w:color="000000" w:fill="FFFFFF"/>
            <w:noWrap/>
            <w:hideMark/>
          </w:tcPr>
          <w:p w14:paraId="1E9CF0B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03" w:type="dxa"/>
            <w:tcBorders>
              <w:top w:val="nil"/>
              <w:left w:val="nil"/>
              <w:bottom w:val="nil"/>
              <w:right w:val="nil"/>
            </w:tcBorders>
            <w:shd w:val="clear" w:color="000000" w:fill="FFFFFF"/>
            <w:noWrap/>
            <w:hideMark/>
          </w:tcPr>
          <w:p w14:paraId="05CC48A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832" w:type="dxa"/>
            <w:tcBorders>
              <w:top w:val="nil"/>
              <w:left w:val="nil"/>
              <w:bottom w:val="nil"/>
              <w:right w:val="nil"/>
            </w:tcBorders>
            <w:shd w:val="clear" w:color="000000" w:fill="FFFFFF"/>
            <w:noWrap/>
            <w:hideMark/>
          </w:tcPr>
          <w:p w14:paraId="090BAE7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2030105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22" w:type="dxa"/>
            <w:tcBorders>
              <w:top w:val="nil"/>
              <w:left w:val="nil"/>
              <w:bottom w:val="nil"/>
              <w:right w:val="nil"/>
            </w:tcBorders>
            <w:shd w:val="clear" w:color="000000" w:fill="FFFFFF"/>
            <w:noWrap/>
            <w:hideMark/>
          </w:tcPr>
          <w:p w14:paraId="6EF0045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614" w:type="dxa"/>
            <w:tcBorders>
              <w:top w:val="nil"/>
              <w:left w:val="nil"/>
              <w:bottom w:val="nil"/>
              <w:right w:val="nil"/>
            </w:tcBorders>
            <w:shd w:val="clear" w:color="000000" w:fill="FFFFFF"/>
            <w:noWrap/>
            <w:hideMark/>
          </w:tcPr>
          <w:p w14:paraId="08E4626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w:t>
            </w:r>
          </w:p>
        </w:tc>
        <w:tc>
          <w:tcPr>
            <w:tcW w:w="722" w:type="dxa"/>
            <w:tcBorders>
              <w:top w:val="nil"/>
              <w:left w:val="nil"/>
              <w:bottom w:val="nil"/>
              <w:right w:val="nil"/>
            </w:tcBorders>
            <w:shd w:val="clear" w:color="000000" w:fill="FFFFFF"/>
            <w:noWrap/>
            <w:hideMark/>
          </w:tcPr>
          <w:p w14:paraId="3CA0557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w:t>
            </w:r>
          </w:p>
        </w:tc>
        <w:tc>
          <w:tcPr>
            <w:tcW w:w="837" w:type="dxa"/>
            <w:tcBorders>
              <w:top w:val="nil"/>
              <w:left w:val="nil"/>
              <w:bottom w:val="nil"/>
              <w:right w:val="nil"/>
            </w:tcBorders>
            <w:shd w:val="clear" w:color="000000" w:fill="FFFFFF"/>
            <w:noWrap/>
            <w:hideMark/>
          </w:tcPr>
          <w:p w14:paraId="6DFAE78E"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0D2B4073" w14:textId="77777777" w:rsidTr="003D58B4">
        <w:trPr>
          <w:trHeight w:val="240"/>
        </w:trPr>
        <w:tc>
          <w:tcPr>
            <w:tcW w:w="356" w:type="dxa"/>
            <w:tcBorders>
              <w:top w:val="nil"/>
              <w:left w:val="nil"/>
              <w:bottom w:val="nil"/>
              <w:right w:val="nil"/>
            </w:tcBorders>
            <w:shd w:val="clear" w:color="000000" w:fill="FFFFFF"/>
            <w:noWrap/>
            <w:hideMark/>
          </w:tcPr>
          <w:p w14:paraId="788BB0F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21163C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10%-19.9%</w:t>
            </w:r>
            <w:r w:rsidRPr="003D58B4">
              <w:rPr>
                <w:rFonts w:ascii="Calibri" w:eastAsia="Times New Roman" w:hAnsi="Calibri" w:cs="Times New Roman"/>
                <w:color w:val="000000"/>
                <w:sz w:val="18"/>
                <w:szCs w:val="18"/>
                <w:vertAlign w:val="superscript"/>
              </w:rPr>
              <w:t>2</w:t>
            </w:r>
          </w:p>
        </w:tc>
        <w:tc>
          <w:tcPr>
            <w:tcW w:w="449" w:type="dxa"/>
            <w:tcBorders>
              <w:top w:val="nil"/>
              <w:left w:val="nil"/>
              <w:bottom w:val="nil"/>
              <w:right w:val="nil"/>
            </w:tcBorders>
            <w:shd w:val="clear" w:color="000000" w:fill="FFFFFF"/>
            <w:noWrap/>
            <w:hideMark/>
          </w:tcPr>
          <w:p w14:paraId="102E886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527</w:t>
            </w:r>
          </w:p>
        </w:tc>
        <w:tc>
          <w:tcPr>
            <w:tcW w:w="703" w:type="dxa"/>
            <w:tcBorders>
              <w:top w:val="nil"/>
              <w:left w:val="nil"/>
              <w:bottom w:val="nil"/>
              <w:right w:val="nil"/>
            </w:tcBorders>
            <w:shd w:val="clear" w:color="000000" w:fill="FFFFFF"/>
            <w:noWrap/>
            <w:hideMark/>
          </w:tcPr>
          <w:p w14:paraId="6434154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(65.3)</w:t>
            </w:r>
          </w:p>
        </w:tc>
        <w:tc>
          <w:tcPr>
            <w:tcW w:w="749" w:type="dxa"/>
            <w:tcBorders>
              <w:top w:val="nil"/>
              <w:left w:val="nil"/>
              <w:bottom w:val="nil"/>
              <w:right w:val="nil"/>
            </w:tcBorders>
            <w:shd w:val="clear" w:color="000000" w:fill="FFFFFF"/>
            <w:noWrap/>
            <w:hideMark/>
          </w:tcPr>
          <w:p w14:paraId="3D21760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9993</w:t>
            </w:r>
          </w:p>
        </w:tc>
        <w:tc>
          <w:tcPr>
            <w:tcW w:w="703" w:type="dxa"/>
            <w:tcBorders>
              <w:top w:val="nil"/>
              <w:left w:val="nil"/>
              <w:bottom w:val="nil"/>
              <w:right w:val="nil"/>
            </w:tcBorders>
            <w:shd w:val="clear" w:color="000000" w:fill="FFFFFF"/>
            <w:noWrap/>
            <w:hideMark/>
          </w:tcPr>
          <w:p w14:paraId="47B8A7B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(65.2)</w:t>
            </w:r>
          </w:p>
        </w:tc>
        <w:tc>
          <w:tcPr>
            <w:tcW w:w="832" w:type="dxa"/>
            <w:tcBorders>
              <w:top w:val="nil"/>
              <w:left w:val="nil"/>
              <w:bottom w:val="nil"/>
              <w:right w:val="nil"/>
            </w:tcBorders>
            <w:shd w:val="clear" w:color="000000" w:fill="FFFFFF"/>
            <w:noWrap/>
            <w:hideMark/>
          </w:tcPr>
          <w:p w14:paraId="12078096"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44DCB13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521</w:t>
            </w:r>
          </w:p>
        </w:tc>
        <w:tc>
          <w:tcPr>
            <w:tcW w:w="722" w:type="dxa"/>
            <w:tcBorders>
              <w:top w:val="nil"/>
              <w:left w:val="nil"/>
              <w:bottom w:val="nil"/>
              <w:right w:val="nil"/>
            </w:tcBorders>
            <w:shd w:val="clear" w:color="000000" w:fill="FFFFFF"/>
            <w:noWrap/>
            <w:hideMark/>
          </w:tcPr>
          <w:p w14:paraId="61866F3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(65.0)</w:t>
            </w:r>
          </w:p>
        </w:tc>
        <w:tc>
          <w:tcPr>
            <w:tcW w:w="614" w:type="dxa"/>
            <w:tcBorders>
              <w:top w:val="nil"/>
              <w:left w:val="nil"/>
              <w:bottom w:val="nil"/>
              <w:right w:val="nil"/>
            </w:tcBorders>
            <w:shd w:val="clear" w:color="000000" w:fill="FFFFFF"/>
            <w:noWrap/>
            <w:hideMark/>
          </w:tcPr>
          <w:p w14:paraId="7D6505E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970</w:t>
            </w:r>
          </w:p>
        </w:tc>
        <w:tc>
          <w:tcPr>
            <w:tcW w:w="722" w:type="dxa"/>
            <w:tcBorders>
              <w:top w:val="nil"/>
              <w:left w:val="nil"/>
              <w:bottom w:val="nil"/>
              <w:right w:val="nil"/>
            </w:tcBorders>
            <w:shd w:val="clear" w:color="000000" w:fill="FFFFFF"/>
            <w:noWrap/>
            <w:hideMark/>
          </w:tcPr>
          <w:p w14:paraId="279FDA2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(61.5)</w:t>
            </w:r>
          </w:p>
        </w:tc>
        <w:tc>
          <w:tcPr>
            <w:tcW w:w="837" w:type="dxa"/>
            <w:tcBorders>
              <w:top w:val="nil"/>
              <w:left w:val="nil"/>
              <w:bottom w:val="nil"/>
              <w:right w:val="nil"/>
            </w:tcBorders>
            <w:shd w:val="clear" w:color="000000" w:fill="FFFFFF"/>
            <w:noWrap/>
            <w:hideMark/>
          </w:tcPr>
          <w:p w14:paraId="3A814B1C"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7E5B8A5E" w14:textId="77777777" w:rsidTr="003D58B4">
        <w:trPr>
          <w:trHeight w:val="240"/>
        </w:trPr>
        <w:tc>
          <w:tcPr>
            <w:tcW w:w="356" w:type="dxa"/>
            <w:tcBorders>
              <w:top w:val="nil"/>
              <w:left w:val="nil"/>
              <w:bottom w:val="nil"/>
              <w:right w:val="nil"/>
            </w:tcBorders>
            <w:shd w:val="clear" w:color="000000" w:fill="FFFFFF"/>
            <w:noWrap/>
            <w:hideMark/>
          </w:tcPr>
          <w:p w14:paraId="4F5435F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CA856A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&gt;=20%</w:t>
            </w:r>
            <w:r w:rsidRPr="003D58B4">
              <w:rPr>
                <w:rFonts w:ascii="Calibri" w:eastAsia="Times New Roman" w:hAnsi="Calibri" w:cs="Times New Roman"/>
                <w:color w:val="000000"/>
                <w:sz w:val="18"/>
                <w:szCs w:val="18"/>
                <w:vertAlign w:val="superscript"/>
              </w:rPr>
              <w:t>2</w:t>
            </w:r>
          </w:p>
        </w:tc>
        <w:tc>
          <w:tcPr>
            <w:tcW w:w="449" w:type="dxa"/>
            <w:tcBorders>
              <w:top w:val="nil"/>
              <w:left w:val="nil"/>
              <w:bottom w:val="nil"/>
              <w:right w:val="nil"/>
            </w:tcBorders>
            <w:shd w:val="clear" w:color="000000" w:fill="FFFFFF"/>
            <w:noWrap/>
            <w:hideMark/>
          </w:tcPr>
          <w:p w14:paraId="1110DE1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280</w:t>
            </w:r>
          </w:p>
        </w:tc>
        <w:tc>
          <w:tcPr>
            <w:tcW w:w="703" w:type="dxa"/>
            <w:tcBorders>
              <w:top w:val="nil"/>
              <w:left w:val="nil"/>
              <w:bottom w:val="nil"/>
              <w:right w:val="nil"/>
            </w:tcBorders>
            <w:shd w:val="clear" w:color="000000" w:fill="FFFFFF"/>
            <w:noWrap/>
            <w:hideMark/>
          </w:tcPr>
          <w:p w14:paraId="4F24223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(34.7)</w:t>
            </w:r>
          </w:p>
        </w:tc>
        <w:tc>
          <w:tcPr>
            <w:tcW w:w="749" w:type="dxa"/>
            <w:tcBorders>
              <w:top w:val="nil"/>
              <w:left w:val="nil"/>
              <w:bottom w:val="nil"/>
              <w:right w:val="nil"/>
            </w:tcBorders>
            <w:shd w:val="clear" w:color="000000" w:fill="FFFFFF"/>
            <w:noWrap/>
            <w:hideMark/>
          </w:tcPr>
          <w:p w14:paraId="3840A0D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5324</w:t>
            </w:r>
          </w:p>
        </w:tc>
        <w:tc>
          <w:tcPr>
            <w:tcW w:w="703" w:type="dxa"/>
            <w:tcBorders>
              <w:top w:val="nil"/>
              <w:left w:val="nil"/>
              <w:bottom w:val="nil"/>
              <w:right w:val="nil"/>
            </w:tcBorders>
            <w:shd w:val="clear" w:color="000000" w:fill="FFFFFF"/>
            <w:noWrap/>
            <w:hideMark/>
          </w:tcPr>
          <w:p w14:paraId="22675FA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(34.8)</w:t>
            </w:r>
          </w:p>
        </w:tc>
        <w:tc>
          <w:tcPr>
            <w:tcW w:w="832" w:type="dxa"/>
            <w:tcBorders>
              <w:top w:val="nil"/>
              <w:left w:val="nil"/>
              <w:bottom w:val="nil"/>
              <w:right w:val="nil"/>
            </w:tcBorders>
            <w:shd w:val="clear" w:color="000000" w:fill="FFFFFF"/>
            <w:noWrap/>
            <w:hideMark/>
          </w:tcPr>
          <w:p w14:paraId="72CD53B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4A10BF3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280</w:t>
            </w:r>
          </w:p>
        </w:tc>
        <w:tc>
          <w:tcPr>
            <w:tcW w:w="722" w:type="dxa"/>
            <w:tcBorders>
              <w:top w:val="nil"/>
              <w:left w:val="nil"/>
              <w:bottom w:val="nil"/>
              <w:right w:val="nil"/>
            </w:tcBorders>
            <w:shd w:val="clear" w:color="000000" w:fill="FFFFFF"/>
            <w:noWrap/>
            <w:hideMark/>
          </w:tcPr>
          <w:p w14:paraId="7F83611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(35.0)</w:t>
            </w:r>
          </w:p>
        </w:tc>
        <w:tc>
          <w:tcPr>
            <w:tcW w:w="614" w:type="dxa"/>
            <w:tcBorders>
              <w:top w:val="nil"/>
              <w:left w:val="nil"/>
              <w:bottom w:val="nil"/>
              <w:right w:val="nil"/>
            </w:tcBorders>
            <w:shd w:val="clear" w:color="000000" w:fill="FFFFFF"/>
            <w:noWrap/>
            <w:hideMark/>
          </w:tcPr>
          <w:p w14:paraId="6E30823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607</w:t>
            </w:r>
          </w:p>
        </w:tc>
        <w:tc>
          <w:tcPr>
            <w:tcW w:w="722" w:type="dxa"/>
            <w:tcBorders>
              <w:top w:val="nil"/>
              <w:left w:val="nil"/>
              <w:bottom w:val="nil"/>
              <w:right w:val="nil"/>
            </w:tcBorders>
            <w:shd w:val="clear" w:color="000000" w:fill="FFFFFF"/>
            <w:noWrap/>
            <w:hideMark/>
          </w:tcPr>
          <w:p w14:paraId="5600C10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(38.5)</w:t>
            </w:r>
          </w:p>
        </w:tc>
        <w:tc>
          <w:tcPr>
            <w:tcW w:w="837" w:type="dxa"/>
            <w:tcBorders>
              <w:top w:val="nil"/>
              <w:left w:val="nil"/>
              <w:bottom w:val="nil"/>
              <w:right w:val="nil"/>
            </w:tcBorders>
            <w:shd w:val="clear" w:color="000000" w:fill="FFFFFF"/>
            <w:noWrap/>
            <w:hideMark/>
          </w:tcPr>
          <w:p w14:paraId="75F9771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47433932" w14:textId="77777777" w:rsidTr="003D58B4">
        <w:trPr>
          <w:trHeight w:val="240"/>
        </w:trPr>
        <w:tc>
          <w:tcPr>
            <w:tcW w:w="3512" w:type="dxa"/>
            <w:gridSpan w:val="2"/>
            <w:tcBorders>
              <w:top w:val="nil"/>
              <w:left w:val="nil"/>
              <w:bottom w:val="nil"/>
              <w:right w:val="nil"/>
            </w:tcBorders>
            <w:shd w:val="clear" w:color="000000" w:fill="FFFFFF"/>
            <w:noWrap/>
            <w:hideMark/>
          </w:tcPr>
          <w:p w14:paraId="18D83BA6"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Race/ethnicity, No. (%)</w:t>
            </w:r>
            <w:r w:rsidRPr="003D58B4">
              <w:rPr>
                <w:rFonts w:ascii="Calibri" w:eastAsia="Times New Roman" w:hAnsi="Calibri" w:cs="Times New Roman"/>
                <w:b/>
                <w:bCs/>
                <w:color w:val="000000"/>
                <w:sz w:val="18"/>
                <w:szCs w:val="18"/>
                <w:vertAlign w:val="superscript"/>
              </w:rPr>
              <w:t>5</w:t>
            </w:r>
          </w:p>
        </w:tc>
        <w:tc>
          <w:tcPr>
            <w:tcW w:w="449" w:type="dxa"/>
            <w:tcBorders>
              <w:top w:val="nil"/>
              <w:left w:val="nil"/>
              <w:bottom w:val="nil"/>
              <w:right w:val="nil"/>
            </w:tcBorders>
            <w:shd w:val="clear" w:color="000000" w:fill="FFFFFF"/>
            <w:noWrap/>
            <w:hideMark/>
          </w:tcPr>
          <w:p w14:paraId="3A7520C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3A76509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67FED82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36B7DA9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noWrap/>
            <w:hideMark/>
          </w:tcPr>
          <w:p w14:paraId="464A8F9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0.22</w:t>
            </w:r>
          </w:p>
        </w:tc>
        <w:tc>
          <w:tcPr>
            <w:tcW w:w="461" w:type="dxa"/>
            <w:tcBorders>
              <w:top w:val="nil"/>
              <w:left w:val="nil"/>
              <w:bottom w:val="nil"/>
              <w:right w:val="nil"/>
            </w:tcBorders>
            <w:shd w:val="clear" w:color="000000" w:fill="FFFFFF"/>
            <w:noWrap/>
            <w:hideMark/>
          </w:tcPr>
          <w:p w14:paraId="3572F2B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15D70B9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75E3510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2CA9535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noWrap/>
            <w:hideMark/>
          </w:tcPr>
          <w:p w14:paraId="76EEEE9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0.04</w:t>
            </w:r>
          </w:p>
        </w:tc>
      </w:tr>
      <w:tr w:rsidR="003D58B4" w:rsidRPr="003D58B4" w14:paraId="6ABC3364" w14:textId="77777777" w:rsidTr="003D58B4">
        <w:trPr>
          <w:trHeight w:val="240"/>
        </w:trPr>
        <w:tc>
          <w:tcPr>
            <w:tcW w:w="356" w:type="dxa"/>
            <w:tcBorders>
              <w:top w:val="nil"/>
              <w:left w:val="nil"/>
              <w:bottom w:val="nil"/>
              <w:right w:val="nil"/>
            </w:tcBorders>
            <w:shd w:val="clear" w:color="000000" w:fill="FFFFFF"/>
            <w:noWrap/>
            <w:hideMark/>
          </w:tcPr>
          <w:p w14:paraId="78F60B3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1218B42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Hispanic</w:t>
            </w:r>
          </w:p>
        </w:tc>
        <w:tc>
          <w:tcPr>
            <w:tcW w:w="449" w:type="dxa"/>
            <w:tcBorders>
              <w:top w:val="nil"/>
              <w:left w:val="nil"/>
              <w:bottom w:val="nil"/>
              <w:right w:val="nil"/>
            </w:tcBorders>
            <w:shd w:val="clear" w:color="000000" w:fill="FFFFFF"/>
            <w:noWrap/>
            <w:hideMark/>
          </w:tcPr>
          <w:p w14:paraId="58C3926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116</w:t>
            </w:r>
          </w:p>
        </w:tc>
        <w:tc>
          <w:tcPr>
            <w:tcW w:w="703" w:type="dxa"/>
            <w:tcBorders>
              <w:top w:val="nil"/>
              <w:left w:val="nil"/>
              <w:bottom w:val="nil"/>
              <w:right w:val="nil"/>
            </w:tcBorders>
            <w:shd w:val="clear" w:color="000000" w:fill="FFFFFF"/>
            <w:noWrap/>
            <w:hideMark/>
          </w:tcPr>
          <w:p w14:paraId="61D57F7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(14.4)</w:t>
            </w:r>
          </w:p>
        </w:tc>
        <w:tc>
          <w:tcPr>
            <w:tcW w:w="749" w:type="dxa"/>
            <w:tcBorders>
              <w:top w:val="nil"/>
              <w:left w:val="nil"/>
              <w:bottom w:val="nil"/>
              <w:right w:val="nil"/>
            </w:tcBorders>
            <w:shd w:val="clear" w:color="000000" w:fill="FFFFFF"/>
            <w:noWrap/>
            <w:hideMark/>
          </w:tcPr>
          <w:p w14:paraId="5688F67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1630</w:t>
            </w:r>
          </w:p>
        </w:tc>
        <w:tc>
          <w:tcPr>
            <w:tcW w:w="703" w:type="dxa"/>
            <w:tcBorders>
              <w:top w:val="nil"/>
              <w:left w:val="nil"/>
              <w:bottom w:val="nil"/>
              <w:right w:val="nil"/>
            </w:tcBorders>
            <w:shd w:val="clear" w:color="000000" w:fill="FFFFFF"/>
            <w:noWrap/>
            <w:hideMark/>
          </w:tcPr>
          <w:p w14:paraId="5F63159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(10.6)</w:t>
            </w:r>
          </w:p>
        </w:tc>
        <w:tc>
          <w:tcPr>
            <w:tcW w:w="832" w:type="dxa"/>
            <w:tcBorders>
              <w:top w:val="nil"/>
              <w:left w:val="nil"/>
              <w:bottom w:val="nil"/>
              <w:right w:val="nil"/>
            </w:tcBorders>
            <w:shd w:val="clear" w:color="auto" w:fill="auto"/>
            <w:noWrap/>
            <w:hideMark/>
          </w:tcPr>
          <w:p w14:paraId="773FC85F" w14:textId="77777777" w:rsidR="003D58B4" w:rsidRPr="003D58B4" w:rsidRDefault="003D58B4" w:rsidP="003D58B4">
            <w:pPr>
              <w:spacing w:after="0" w:line="240" w:lineRule="auto"/>
              <w:jc w:val="center"/>
              <w:rPr>
                <w:rFonts w:ascii="Calibri" w:eastAsia="Times New Roman" w:hAnsi="Calibri" w:cs="Times New Roman"/>
                <w:color w:val="000000"/>
                <w:sz w:val="20"/>
                <w:szCs w:val="20"/>
              </w:rPr>
            </w:pPr>
            <w:r w:rsidRPr="003D58B4">
              <w:rPr>
                <w:rFonts w:ascii="Calibri" w:eastAsia="Times New Roman" w:hAnsi="Calibri" w:cs="Times New Roman"/>
                <w:color w:val="000000"/>
                <w:sz w:val="20"/>
                <w:szCs w:val="20"/>
              </w:rPr>
              <w:t xml:space="preserve"> </w:t>
            </w:r>
          </w:p>
        </w:tc>
        <w:tc>
          <w:tcPr>
            <w:tcW w:w="461" w:type="dxa"/>
            <w:tcBorders>
              <w:top w:val="nil"/>
              <w:left w:val="nil"/>
              <w:bottom w:val="nil"/>
              <w:right w:val="nil"/>
            </w:tcBorders>
            <w:shd w:val="clear" w:color="000000" w:fill="FFFFFF"/>
            <w:noWrap/>
            <w:hideMark/>
          </w:tcPr>
          <w:p w14:paraId="64F6DD2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115</w:t>
            </w:r>
          </w:p>
        </w:tc>
        <w:tc>
          <w:tcPr>
            <w:tcW w:w="722" w:type="dxa"/>
            <w:tcBorders>
              <w:top w:val="nil"/>
              <w:left w:val="nil"/>
              <w:bottom w:val="nil"/>
              <w:right w:val="nil"/>
            </w:tcBorders>
            <w:shd w:val="clear" w:color="000000" w:fill="FFFFFF"/>
            <w:noWrap/>
            <w:hideMark/>
          </w:tcPr>
          <w:p w14:paraId="6D8EBF5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(14.4)</w:t>
            </w:r>
          </w:p>
        </w:tc>
        <w:tc>
          <w:tcPr>
            <w:tcW w:w="614" w:type="dxa"/>
            <w:tcBorders>
              <w:top w:val="nil"/>
              <w:left w:val="nil"/>
              <w:bottom w:val="nil"/>
              <w:right w:val="nil"/>
            </w:tcBorders>
            <w:shd w:val="clear" w:color="000000" w:fill="FFFFFF"/>
            <w:noWrap/>
            <w:hideMark/>
          </w:tcPr>
          <w:p w14:paraId="1850345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208</w:t>
            </w:r>
          </w:p>
        </w:tc>
        <w:tc>
          <w:tcPr>
            <w:tcW w:w="722" w:type="dxa"/>
            <w:tcBorders>
              <w:top w:val="nil"/>
              <w:left w:val="nil"/>
              <w:bottom w:val="nil"/>
              <w:right w:val="nil"/>
            </w:tcBorders>
            <w:shd w:val="clear" w:color="000000" w:fill="FFFFFF"/>
            <w:noWrap/>
            <w:hideMark/>
          </w:tcPr>
          <w:p w14:paraId="57F4DAA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(13.2)</w:t>
            </w:r>
          </w:p>
        </w:tc>
        <w:tc>
          <w:tcPr>
            <w:tcW w:w="837" w:type="dxa"/>
            <w:tcBorders>
              <w:top w:val="nil"/>
              <w:left w:val="nil"/>
              <w:bottom w:val="nil"/>
              <w:right w:val="nil"/>
            </w:tcBorders>
            <w:shd w:val="clear" w:color="auto" w:fill="auto"/>
            <w:noWrap/>
            <w:hideMark/>
          </w:tcPr>
          <w:p w14:paraId="677410FA" w14:textId="77777777" w:rsidR="003D58B4" w:rsidRPr="003D58B4" w:rsidRDefault="003D58B4" w:rsidP="003D58B4">
            <w:pPr>
              <w:spacing w:after="0" w:line="240" w:lineRule="auto"/>
              <w:jc w:val="center"/>
              <w:rPr>
                <w:rFonts w:ascii="Calibri" w:eastAsia="Times New Roman" w:hAnsi="Calibri" w:cs="Times New Roman"/>
                <w:color w:val="000000"/>
                <w:sz w:val="20"/>
                <w:szCs w:val="20"/>
              </w:rPr>
            </w:pPr>
            <w:r w:rsidRPr="003D58B4">
              <w:rPr>
                <w:rFonts w:ascii="Calibri" w:eastAsia="Times New Roman" w:hAnsi="Calibri" w:cs="Times New Roman"/>
                <w:color w:val="000000"/>
                <w:sz w:val="20"/>
                <w:szCs w:val="20"/>
              </w:rPr>
              <w:t xml:space="preserve"> </w:t>
            </w:r>
          </w:p>
        </w:tc>
      </w:tr>
      <w:tr w:rsidR="003D58B4" w:rsidRPr="003D58B4" w14:paraId="46CBA2A7" w14:textId="77777777" w:rsidTr="003D58B4">
        <w:trPr>
          <w:trHeight w:val="240"/>
        </w:trPr>
        <w:tc>
          <w:tcPr>
            <w:tcW w:w="356" w:type="dxa"/>
            <w:tcBorders>
              <w:top w:val="nil"/>
              <w:left w:val="nil"/>
              <w:bottom w:val="nil"/>
              <w:right w:val="nil"/>
            </w:tcBorders>
            <w:shd w:val="clear" w:color="000000" w:fill="FFFFFF"/>
            <w:noWrap/>
            <w:hideMark/>
          </w:tcPr>
          <w:p w14:paraId="510C64B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3815F3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Asian</w:t>
            </w:r>
          </w:p>
        </w:tc>
        <w:tc>
          <w:tcPr>
            <w:tcW w:w="449" w:type="dxa"/>
            <w:tcBorders>
              <w:top w:val="nil"/>
              <w:left w:val="nil"/>
              <w:bottom w:val="nil"/>
              <w:right w:val="nil"/>
            </w:tcBorders>
            <w:shd w:val="clear" w:color="000000" w:fill="FFFFFF"/>
            <w:noWrap/>
            <w:hideMark/>
          </w:tcPr>
          <w:p w14:paraId="752F399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w:t>
            </w:r>
          </w:p>
        </w:tc>
        <w:tc>
          <w:tcPr>
            <w:tcW w:w="703" w:type="dxa"/>
            <w:tcBorders>
              <w:top w:val="nil"/>
              <w:left w:val="nil"/>
              <w:bottom w:val="nil"/>
              <w:right w:val="nil"/>
            </w:tcBorders>
            <w:shd w:val="clear" w:color="000000" w:fill="FFFFFF"/>
            <w:noWrap/>
            <w:hideMark/>
          </w:tcPr>
          <w:p w14:paraId="2FC149E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w:t>
            </w:r>
          </w:p>
        </w:tc>
        <w:tc>
          <w:tcPr>
            <w:tcW w:w="749" w:type="dxa"/>
            <w:tcBorders>
              <w:top w:val="nil"/>
              <w:left w:val="nil"/>
              <w:bottom w:val="nil"/>
              <w:right w:val="nil"/>
            </w:tcBorders>
            <w:shd w:val="clear" w:color="000000" w:fill="FFFFFF"/>
            <w:noWrap/>
            <w:hideMark/>
          </w:tcPr>
          <w:p w14:paraId="253DA42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367</w:t>
            </w:r>
          </w:p>
        </w:tc>
        <w:tc>
          <w:tcPr>
            <w:tcW w:w="703" w:type="dxa"/>
            <w:tcBorders>
              <w:top w:val="nil"/>
              <w:left w:val="nil"/>
              <w:bottom w:val="nil"/>
              <w:right w:val="nil"/>
            </w:tcBorders>
            <w:shd w:val="clear" w:color="000000" w:fill="FFFFFF"/>
            <w:noWrap/>
            <w:hideMark/>
          </w:tcPr>
          <w:p w14:paraId="48CF0F3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(2.4)</w:t>
            </w:r>
          </w:p>
        </w:tc>
        <w:tc>
          <w:tcPr>
            <w:tcW w:w="832" w:type="dxa"/>
            <w:tcBorders>
              <w:top w:val="nil"/>
              <w:left w:val="nil"/>
              <w:bottom w:val="nil"/>
              <w:right w:val="nil"/>
            </w:tcBorders>
            <w:shd w:val="clear" w:color="000000" w:fill="FFFFFF"/>
            <w:noWrap/>
            <w:hideMark/>
          </w:tcPr>
          <w:p w14:paraId="4A884AEF"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69AFA05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22</w:t>
            </w:r>
          </w:p>
        </w:tc>
        <w:tc>
          <w:tcPr>
            <w:tcW w:w="722" w:type="dxa"/>
            <w:tcBorders>
              <w:top w:val="nil"/>
              <w:left w:val="nil"/>
              <w:bottom w:val="nil"/>
              <w:right w:val="nil"/>
            </w:tcBorders>
            <w:shd w:val="clear" w:color="000000" w:fill="FFFFFF"/>
            <w:noWrap/>
            <w:hideMark/>
          </w:tcPr>
          <w:p w14:paraId="11A8256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(2.7)</w:t>
            </w:r>
          </w:p>
        </w:tc>
        <w:tc>
          <w:tcPr>
            <w:tcW w:w="614" w:type="dxa"/>
            <w:tcBorders>
              <w:top w:val="nil"/>
              <w:left w:val="nil"/>
              <w:bottom w:val="nil"/>
              <w:right w:val="nil"/>
            </w:tcBorders>
            <w:shd w:val="clear" w:color="000000" w:fill="FFFFFF"/>
            <w:noWrap/>
            <w:hideMark/>
          </w:tcPr>
          <w:p w14:paraId="7AB0499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55</w:t>
            </w:r>
          </w:p>
        </w:tc>
        <w:tc>
          <w:tcPr>
            <w:tcW w:w="722" w:type="dxa"/>
            <w:tcBorders>
              <w:top w:val="nil"/>
              <w:left w:val="nil"/>
              <w:bottom w:val="nil"/>
              <w:right w:val="nil"/>
            </w:tcBorders>
            <w:shd w:val="clear" w:color="000000" w:fill="FFFFFF"/>
            <w:noWrap/>
            <w:hideMark/>
          </w:tcPr>
          <w:p w14:paraId="5804303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w:t>
            </w:r>
          </w:p>
        </w:tc>
        <w:tc>
          <w:tcPr>
            <w:tcW w:w="837" w:type="dxa"/>
            <w:tcBorders>
              <w:top w:val="nil"/>
              <w:left w:val="nil"/>
              <w:bottom w:val="nil"/>
              <w:right w:val="nil"/>
            </w:tcBorders>
            <w:shd w:val="clear" w:color="000000" w:fill="FFFFFF"/>
            <w:noWrap/>
            <w:hideMark/>
          </w:tcPr>
          <w:p w14:paraId="33BBCD9C"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1B08F6BD" w14:textId="77777777" w:rsidTr="003D58B4">
        <w:trPr>
          <w:trHeight w:val="240"/>
        </w:trPr>
        <w:tc>
          <w:tcPr>
            <w:tcW w:w="356" w:type="dxa"/>
            <w:tcBorders>
              <w:top w:val="nil"/>
              <w:left w:val="nil"/>
              <w:bottom w:val="nil"/>
              <w:right w:val="nil"/>
            </w:tcBorders>
            <w:shd w:val="clear" w:color="000000" w:fill="FFFFFF"/>
            <w:noWrap/>
            <w:hideMark/>
          </w:tcPr>
          <w:p w14:paraId="0D2BB75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126245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Black neighborhood</w:t>
            </w:r>
          </w:p>
        </w:tc>
        <w:tc>
          <w:tcPr>
            <w:tcW w:w="449" w:type="dxa"/>
            <w:tcBorders>
              <w:top w:val="nil"/>
              <w:left w:val="nil"/>
              <w:bottom w:val="nil"/>
              <w:right w:val="nil"/>
            </w:tcBorders>
            <w:shd w:val="clear" w:color="000000" w:fill="FFFFFF"/>
            <w:noWrap/>
            <w:hideMark/>
          </w:tcPr>
          <w:p w14:paraId="0F4C978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w:t>
            </w:r>
          </w:p>
        </w:tc>
        <w:tc>
          <w:tcPr>
            <w:tcW w:w="703" w:type="dxa"/>
            <w:tcBorders>
              <w:top w:val="nil"/>
              <w:left w:val="nil"/>
              <w:bottom w:val="nil"/>
              <w:right w:val="nil"/>
            </w:tcBorders>
            <w:shd w:val="clear" w:color="000000" w:fill="FFFFFF"/>
            <w:noWrap/>
            <w:hideMark/>
          </w:tcPr>
          <w:p w14:paraId="085E47A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749" w:type="dxa"/>
            <w:tcBorders>
              <w:top w:val="nil"/>
              <w:left w:val="nil"/>
              <w:bottom w:val="nil"/>
              <w:right w:val="nil"/>
            </w:tcBorders>
            <w:shd w:val="clear" w:color="000000" w:fill="FFFFFF"/>
            <w:noWrap/>
            <w:hideMark/>
          </w:tcPr>
          <w:p w14:paraId="23EE8B5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476</w:t>
            </w:r>
          </w:p>
        </w:tc>
        <w:tc>
          <w:tcPr>
            <w:tcW w:w="703" w:type="dxa"/>
            <w:tcBorders>
              <w:top w:val="nil"/>
              <w:left w:val="nil"/>
              <w:bottom w:val="nil"/>
              <w:right w:val="nil"/>
            </w:tcBorders>
            <w:shd w:val="clear" w:color="000000" w:fill="FFFFFF"/>
            <w:noWrap/>
            <w:hideMark/>
          </w:tcPr>
          <w:p w14:paraId="11641D4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(3.1)</w:t>
            </w:r>
          </w:p>
        </w:tc>
        <w:tc>
          <w:tcPr>
            <w:tcW w:w="832" w:type="dxa"/>
            <w:tcBorders>
              <w:top w:val="nil"/>
              <w:left w:val="nil"/>
              <w:bottom w:val="nil"/>
              <w:right w:val="nil"/>
            </w:tcBorders>
            <w:shd w:val="clear" w:color="000000" w:fill="FFFFFF"/>
            <w:noWrap/>
            <w:hideMark/>
          </w:tcPr>
          <w:p w14:paraId="48C4587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2F82394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w:t>
            </w:r>
          </w:p>
        </w:tc>
        <w:tc>
          <w:tcPr>
            <w:tcW w:w="722" w:type="dxa"/>
            <w:tcBorders>
              <w:top w:val="nil"/>
              <w:left w:val="nil"/>
              <w:bottom w:val="nil"/>
              <w:right w:val="nil"/>
            </w:tcBorders>
            <w:shd w:val="clear" w:color="000000" w:fill="FFFFFF"/>
            <w:noWrap/>
            <w:hideMark/>
          </w:tcPr>
          <w:p w14:paraId="31DD0CA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(5.1)</w:t>
            </w:r>
          </w:p>
        </w:tc>
        <w:tc>
          <w:tcPr>
            <w:tcW w:w="614" w:type="dxa"/>
            <w:tcBorders>
              <w:top w:val="nil"/>
              <w:left w:val="nil"/>
              <w:bottom w:val="nil"/>
              <w:right w:val="nil"/>
            </w:tcBorders>
            <w:shd w:val="clear" w:color="000000" w:fill="FFFFFF"/>
            <w:noWrap/>
            <w:hideMark/>
          </w:tcPr>
          <w:p w14:paraId="083C0A3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84</w:t>
            </w:r>
          </w:p>
        </w:tc>
        <w:tc>
          <w:tcPr>
            <w:tcW w:w="722" w:type="dxa"/>
            <w:tcBorders>
              <w:top w:val="nil"/>
              <w:left w:val="nil"/>
              <w:bottom w:val="nil"/>
              <w:right w:val="nil"/>
            </w:tcBorders>
            <w:shd w:val="clear" w:color="000000" w:fill="FFFFFF"/>
            <w:noWrap/>
            <w:hideMark/>
          </w:tcPr>
          <w:p w14:paraId="025F95E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(5.3)</w:t>
            </w:r>
          </w:p>
        </w:tc>
        <w:tc>
          <w:tcPr>
            <w:tcW w:w="837" w:type="dxa"/>
            <w:tcBorders>
              <w:top w:val="nil"/>
              <w:left w:val="nil"/>
              <w:bottom w:val="nil"/>
              <w:right w:val="nil"/>
            </w:tcBorders>
            <w:shd w:val="clear" w:color="000000" w:fill="FFFFFF"/>
            <w:noWrap/>
            <w:hideMark/>
          </w:tcPr>
          <w:p w14:paraId="280676D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25118D08" w14:textId="77777777" w:rsidTr="003D58B4">
        <w:trPr>
          <w:trHeight w:val="240"/>
        </w:trPr>
        <w:tc>
          <w:tcPr>
            <w:tcW w:w="356" w:type="dxa"/>
            <w:tcBorders>
              <w:top w:val="nil"/>
              <w:left w:val="nil"/>
              <w:bottom w:val="nil"/>
              <w:right w:val="nil"/>
            </w:tcBorders>
            <w:shd w:val="clear" w:color="000000" w:fill="FFFFFF"/>
            <w:noWrap/>
            <w:hideMark/>
          </w:tcPr>
          <w:p w14:paraId="41EE6DB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2F453D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Mixed neighborhood</w:t>
            </w:r>
          </w:p>
        </w:tc>
        <w:tc>
          <w:tcPr>
            <w:tcW w:w="449" w:type="dxa"/>
            <w:tcBorders>
              <w:top w:val="nil"/>
              <w:left w:val="nil"/>
              <w:bottom w:val="nil"/>
              <w:right w:val="nil"/>
            </w:tcBorders>
            <w:shd w:val="clear" w:color="000000" w:fill="FFFFFF"/>
            <w:noWrap/>
            <w:hideMark/>
          </w:tcPr>
          <w:p w14:paraId="2240F55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244</w:t>
            </w:r>
          </w:p>
        </w:tc>
        <w:tc>
          <w:tcPr>
            <w:tcW w:w="703" w:type="dxa"/>
            <w:tcBorders>
              <w:top w:val="nil"/>
              <w:left w:val="nil"/>
              <w:bottom w:val="nil"/>
              <w:right w:val="nil"/>
            </w:tcBorders>
            <w:shd w:val="clear" w:color="000000" w:fill="FFFFFF"/>
            <w:noWrap/>
            <w:hideMark/>
          </w:tcPr>
          <w:p w14:paraId="3111A25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(30.2)</w:t>
            </w:r>
          </w:p>
        </w:tc>
        <w:tc>
          <w:tcPr>
            <w:tcW w:w="749" w:type="dxa"/>
            <w:tcBorders>
              <w:top w:val="nil"/>
              <w:left w:val="nil"/>
              <w:bottom w:val="nil"/>
              <w:right w:val="nil"/>
            </w:tcBorders>
            <w:shd w:val="clear" w:color="000000" w:fill="FFFFFF"/>
            <w:noWrap/>
            <w:hideMark/>
          </w:tcPr>
          <w:p w14:paraId="0C8CB36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3975</w:t>
            </w:r>
          </w:p>
        </w:tc>
        <w:tc>
          <w:tcPr>
            <w:tcW w:w="703" w:type="dxa"/>
            <w:tcBorders>
              <w:top w:val="nil"/>
              <w:left w:val="nil"/>
              <w:bottom w:val="nil"/>
              <w:right w:val="nil"/>
            </w:tcBorders>
            <w:shd w:val="clear" w:color="000000" w:fill="FFFFFF"/>
            <w:noWrap/>
            <w:hideMark/>
          </w:tcPr>
          <w:p w14:paraId="0CCA3B5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(26.0)</w:t>
            </w:r>
          </w:p>
        </w:tc>
        <w:tc>
          <w:tcPr>
            <w:tcW w:w="832" w:type="dxa"/>
            <w:tcBorders>
              <w:top w:val="nil"/>
              <w:left w:val="nil"/>
              <w:bottom w:val="nil"/>
              <w:right w:val="nil"/>
            </w:tcBorders>
            <w:shd w:val="clear" w:color="000000" w:fill="FFFFFF"/>
            <w:noWrap/>
            <w:hideMark/>
          </w:tcPr>
          <w:p w14:paraId="4552A3A3"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0E5C7EC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240</w:t>
            </w:r>
          </w:p>
        </w:tc>
        <w:tc>
          <w:tcPr>
            <w:tcW w:w="722" w:type="dxa"/>
            <w:tcBorders>
              <w:top w:val="nil"/>
              <w:left w:val="nil"/>
              <w:bottom w:val="nil"/>
              <w:right w:val="nil"/>
            </w:tcBorders>
            <w:shd w:val="clear" w:color="000000" w:fill="FFFFFF"/>
            <w:noWrap/>
            <w:hideMark/>
          </w:tcPr>
          <w:p w14:paraId="0D796F7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(30.0)</w:t>
            </w:r>
          </w:p>
        </w:tc>
        <w:tc>
          <w:tcPr>
            <w:tcW w:w="614" w:type="dxa"/>
            <w:tcBorders>
              <w:top w:val="nil"/>
              <w:left w:val="nil"/>
              <w:bottom w:val="nil"/>
              <w:right w:val="nil"/>
            </w:tcBorders>
            <w:shd w:val="clear" w:color="000000" w:fill="FFFFFF"/>
            <w:noWrap/>
            <w:hideMark/>
          </w:tcPr>
          <w:p w14:paraId="06B5FEC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464</w:t>
            </w:r>
          </w:p>
        </w:tc>
        <w:tc>
          <w:tcPr>
            <w:tcW w:w="722" w:type="dxa"/>
            <w:tcBorders>
              <w:top w:val="nil"/>
              <w:left w:val="nil"/>
              <w:bottom w:val="nil"/>
              <w:right w:val="nil"/>
            </w:tcBorders>
            <w:shd w:val="clear" w:color="000000" w:fill="FFFFFF"/>
            <w:noWrap/>
            <w:hideMark/>
          </w:tcPr>
          <w:p w14:paraId="0EFBC3E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(29.4)</w:t>
            </w:r>
          </w:p>
        </w:tc>
        <w:tc>
          <w:tcPr>
            <w:tcW w:w="837" w:type="dxa"/>
            <w:tcBorders>
              <w:top w:val="nil"/>
              <w:left w:val="nil"/>
              <w:bottom w:val="nil"/>
              <w:right w:val="nil"/>
            </w:tcBorders>
            <w:shd w:val="clear" w:color="000000" w:fill="FFFFFF"/>
            <w:noWrap/>
            <w:hideMark/>
          </w:tcPr>
          <w:p w14:paraId="6B9743D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36F1CC84" w14:textId="77777777" w:rsidTr="003D58B4">
        <w:trPr>
          <w:trHeight w:val="240"/>
        </w:trPr>
        <w:tc>
          <w:tcPr>
            <w:tcW w:w="356" w:type="dxa"/>
            <w:tcBorders>
              <w:top w:val="nil"/>
              <w:left w:val="nil"/>
              <w:bottom w:val="nil"/>
              <w:right w:val="nil"/>
            </w:tcBorders>
            <w:shd w:val="clear" w:color="000000" w:fill="FFFFFF"/>
            <w:noWrap/>
            <w:hideMark/>
          </w:tcPr>
          <w:p w14:paraId="2D5C392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460997C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White neighborhood</w:t>
            </w:r>
          </w:p>
        </w:tc>
        <w:tc>
          <w:tcPr>
            <w:tcW w:w="449" w:type="dxa"/>
            <w:tcBorders>
              <w:top w:val="nil"/>
              <w:left w:val="nil"/>
              <w:bottom w:val="nil"/>
              <w:right w:val="nil"/>
            </w:tcBorders>
            <w:shd w:val="clear" w:color="000000" w:fill="FFFFFF"/>
            <w:noWrap/>
            <w:hideMark/>
          </w:tcPr>
          <w:p w14:paraId="7910D53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383</w:t>
            </w:r>
          </w:p>
        </w:tc>
        <w:tc>
          <w:tcPr>
            <w:tcW w:w="703" w:type="dxa"/>
            <w:tcBorders>
              <w:top w:val="nil"/>
              <w:left w:val="nil"/>
              <w:bottom w:val="nil"/>
              <w:right w:val="nil"/>
            </w:tcBorders>
            <w:shd w:val="clear" w:color="000000" w:fill="FFFFFF"/>
            <w:noWrap/>
            <w:hideMark/>
          </w:tcPr>
          <w:p w14:paraId="15D02E4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(47.5)</w:t>
            </w:r>
          </w:p>
        </w:tc>
        <w:tc>
          <w:tcPr>
            <w:tcW w:w="749" w:type="dxa"/>
            <w:tcBorders>
              <w:top w:val="nil"/>
              <w:left w:val="nil"/>
              <w:bottom w:val="nil"/>
              <w:right w:val="nil"/>
            </w:tcBorders>
            <w:shd w:val="clear" w:color="000000" w:fill="FFFFFF"/>
            <w:noWrap/>
            <w:hideMark/>
          </w:tcPr>
          <w:p w14:paraId="6E8BC2A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8869</w:t>
            </w:r>
          </w:p>
        </w:tc>
        <w:tc>
          <w:tcPr>
            <w:tcW w:w="703" w:type="dxa"/>
            <w:tcBorders>
              <w:top w:val="nil"/>
              <w:left w:val="nil"/>
              <w:bottom w:val="nil"/>
              <w:right w:val="nil"/>
            </w:tcBorders>
            <w:shd w:val="clear" w:color="000000" w:fill="FFFFFF"/>
            <w:noWrap/>
            <w:hideMark/>
          </w:tcPr>
          <w:p w14:paraId="02B6E28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(57.9)</w:t>
            </w:r>
          </w:p>
        </w:tc>
        <w:tc>
          <w:tcPr>
            <w:tcW w:w="832" w:type="dxa"/>
            <w:tcBorders>
              <w:top w:val="nil"/>
              <w:left w:val="nil"/>
              <w:bottom w:val="nil"/>
              <w:right w:val="nil"/>
            </w:tcBorders>
            <w:shd w:val="clear" w:color="000000" w:fill="FFFFFF"/>
            <w:noWrap/>
            <w:hideMark/>
          </w:tcPr>
          <w:p w14:paraId="3D1DEE1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40441BB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383</w:t>
            </w:r>
          </w:p>
        </w:tc>
        <w:tc>
          <w:tcPr>
            <w:tcW w:w="722" w:type="dxa"/>
            <w:tcBorders>
              <w:top w:val="nil"/>
              <w:left w:val="nil"/>
              <w:bottom w:val="nil"/>
              <w:right w:val="nil"/>
            </w:tcBorders>
            <w:shd w:val="clear" w:color="000000" w:fill="FFFFFF"/>
            <w:noWrap/>
            <w:hideMark/>
          </w:tcPr>
          <w:p w14:paraId="0FE8E64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(47.8)</w:t>
            </w:r>
          </w:p>
        </w:tc>
        <w:tc>
          <w:tcPr>
            <w:tcW w:w="614" w:type="dxa"/>
            <w:tcBorders>
              <w:top w:val="nil"/>
              <w:left w:val="nil"/>
              <w:bottom w:val="nil"/>
              <w:right w:val="nil"/>
            </w:tcBorders>
            <w:shd w:val="clear" w:color="000000" w:fill="FFFFFF"/>
            <w:noWrap/>
            <w:hideMark/>
          </w:tcPr>
          <w:p w14:paraId="74D7B3C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766</w:t>
            </w:r>
          </w:p>
        </w:tc>
        <w:tc>
          <w:tcPr>
            <w:tcW w:w="722" w:type="dxa"/>
            <w:tcBorders>
              <w:top w:val="nil"/>
              <w:left w:val="nil"/>
              <w:bottom w:val="nil"/>
              <w:right w:val="nil"/>
            </w:tcBorders>
            <w:shd w:val="clear" w:color="000000" w:fill="FFFFFF"/>
            <w:noWrap/>
            <w:hideMark/>
          </w:tcPr>
          <w:p w14:paraId="1218755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(48.6)</w:t>
            </w:r>
          </w:p>
        </w:tc>
        <w:tc>
          <w:tcPr>
            <w:tcW w:w="837" w:type="dxa"/>
            <w:tcBorders>
              <w:top w:val="nil"/>
              <w:left w:val="nil"/>
              <w:bottom w:val="nil"/>
              <w:right w:val="nil"/>
            </w:tcBorders>
            <w:shd w:val="clear" w:color="000000" w:fill="FFFFFF"/>
            <w:noWrap/>
            <w:hideMark/>
          </w:tcPr>
          <w:p w14:paraId="4F597BDE"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6A345FD1" w14:textId="77777777" w:rsidTr="003D58B4">
        <w:trPr>
          <w:trHeight w:val="240"/>
        </w:trPr>
        <w:tc>
          <w:tcPr>
            <w:tcW w:w="3512" w:type="dxa"/>
            <w:gridSpan w:val="2"/>
            <w:tcBorders>
              <w:top w:val="nil"/>
              <w:left w:val="nil"/>
              <w:bottom w:val="nil"/>
              <w:right w:val="nil"/>
            </w:tcBorders>
            <w:shd w:val="clear" w:color="000000" w:fill="FFFFFF"/>
            <w:noWrap/>
            <w:hideMark/>
          </w:tcPr>
          <w:p w14:paraId="753FA7C3"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Region, No. (%)</w:t>
            </w:r>
          </w:p>
        </w:tc>
        <w:tc>
          <w:tcPr>
            <w:tcW w:w="449" w:type="dxa"/>
            <w:tcBorders>
              <w:top w:val="nil"/>
              <w:left w:val="nil"/>
              <w:bottom w:val="nil"/>
              <w:right w:val="nil"/>
            </w:tcBorders>
            <w:shd w:val="clear" w:color="000000" w:fill="FFFFFF"/>
            <w:noWrap/>
            <w:hideMark/>
          </w:tcPr>
          <w:p w14:paraId="2613CC7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6096D46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155F6CF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08E397F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noWrap/>
            <w:hideMark/>
          </w:tcPr>
          <w:p w14:paraId="1E48E77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0.20</w:t>
            </w:r>
          </w:p>
        </w:tc>
        <w:tc>
          <w:tcPr>
            <w:tcW w:w="461" w:type="dxa"/>
            <w:tcBorders>
              <w:top w:val="nil"/>
              <w:left w:val="nil"/>
              <w:bottom w:val="nil"/>
              <w:right w:val="nil"/>
            </w:tcBorders>
            <w:shd w:val="clear" w:color="000000" w:fill="FFFFFF"/>
            <w:noWrap/>
            <w:hideMark/>
          </w:tcPr>
          <w:p w14:paraId="6DE3D3A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583BCCA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092780A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4B8074C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noWrap/>
            <w:hideMark/>
          </w:tcPr>
          <w:p w14:paraId="1A0C701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0.06</w:t>
            </w:r>
          </w:p>
        </w:tc>
      </w:tr>
      <w:tr w:rsidR="003D58B4" w:rsidRPr="003D58B4" w14:paraId="7E6D838E" w14:textId="77777777" w:rsidTr="003D58B4">
        <w:trPr>
          <w:trHeight w:val="240"/>
        </w:trPr>
        <w:tc>
          <w:tcPr>
            <w:tcW w:w="356" w:type="dxa"/>
            <w:tcBorders>
              <w:top w:val="nil"/>
              <w:left w:val="nil"/>
              <w:bottom w:val="nil"/>
              <w:right w:val="nil"/>
            </w:tcBorders>
            <w:shd w:val="clear" w:color="000000" w:fill="FFFFFF"/>
            <w:noWrap/>
            <w:hideMark/>
          </w:tcPr>
          <w:p w14:paraId="764CC9B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AE4385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West</w:t>
            </w:r>
          </w:p>
        </w:tc>
        <w:tc>
          <w:tcPr>
            <w:tcW w:w="449" w:type="dxa"/>
            <w:tcBorders>
              <w:top w:val="nil"/>
              <w:left w:val="nil"/>
              <w:bottom w:val="nil"/>
              <w:right w:val="nil"/>
            </w:tcBorders>
            <w:shd w:val="clear" w:color="000000" w:fill="FFFFFF"/>
            <w:noWrap/>
            <w:hideMark/>
          </w:tcPr>
          <w:p w14:paraId="2051618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131</w:t>
            </w:r>
          </w:p>
        </w:tc>
        <w:tc>
          <w:tcPr>
            <w:tcW w:w="703" w:type="dxa"/>
            <w:tcBorders>
              <w:top w:val="nil"/>
              <w:left w:val="nil"/>
              <w:bottom w:val="nil"/>
              <w:right w:val="nil"/>
            </w:tcBorders>
            <w:shd w:val="clear" w:color="000000" w:fill="FFFFFF"/>
            <w:noWrap/>
            <w:hideMark/>
          </w:tcPr>
          <w:p w14:paraId="6D184E3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(16.2)</w:t>
            </w:r>
          </w:p>
        </w:tc>
        <w:tc>
          <w:tcPr>
            <w:tcW w:w="749" w:type="dxa"/>
            <w:tcBorders>
              <w:top w:val="nil"/>
              <w:left w:val="nil"/>
              <w:bottom w:val="nil"/>
              <w:right w:val="nil"/>
            </w:tcBorders>
            <w:shd w:val="clear" w:color="000000" w:fill="FFFFFF"/>
            <w:noWrap/>
            <w:hideMark/>
          </w:tcPr>
          <w:p w14:paraId="587E693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1855</w:t>
            </w:r>
          </w:p>
        </w:tc>
        <w:tc>
          <w:tcPr>
            <w:tcW w:w="703" w:type="dxa"/>
            <w:tcBorders>
              <w:top w:val="nil"/>
              <w:left w:val="nil"/>
              <w:bottom w:val="nil"/>
              <w:right w:val="nil"/>
            </w:tcBorders>
            <w:shd w:val="clear" w:color="000000" w:fill="FFFFFF"/>
            <w:noWrap/>
            <w:hideMark/>
          </w:tcPr>
          <w:p w14:paraId="0496D13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(12.1)</w:t>
            </w:r>
          </w:p>
        </w:tc>
        <w:tc>
          <w:tcPr>
            <w:tcW w:w="832" w:type="dxa"/>
            <w:tcBorders>
              <w:top w:val="nil"/>
              <w:left w:val="nil"/>
              <w:bottom w:val="nil"/>
              <w:right w:val="nil"/>
            </w:tcBorders>
            <w:shd w:val="clear" w:color="000000" w:fill="FFFFFF"/>
            <w:noWrap/>
            <w:hideMark/>
          </w:tcPr>
          <w:p w14:paraId="28E54FA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002E5CC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130</w:t>
            </w:r>
          </w:p>
        </w:tc>
        <w:tc>
          <w:tcPr>
            <w:tcW w:w="722" w:type="dxa"/>
            <w:tcBorders>
              <w:top w:val="nil"/>
              <w:left w:val="nil"/>
              <w:bottom w:val="nil"/>
              <w:right w:val="nil"/>
            </w:tcBorders>
            <w:shd w:val="clear" w:color="000000" w:fill="FFFFFF"/>
            <w:noWrap/>
            <w:hideMark/>
          </w:tcPr>
          <w:p w14:paraId="0DA9988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(16.2)</w:t>
            </w:r>
          </w:p>
        </w:tc>
        <w:tc>
          <w:tcPr>
            <w:tcW w:w="614" w:type="dxa"/>
            <w:tcBorders>
              <w:top w:val="nil"/>
              <w:left w:val="nil"/>
              <w:bottom w:val="nil"/>
              <w:right w:val="nil"/>
            </w:tcBorders>
            <w:shd w:val="clear" w:color="000000" w:fill="FFFFFF"/>
            <w:noWrap/>
            <w:hideMark/>
          </w:tcPr>
          <w:p w14:paraId="3E4D5E4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232</w:t>
            </w:r>
          </w:p>
        </w:tc>
        <w:tc>
          <w:tcPr>
            <w:tcW w:w="722" w:type="dxa"/>
            <w:tcBorders>
              <w:top w:val="nil"/>
              <w:left w:val="nil"/>
              <w:bottom w:val="nil"/>
              <w:right w:val="nil"/>
            </w:tcBorders>
            <w:shd w:val="clear" w:color="000000" w:fill="FFFFFF"/>
            <w:noWrap/>
            <w:hideMark/>
          </w:tcPr>
          <w:p w14:paraId="39263C2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(14.7)</w:t>
            </w:r>
          </w:p>
        </w:tc>
        <w:tc>
          <w:tcPr>
            <w:tcW w:w="837" w:type="dxa"/>
            <w:tcBorders>
              <w:top w:val="nil"/>
              <w:left w:val="nil"/>
              <w:bottom w:val="nil"/>
              <w:right w:val="nil"/>
            </w:tcBorders>
            <w:shd w:val="clear" w:color="000000" w:fill="FFFFFF"/>
            <w:noWrap/>
            <w:hideMark/>
          </w:tcPr>
          <w:p w14:paraId="0ADDEA2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7BC338EA" w14:textId="77777777" w:rsidTr="003D58B4">
        <w:trPr>
          <w:trHeight w:val="240"/>
        </w:trPr>
        <w:tc>
          <w:tcPr>
            <w:tcW w:w="356" w:type="dxa"/>
            <w:tcBorders>
              <w:top w:val="nil"/>
              <w:left w:val="nil"/>
              <w:bottom w:val="nil"/>
              <w:right w:val="nil"/>
            </w:tcBorders>
            <w:shd w:val="clear" w:color="000000" w:fill="FFFFFF"/>
            <w:noWrap/>
            <w:hideMark/>
          </w:tcPr>
          <w:p w14:paraId="4A5CDC2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777219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Midwest</w:t>
            </w:r>
          </w:p>
        </w:tc>
        <w:tc>
          <w:tcPr>
            <w:tcW w:w="449" w:type="dxa"/>
            <w:tcBorders>
              <w:top w:val="nil"/>
              <w:left w:val="nil"/>
              <w:bottom w:val="nil"/>
              <w:right w:val="nil"/>
            </w:tcBorders>
            <w:shd w:val="clear" w:color="000000" w:fill="FFFFFF"/>
            <w:noWrap/>
            <w:hideMark/>
          </w:tcPr>
          <w:p w14:paraId="6050214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235</w:t>
            </w:r>
          </w:p>
        </w:tc>
        <w:tc>
          <w:tcPr>
            <w:tcW w:w="703" w:type="dxa"/>
            <w:tcBorders>
              <w:top w:val="nil"/>
              <w:left w:val="nil"/>
              <w:bottom w:val="nil"/>
              <w:right w:val="nil"/>
            </w:tcBorders>
            <w:shd w:val="clear" w:color="000000" w:fill="FFFFFF"/>
            <w:noWrap/>
            <w:hideMark/>
          </w:tcPr>
          <w:p w14:paraId="7D1A6E7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(29.1)</w:t>
            </w:r>
          </w:p>
        </w:tc>
        <w:tc>
          <w:tcPr>
            <w:tcW w:w="749" w:type="dxa"/>
            <w:tcBorders>
              <w:top w:val="nil"/>
              <w:left w:val="nil"/>
              <w:bottom w:val="nil"/>
              <w:right w:val="nil"/>
            </w:tcBorders>
            <w:shd w:val="clear" w:color="000000" w:fill="FFFFFF"/>
            <w:noWrap/>
            <w:hideMark/>
          </w:tcPr>
          <w:p w14:paraId="7A0C05B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5605</w:t>
            </w:r>
          </w:p>
        </w:tc>
        <w:tc>
          <w:tcPr>
            <w:tcW w:w="703" w:type="dxa"/>
            <w:tcBorders>
              <w:top w:val="nil"/>
              <w:left w:val="nil"/>
              <w:bottom w:val="nil"/>
              <w:right w:val="nil"/>
            </w:tcBorders>
            <w:shd w:val="clear" w:color="000000" w:fill="FFFFFF"/>
            <w:noWrap/>
            <w:hideMark/>
          </w:tcPr>
          <w:p w14:paraId="3A43684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(36.6)</w:t>
            </w:r>
          </w:p>
        </w:tc>
        <w:tc>
          <w:tcPr>
            <w:tcW w:w="832" w:type="dxa"/>
            <w:tcBorders>
              <w:top w:val="nil"/>
              <w:left w:val="nil"/>
              <w:bottom w:val="nil"/>
              <w:right w:val="nil"/>
            </w:tcBorders>
            <w:shd w:val="clear" w:color="000000" w:fill="FFFFFF"/>
            <w:noWrap/>
            <w:hideMark/>
          </w:tcPr>
          <w:p w14:paraId="4704A4A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182D058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235</w:t>
            </w:r>
          </w:p>
        </w:tc>
        <w:tc>
          <w:tcPr>
            <w:tcW w:w="722" w:type="dxa"/>
            <w:tcBorders>
              <w:top w:val="nil"/>
              <w:left w:val="nil"/>
              <w:bottom w:val="nil"/>
              <w:right w:val="nil"/>
            </w:tcBorders>
            <w:shd w:val="clear" w:color="000000" w:fill="FFFFFF"/>
            <w:noWrap/>
            <w:hideMark/>
          </w:tcPr>
          <w:p w14:paraId="123A506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(29.3)</w:t>
            </w:r>
          </w:p>
        </w:tc>
        <w:tc>
          <w:tcPr>
            <w:tcW w:w="614" w:type="dxa"/>
            <w:tcBorders>
              <w:top w:val="nil"/>
              <w:left w:val="nil"/>
              <w:bottom w:val="nil"/>
              <w:right w:val="nil"/>
            </w:tcBorders>
            <w:shd w:val="clear" w:color="000000" w:fill="FFFFFF"/>
            <w:noWrap/>
            <w:hideMark/>
          </w:tcPr>
          <w:p w14:paraId="622C68D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490</w:t>
            </w:r>
          </w:p>
        </w:tc>
        <w:tc>
          <w:tcPr>
            <w:tcW w:w="722" w:type="dxa"/>
            <w:tcBorders>
              <w:top w:val="nil"/>
              <w:left w:val="nil"/>
              <w:bottom w:val="nil"/>
              <w:right w:val="nil"/>
            </w:tcBorders>
            <w:shd w:val="clear" w:color="000000" w:fill="FFFFFF"/>
            <w:noWrap/>
            <w:hideMark/>
          </w:tcPr>
          <w:p w14:paraId="5CC015D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(31.1)</w:t>
            </w:r>
          </w:p>
        </w:tc>
        <w:tc>
          <w:tcPr>
            <w:tcW w:w="837" w:type="dxa"/>
            <w:tcBorders>
              <w:top w:val="nil"/>
              <w:left w:val="nil"/>
              <w:bottom w:val="nil"/>
              <w:right w:val="nil"/>
            </w:tcBorders>
            <w:shd w:val="clear" w:color="000000" w:fill="FFFFFF"/>
            <w:noWrap/>
            <w:hideMark/>
          </w:tcPr>
          <w:p w14:paraId="5012C95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1E5537C3" w14:textId="77777777" w:rsidTr="003D58B4">
        <w:trPr>
          <w:trHeight w:val="240"/>
        </w:trPr>
        <w:tc>
          <w:tcPr>
            <w:tcW w:w="356" w:type="dxa"/>
            <w:tcBorders>
              <w:top w:val="nil"/>
              <w:left w:val="nil"/>
              <w:bottom w:val="nil"/>
              <w:right w:val="nil"/>
            </w:tcBorders>
            <w:shd w:val="clear" w:color="000000" w:fill="FFFFFF"/>
            <w:noWrap/>
            <w:hideMark/>
          </w:tcPr>
          <w:p w14:paraId="0B6B643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1EF76F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South</w:t>
            </w:r>
          </w:p>
        </w:tc>
        <w:tc>
          <w:tcPr>
            <w:tcW w:w="449" w:type="dxa"/>
            <w:tcBorders>
              <w:top w:val="nil"/>
              <w:left w:val="nil"/>
              <w:bottom w:val="nil"/>
              <w:right w:val="nil"/>
            </w:tcBorders>
            <w:shd w:val="clear" w:color="000000" w:fill="FFFFFF"/>
            <w:noWrap/>
            <w:hideMark/>
          </w:tcPr>
          <w:p w14:paraId="4AB34F9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394</w:t>
            </w:r>
          </w:p>
        </w:tc>
        <w:tc>
          <w:tcPr>
            <w:tcW w:w="703" w:type="dxa"/>
            <w:tcBorders>
              <w:top w:val="nil"/>
              <w:left w:val="nil"/>
              <w:bottom w:val="nil"/>
              <w:right w:val="nil"/>
            </w:tcBorders>
            <w:shd w:val="clear" w:color="000000" w:fill="FFFFFF"/>
            <w:noWrap/>
            <w:hideMark/>
          </w:tcPr>
          <w:p w14:paraId="5C017C1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(48.8)</w:t>
            </w:r>
          </w:p>
        </w:tc>
        <w:tc>
          <w:tcPr>
            <w:tcW w:w="749" w:type="dxa"/>
            <w:tcBorders>
              <w:top w:val="nil"/>
              <w:left w:val="nil"/>
              <w:bottom w:val="nil"/>
              <w:right w:val="nil"/>
            </w:tcBorders>
            <w:shd w:val="clear" w:color="000000" w:fill="FFFFFF"/>
            <w:noWrap/>
            <w:hideMark/>
          </w:tcPr>
          <w:p w14:paraId="4001901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7172</w:t>
            </w:r>
          </w:p>
        </w:tc>
        <w:tc>
          <w:tcPr>
            <w:tcW w:w="703" w:type="dxa"/>
            <w:tcBorders>
              <w:top w:val="nil"/>
              <w:left w:val="nil"/>
              <w:bottom w:val="nil"/>
              <w:right w:val="nil"/>
            </w:tcBorders>
            <w:shd w:val="clear" w:color="000000" w:fill="FFFFFF"/>
            <w:noWrap/>
            <w:hideMark/>
          </w:tcPr>
          <w:p w14:paraId="1700814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(46.8)</w:t>
            </w:r>
          </w:p>
        </w:tc>
        <w:tc>
          <w:tcPr>
            <w:tcW w:w="832" w:type="dxa"/>
            <w:tcBorders>
              <w:top w:val="nil"/>
              <w:left w:val="nil"/>
              <w:bottom w:val="nil"/>
              <w:right w:val="nil"/>
            </w:tcBorders>
            <w:shd w:val="clear" w:color="000000" w:fill="FFFFFF"/>
            <w:noWrap/>
            <w:hideMark/>
          </w:tcPr>
          <w:p w14:paraId="096BE42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0B1D36F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390</w:t>
            </w:r>
          </w:p>
        </w:tc>
        <w:tc>
          <w:tcPr>
            <w:tcW w:w="722" w:type="dxa"/>
            <w:tcBorders>
              <w:top w:val="nil"/>
              <w:left w:val="nil"/>
              <w:bottom w:val="nil"/>
              <w:right w:val="nil"/>
            </w:tcBorders>
            <w:shd w:val="clear" w:color="000000" w:fill="FFFFFF"/>
            <w:noWrap/>
            <w:hideMark/>
          </w:tcPr>
          <w:p w14:paraId="7AD35AE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(48.7)</w:t>
            </w:r>
          </w:p>
        </w:tc>
        <w:tc>
          <w:tcPr>
            <w:tcW w:w="614" w:type="dxa"/>
            <w:tcBorders>
              <w:top w:val="nil"/>
              <w:left w:val="nil"/>
              <w:bottom w:val="nil"/>
              <w:right w:val="nil"/>
            </w:tcBorders>
            <w:shd w:val="clear" w:color="000000" w:fill="FFFFFF"/>
            <w:noWrap/>
            <w:hideMark/>
          </w:tcPr>
          <w:p w14:paraId="1954403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767</w:t>
            </w:r>
          </w:p>
        </w:tc>
        <w:tc>
          <w:tcPr>
            <w:tcW w:w="722" w:type="dxa"/>
            <w:tcBorders>
              <w:top w:val="nil"/>
              <w:left w:val="nil"/>
              <w:bottom w:val="nil"/>
              <w:right w:val="nil"/>
            </w:tcBorders>
            <w:shd w:val="clear" w:color="000000" w:fill="FFFFFF"/>
            <w:noWrap/>
            <w:hideMark/>
          </w:tcPr>
          <w:p w14:paraId="502F68A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(48.6)</w:t>
            </w:r>
          </w:p>
        </w:tc>
        <w:tc>
          <w:tcPr>
            <w:tcW w:w="837" w:type="dxa"/>
            <w:tcBorders>
              <w:top w:val="nil"/>
              <w:left w:val="nil"/>
              <w:bottom w:val="nil"/>
              <w:right w:val="nil"/>
            </w:tcBorders>
            <w:shd w:val="clear" w:color="000000" w:fill="FFFFFF"/>
            <w:noWrap/>
            <w:hideMark/>
          </w:tcPr>
          <w:p w14:paraId="45CE81C5"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025C66C4" w14:textId="77777777" w:rsidTr="003D58B4">
        <w:trPr>
          <w:trHeight w:val="240"/>
        </w:trPr>
        <w:tc>
          <w:tcPr>
            <w:tcW w:w="356" w:type="dxa"/>
            <w:tcBorders>
              <w:top w:val="nil"/>
              <w:left w:val="nil"/>
              <w:bottom w:val="nil"/>
              <w:right w:val="nil"/>
            </w:tcBorders>
            <w:shd w:val="clear" w:color="000000" w:fill="FFFFFF"/>
            <w:noWrap/>
            <w:hideMark/>
          </w:tcPr>
          <w:p w14:paraId="4648FB7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8E41D4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Northeast</w:t>
            </w:r>
          </w:p>
        </w:tc>
        <w:tc>
          <w:tcPr>
            <w:tcW w:w="449" w:type="dxa"/>
            <w:tcBorders>
              <w:top w:val="nil"/>
              <w:left w:val="nil"/>
              <w:bottom w:val="nil"/>
              <w:right w:val="nil"/>
            </w:tcBorders>
            <w:shd w:val="clear" w:color="000000" w:fill="FFFFFF"/>
            <w:noWrap/>
            <w:hideMark/>
          </w:tcPr>
          <w:p w14:paraId="62453D0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w:t>
            </w:r>
          </w:p>
        </w:tc>
        <w:tc>
          <w:tcPr>
            <w:tcW w:w="703" w:type="dxa"/>
            <w:tcBorders>
              <w:top w:val="nil"/>
              <w:left w:val="nil"/>
              <w:bottom w:val="nil"/>
              <w:right w:val="nil"/>
            </w:tcBorders>
            <w:shd w:val="clear" w:color="000000" w:fill="FFFFFF"/>
            <w:noWrap/>
            <w:hideMark/>
          </w:tcPr>
          <w:p w14:paraId="15444EE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(5.8)</w:t>
            </w:r>
          </w:p>
        </w:tc>
        <w:tc>
          <w:tcPr>
            <w:tcW w:w="749" w:type="dxa"/>
            <w:tcBorders>
              <w:top w:val="nil"/>
              <w:left w:val="nil"/>
              <w:bottom w:val="nil"/>
              <w:right w:val="nil"/>
            </w:tcBorders>
            <w:shd w:val="clear" w:color="000000" w:fill="FFFFFF"/>
            <w:noWrap/>
            <w:hideMark/>
          </w:tcPr>
          <w:p w14:paraId="7892CCD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685</w:t>
            </w:r>
          </w:p>
        </w:tc>
        <w:tc>
          <w:tcPr>
            <w:tcW w:w="703" w:type="dxa"/>
            <w:tcBorders>
              <w:top w:val="nil"/>
              <w:left w:val="nil"/>
              <w:bottom w:val="nil"/>
              <w:right w:val="nil"/>
            </w:tcBorders>
            <w:shd w:val="clear" w:color="000000" w:fill="FFFFFF"/>
            <w:noWrap/>
            <w:hideMark/>
          </w:tcPr>
          <w:p w14:paraId="32C8B89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(4.5)</w:t>
            </w:r>
          </w:p>
        </w:tc>
        <w:tc>
          <w:tcPr>
            <w:tcW w:w="832" w:type="dxa"/>
            <w:tcBorders>
              <w:top w:val="nil"/>
              <w:left w:val="nil"/>
              <w:bottom w:val="nil"/>
              <w:right w:val="nil"/>
            </w:tcBorders>
            <w:shd w:val="clear" w:color="000000" w:fill="FFFFFF"/>
            <w:noWrap/>
            <w:hideMark/>
          </w:tcPr>
          <w:p w14:paraId="595EF92F"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2B8A68F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46</w:t>
            </w:r>
          </w:p>
        </w:tc>
        <w:tc>
          <w:tcPr>
            <w:tcW w:w="722" w:type="dxa"/>
            <w:tcBorders>
              <w:top w:val="nil"/>
              <w:left w:val="nil"/>
              <w:bottom w:val="nil"/>
              <w:right w:val="nil"/>
            </w:tcBorders>
            <w:shd w:val="clear" w:color="000000" w:fill="FFFFFF"/>
            <w:noWrap/>
            <w:hideMark/>
          </w:tcPr>
          <w:p w14:paraId="77E9FDA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(5.7)</w:t>
            </w:r>
          </w:p>
        </w:tc>
        <w:tc>
          <w:tcPr>
            <w:tcW w:w="614" w:type="dxa"/>
            <w:tcBorders>
              <w:top w:val="nil"/>
              <w:left w:val="nil"/>
              <w:bottom w:val="nil"/>
              <w:right w:val="nil"/>
            </w:tcBorders>
            <w:shd w:val="clear" w:color="000000" w:fill="FFFFFF"/>
            <w:noWrap/>
            <w:hideMark/>
          </w:tcPr>
          <w:p w14:paraId="66B60B9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88</w:t>
            </w:r>
          </w:p>
        </w:tc>
        <w:tc>
          <w:tcPr>
            <w:tcW w:w="722" w:type="dxa"/>
            <w:tcBorders>
              <w:top w:val="nil"/>
              <w:left w:val="nil"/>
              <w:bottom w:val="nil"/>
              <w:right w:val="nil"/>
            </w:tcBorders>
            <w:shd w:val="clear" w:color="000000" w:fill="FFFFFF"/>
            <w:noWrap/>
            <w:hideMark/>
          </w:tcPr>
          <w:p w14:paraId="70E8C61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(5.6)</w:t>
            </w:r>
          </w:p>
        </w:tc>
        <w:tc>
          <w:tcPr>
            <w:tcW w:w="837" w:type="dxa"/>
            <w:tcBorders>
              <w:top w:val="nil"/>
              <w:left w:val="nil"/>
              <w:bottom w:val="nil"/>
              <w:right w:val="nil"/>
            </w:tcBorders>
            <w:shd w:val="clear" w:color="000000" w:fill="FFFFFF"/>
            <w:noWrap/>
            <w:hideMark/>
          </w:tcPr>
          <w:p w14:paraId="2D03B5A6"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08747D52" w14:textId="77777777" w:rsidTr="003D58B4">
        <w:trPr>
          <w:trHeight w:val="240"/>
        </w:trPr>
        <w:tc>
          <w:tcPr>
            <w:tcW w:w="3512" w:type="dxa"/>
            <w:gridSpan w:val="2"/>
            <w:tcBorders>
              <w:top w:val="nil"/>
              <w:left w:val="nil"/>
              <w:bottom w:val="nil"/>
              <w:right w:val="nil"/>
            </w:tcBorders>
            <w:shd w:val="clear" w:color="000000" w:fill="FFFFFF"/>
            <w:noWrap/>
            <w:hideMark/>
          </w:tcPr>
          <w:p w14:paraId="2DDF2F4B"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ACG score, Mean (SD)</w:t>
            </w:r>
            <w:r w:rsidRPr="003D58B4">
              <w:rPr>
                <w:rFonts w:ascii="Calibri" w:eastAsia="Times New Roman" w:hAnsi="Calibri" w:cs="Times New Roman"/>
                <w:b/>
                <w:bCs/>
                <w:color w:val="000000"/>
                <w:sz w:val="18"/>
                <w:szCs w:val="18"/>
                <w:vertAlign w:val="superscript"/>
              </w:rPr>
              <w:t xml:space="preserve"> **</w:t>
            </w:r>
          </w:p>
        </w:tc>
        <w:tc>
          <w:tcPr>
            <w:tcW w:w="449" w:type="dxa"/>
            <w:tcBorders>
              <w:top w:val="nil"/>
              <w:left w:val="nil"/>
              <w:bottom w:val="nil"/>
              <w:right w:val="nil"/>
            </w:tcBorders>
            <w:shd w:val="clear" w:color="000000" w:fill="FFFFFF"/>
            <w:noWrap/>
            <w:hideMark/>
          </w:tcPr>
          <w:p w14:paraId="66260BA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w:t>
            </w:r>
          </w:p>
        </w:tc>
        <w:tc>
          <w:tcPr>
            <w:tcW w:w="703" w:type="dxa"/>
            <w:tcBorders>
              <w:top w:val="nil"/>
              <w:left w:val="nil"/>
              <w:bottom w:val="nil"/>
              <w:right w:val="nil"/>
            </w:tcBorders>
            <w:shd w:val="clear" w:color="000000" w:fill="FFFFFF"/>
            <w:noWrap/>
            <w:hideMark/>
          </w:tcPr>
          <w:p w14:paraId="5C9A6B2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(3.1)</w:t>
            </w:r>
          </w:p>
        </w:tc>
        <w:tc>
          <w:tcPr>
            <w:tcW w:w="749" w:type="dxa"/>
            <w:tcBorders>
              <w:top w:val="nil"/>
              <w:left w:val="nil"/>
              <w:bottom w:val="nil"/>
              <w:right w:val="nil"/>
            </w:tcBorders>
            <w:shd w:val="clear" w:color="000000" w:fill="FFFFFF"/>
            <w:noWrap/>
            <w:hideMark/>
          </w:tcPr>
          <w:p w14:paraId="2B0E5ED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1.9</w:t>
            </w:r>
          </w:p>
        </w:tc>
        <w:tc>
          <w:tcPr>
            <w:tcW w:w="703" w:type="dxa"/>
            <w:tcBorders>
              <w:top w:val="nil"/>
              <w:left w:val="nil"/>
              <w:bottom w:val="nil"/>
              <w:right w:val="nil"/>
            </w:tcBorders>
            <w:shd w:val="clear" w:color="000000" w:fill="FFFFFF"/>
            <w:noWrap/>
            <w:hideMark/>
          </w:tcPr>
          <w:p w14:paraId="6159082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w:t>
            </w:r>
          </w:p>
        </w:tc>
        <w:tc>
          <w:tcPr>
            <w:tcW w:w="832" w:type="dxa"/>
            <w:tcBorders>
              <w:top w:val="nil"/>
              <w:left w:val="nil"/>
              <w:bottom w:val="nil"/>
              <w:right w:val="nil"/>
            </w:tcBorders>
            <w:shd w:val="clear" w:color="000000" w:fill="FFFFFF"/>
            <w:noWrap/>
            <w:hideMark/>
          </w:tcPr>
          <w:p w14:paraId="2F9A231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0.05</w:t>
            </w:r>
          </w:p>
        </w:tc>
        <w:tc>
          <w:tcPr>
            <w:tcW w:w="461" w:type="dxa"/>
            <w:tcBorders>
              <w:top w:val="nil"/>
              <w:left w:val="nil"/>
              <w:bottom w:val="nil"/>
              <w:right w:val="nil"/>
            </w:tcBorders>
            <w:shd w:val="clear" w:color="000000" w:fill="FFFFFF"/>
            <w:noWrap/>
            <w:hideMark/>
          </w:tcPr>
          <w:p w14:paraId="47413DA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2.1</w:t>
            </w:r>
          </w:p>
        </w:tc>
        <w:tc>
          <w:tcPr>
            <w:tcW w:w="722" w:type="dxa"/>
            <w:tcBorders>
              <w:top w:val="nil"/>
              <w:left w:val="nil"/>
              <w:bottom w:val="nil"/>
              <w:right w:val="nil"/>
            </w:tcBorders>
            <w:shd w:val="clear" w:color="000000" w:fill="FFFFFF"/>
            <w:noWrap/>
            <w:hideMark/>
          </w:tcPr>
          <w:p w14:paraId="2CE681F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(3.1)</w:t>
            </w:r>
          </w:p>
        </w:tc>
        <w:tc>
          <w:tcPr>
            <w:tcW w:w="614" w:type="dxa"/>
            <w:tcBorders>
              <w:top w:val="nil"/>
              <w:left w:val="nil"/>
              <w:bottom w:val="nil"/>
              <w:right w:val="nil"/>
            </w:tcBorders>
            <w:shd w:val="clear" w:color="000000" w:fill="FFFFFF"/>
            <w:noWrap/>
            <w:hideMark/>
          </w:tcPr>
          <w:p w14:paraId="22149BD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w:t>
            </w:r>
          </w:p>
        </w:tc>
        <w:tc>
          <w:tcPr>
            <w:tcW w:w="722" w:type="dxa"/>
            <w:tcBorders>
              <w:top w:val="nil"/>
              <w:left w:val="nil"/>
              <w:bottom w:val="nil"/>
              <w:right w:val="nil"/>
            </w:tcBorders>
            <w:shd w:val="clear" w:color="000000" w:fill="FFFFFF"/>
            <w:noWrap/>
            <w:hideMark/>
          </w:tcPr>
          <w:p w14:paraId="0BABB9B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(3.1)</w:t>
            </w:r>
          </w:p>
        </w:tc>
        <w:tc>
          <w:tcPr>
            <w:tcW w:w="837" w:type="dxa"/>
            <w:tcBorders>
              <w:top w:val="nil"/>
              <w:left w:val="nil"/>
              <w:bottom w:val="nil"/>
              <w:right w:val="nil"/>
            </w:tcBorders>
            <w:shd w:val="clear" w:color="000000" w:fill="FFFFFF"/>
            <w:noWrap/>
            <w:hideMark/>
          </w:tcPr>
          <w:p w14:paraId="56013C55"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0.02</w:t>
            </w:r>
          </w:p>
        </w:tc>
      </w:tr>
      <w:tr w:rsidR="003D58B4" w:rsidRPr="003D58B4" w14:paraId="1383B6D6" w14:textId="77777777" w:rsidTr="003D58B4">
        <w:trPr>
          <w:trHeight w:val="240"/>
        </w:trPr>
        <w:tc>
          <w:tcPr>
            <w:tcW w:w="3512" w:type="dxa"/>
            <w:gridSpan w:val="2"/>
            <w:tcBorders>
              <w:top w:val="nil"/>
              <w:left w:val="nil"/>
              <w:bottom w:val="nil"/>
              <w:right w:val="nil"/>
            </w:tcBorders>
            <w:shd w:val="clear" w:color="000000" w:fill="FFFFFF"/>
            <w:noWrap/>
            <w:hideMark/>
          </w:tcPr>
          <w:p w14:paraId="77F8709A"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ACG score ≥ 3.0, No. (%)</w:t>
            </w:r>
          </w:p>
        </w:tc>
        <w:tc>
          <w:tcPr>
            <w:tcW w:w="449" w:type="dxa"/>
            <w:tcBorders>
              <w:top w:val="nil"/>
              <w:left w:val="nil"/>
              <w:bottom w:val="nil"/>
              <w:right w:val="nil"/>
            </w:tcBorders>
            <w:shd w:val="clear" w:color="000000" w:fill="FFFFFF"/>
            <w:noWrap/>
            <w:hideMark/>
          </w:tcPr>
          <w:p w14:paraId="1104BE8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160</w:t>
            </w:r>
          </w:p>
        </w:tc>
        <w:tc>
          <w:tcPr>
            <w:tcW w:w="703" w:type="dxa"/>
            <w:tcBorders>
              <w:top w:val="nil"/>
              <w:left w:val="nil"/>
              <w:bottom w:val="nil"/>
              <w:right w:val="nil"/>
            </w:tcBorders>
            <w:shd w:val="clear" w:color="000000" w:fill="FFFFFF"/>
            <w:noWrap/>
            <w:hideMark/>
          </w:tcPr>
          <w:p w14:paraId="7E0E212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(19.8)</w:t>
            </w:r>
          </w:p>
        </w:tc>
        <w:tc>
          <w:tcPr>
            <w:tcW w:w="749" w:type="dxa"/>
            <w:tcBorders>
              <w:top w:val="nil"/>
              <w:left w:val="nil"/>
              <w:bottom w:val="nil"/>
              <w:right w:val="nil"/>
            </w:tcBorders>
            <w:shd w:val="clear" w:color="000000" w:fill="FFFFFF"/>
            <w:noWrap/>
            <w:hideMark/>
          </w:tcPr>
          <w:p w14:paraId="7F1B96E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2832</w:t>
            </w:r>
          </w:p>
        </w:tc>
        <w:tc>
          <w:tcPr>
            <w:tcW w:w="703" w:type="dxa"/>
            <w:tcBorders>
              <w:top w:val="nil"/>
              <w:left w:val="nil"/>
              <w:bottom w:val="nil"/>
              <w:right w:val="nil"/>
            </w:tcBorders>
            <w:shd w:val="clear" w:color="000000" w:fill="FFFFFF"/>
            <w:noWrap/>
            <w:hideMark/>
          </w:tcPr>
          <w:p w14:paraId="6079414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(18.5)</w:t>
            </w:r>
          </w:p>
        </w:tc>
        <w:tc>
          <w:tcPr>
            <w:tcW w:w="832" w:type="dxa"/>
            <w:tcBorders>
              <w:top w:val="nil"/>
              <w:left w:val="nil"/>
              <w:bottom w:val="nil"/>
              <w:right w:val="nil"/>
            </w:tcBorders>
            <w:shd w:val="clear" w:color="000000" w:fill="FFFFFF"/>
            <w:noWrap/>
            <w:hideMark/>
          </w:tcPr>
          <w:p w14:paraId="26CA62D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0.03</w:t>
            </w:r>
          </w:p>
        </w:tc>
        <w:tc>
          <w:tcPr>
            <w:tcW w:w="461" w:type="dxa"/>
            <w:tcBorders>
              <w:top w:val="nil"/>
              <w:left w:val="nil"/>
              <w:bottom w:val="nil"/>
              <w:right w:val="nil"/>
            </w:tcBorders>
            <w:shd w:val="clear" w:color="000000" w:fill="FFFFFF"/>
            <w:noWrap/>
            <w:hideMark/>
          </w:tcPr>
          <w:p w14:paraId="3D3F8DD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160</w:t>
            </w:r>
          </w:p>
        </w:tc>
        <w:tc>
          <w:tcPr>
            <w:tcW w:w="722" w:type="dxa"/>
            <w:tcBorders>
              <w:top w:val="nil"/>
              <w:left w:val="nil"/>
              <w:bottom w:val="nil"/>
              <w:right w:val="nil"/>
            </w:tcBorders>
            <w:shd w:val="clear" w:color="000000" w:fill="FFFFFF"/>
            <w:noWrap/>
            <w:hideMark/>
          </w:tcPr>
          <w:p w14:paraId="4A31CEA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(20.0)</w:t>
            </w:r>
          </w:p>
        </w:tc>
        <w:tc>
          <w:tcPr>
            <w:tcW w:w="614" w:type="dxa"/>
            <w:tcBorders>
              <w:top w:val="nil"/>
              <w:left w:val="nil"/>
              <w:bottom w:val="nil"/>
              <w:right w:val="nil"/>
            </w:tcBorders>
            <w:shd w:val="clear" w:color="000000" w:fill="FFFFFF"/>
            <w:noWrap/>
            <w:hideMark/>
          </w:tcPr>
          <w:p w14:paraId="73D2543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306</w:t>
            </w:r>
          </w:p>
        </w:tc>
        <w:tc>
          <w:tcPr>
            <w:tcW w:w="722" w:type="dxa"/>
            <w:tcBorders>
              <w:top w:val="nil"/>
              <w:left w:val="nil"/>
              <w:bottom w:val="nil"/>
              <w:right w:val="nil"/>
            </w:tcBorders>
            <w:shd w:val="clear" w:color="000000" w:fill="FFFFFF"/>
            <w:noWrap/>
            <w:hideMark/>
          </w:tcPr>
          <w:p w14:paraId="66F63AA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(19.4)</w:t>
            </w:r>
          </w:p>
        </w:tc>
        <w:tc>
          <w:tcPr>
            <w:tcW w:w="837" w:type="dxa"/>
            <w:tcBorders>
              <w:top w:val="nil"/>
              <w:left w:val="nil"/>
              <w:bottom w:val="nil"/>
              <w:right w:val="nil"/>
            </w:tcBorders>
            <w:shd w:val="clear" w:color="000000" w:fill="FFFFFF"/>
            <w:noWrap/>
            <w:hideMark/>
          </w:tcPr>
          <w:p w14:paraId="0F3586DE"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0.01</w:t>
            </w:r>
          </w:p>
        </w:tc>
      </w:tr>
      <w:tr w:rsidR="003D58B4" w:rsidRPr="003D58B4" w14:paraId="08B25DD6" w14:textId="77777777" w:rsidTr="003D58B4">
        <w:trPr>
          <w:trHeight w:val="240"/>
        </w:trPr>
        <w:tc>
          <w:tcPr>
            <w:tcW w:w="3512" w:type="dxa"/>
            <w:gridSpan w:val="2"/>
            <w:tcBorders>
              <w:top w:val="nil"/>
              <w:left w:val="nil"/>
              <w:bottom w:val="nil"/>
              <w:right w:val="nil"/>
            </w:tcBorders>
            <w:shd w:val="clear" w:color="000000" w:fill="FFFFFF"/>
            <w:hideMark/>
          </w:tcPr>
          <w:p w14:paraId="3F09EE75"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Baseline OOP on medicines, Mean $ (SD)</w:t>
            </w:r>
          </w:p>
        </w:tc>
        <w:tc>
          <w:tcPr>
            <w:tcW w:w="449" w:type="dxa"/>
            <w:tcBorders>
              <w:top w:val="nil"/>
              <w:left w:val="nil"/>
              <w:bottom w:val="nil"/>
              <w:right w:val="nil"/>
            </w:tcBorders>
            <w:shd w:val="clear" w:color="000000" w:fill="FFFFFF"/>
            <w:noWrap/>
            <w:hideMark/>
          </w:tcPr>
          <w:p w14:paraId="7B0DD99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718</w:t>
            </w:r>
          </w:p>
        </w:tc>
        <w:tc>
          <w:tcPr>
            <w:tcW w:w="703" w:type="dxa"/>
            <w:tcBorders>
              <w:top w:val="nil"/>
              <w:left w:val="nil"/>
              <w:bottom w:val="nil"/>
              <w:right w:val="nil"/>
            </w:tcBorders>
            <w:shd w:val="clear" w:color="000000" w:fill="FFFFFF"/>
            <w:noWrap/>
            <w:hideMark/>
          </w:tcPr>
          <w:p w14:paraId="5D62577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(851)</w:t>
            </w:r>
          </w:p>
        </w:tc>
        <w:tc>
          <w:tcPr>
            <w:tcW w:w="749" w:type="dxa"/>
            <w:tcBorders>
              <w:top w:val="nil"/>
              <w:left w:val="nil"/>
              <w:bottom w:val="nil"/>
              <w:right w:val="nil"/>
            </w:tcBorders>
            <w:shd w:val="clear" w:color="000000" w:fill="FFFFFF"/>
            <w:noWrap/>
            <w:hideMark/>
          </w:tcPr>
          <w:p w14:paraId="20C16A3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848</w:t>
            </w:r>
          </w:p>
        </w:tc>
        <w:tc>
          <w:tcPr>
            <w:tcW w:w="703" w:type="dxa"/>
            <w:tcBorders>
              <w:top w:val="nil"/>
              <w:left w:val="nil"/>
              <w:bottom w:val="nil"/>
              <w:right w:val="nil"/>
            </w:tcBorders>
            <w:shd w:val="clear" w:color="000000" w:fill="FFFFFF"/>
            <w:noWrap/>
            <w:hideMark/>
          </w:tcPr>
          <w:p w14:paraId="371368A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(989)</w:t>
            </w:r>
          </w:p>
        </w:tc>
        <w:tc>
          <w:tcPr>
            <w:tcW w:w="832" w:type="dxa"/>
            <w:tcBorders>
              <w:top w:val="nil"/>
              <w:left w:val="nil"/>
              <w:bottom w:val="nil"/>
              <w:right w:val="nil"/>
            </w:tcBorders>
            <w:shd w:val="clear" w:color="000000" w:fill="FFFFFF"/>
            <w:noWrap/>
            <w:hideMark/>
          </w:tcPr>
          <w:p w14:paraId="7EA20DB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-0.14</w:t>
            </w:r>
          </w:p>
        </w:tc>
        <w:tc>
          <w:tcPr>
            <w:tcW w:w="461" w:type="dxa"/>
            <w:tcBorders>
              <w:top w:val="nil"/>
              <w:left w:val="nil"/>
              <w:bottom w:val="nil"/>
              <w:right w:val="nil"/>
            </w:tcBorders>
            <w:shd w:val="clear" w:color="000000" w:fill="FFFFFF"/>
            <w:noWrap/>
            <w:hideMark/>
          </w:tcPr>
          <w:p w14:paraId="29F4A01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721</w:t>
            </w:r>
          </w:p>
        </w:tc>
        <w:tc>
          <w:tcPr>
            <w:tcW w:w="722" w:type="dxa"/>
            <w:tcBorders>
              <w:top w:val="nil"/>
              <w:left w:val="nil"/>
              <w:bottom w:val="nil"/>
              <w:right w:val="nil"/>
            </w:tcBorders>
            <w:shd w:val="clear" w:color="000000" w:fill="FFFFFF"/>
            <w:noWrap/>
            <w:hideMark/>
          </w:tcPr>
          <w:p w14:paraId="28AE42D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(853)</w:t>
            </w:r>
          </w:p>
        </w:tc>
        <w:tc>
          <w:tcPr>
            <w:tcW w:w="614" w:type="dxa"/>
            <w:tcBorders>
              <w:top w:val="nil"/>
              <w:left w:val="nil"/>
              <w:bottom w:val="nil"/>
              <w:right w:val="nil"/>
            </w:tcBorders>
            <w:shd w:val="clear" w:color="000000" w:fill="FFFFFF"/>
            <w:noWrap/>
            <w:hideMark/>
          </w:tcPr>
          <w:p w14:paraId="4046D33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701</w:t>
            </w:r>
          </w:p>
        </w:tc>
        <w:tc>
          <w:tcPr>
            <w:tcW w:w="722" w:type="dxa"/>
            <w:tcBorders>
              <w:top w:val="nil"/>
              <w:left w:val="nil"/>
              <w:bottom w:val="nil"/>
              <w:right w:val="nil"/>
            </w:tcBorders>
            <w:shd w:val="clear" w:color="000000" w:fill="FFFFFF"/>
            <w:noWrap/>
            <w:hideMark/>
          </w:tcPr>
          <w:p w14:paraId="7822167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(849)</w:t>
            </w:r>
          </w:p>
        </w:tc>
        <w:tc>
          <w:tcPr>
            <w:tcW w:w="837" w:type="dxa"/>
            <w:tcBorders>
              <w:top w:val="nil"/>
              <w:left w:val="nil"/>
              <w:bottom w:val="nil"/>
              <w:right w:val="nil"/>
            </w:tcBorders>
            <w:shd w:val="clear" w:color="000000" w:fill="FFFFFF"/>
            <w:noWrap/>
            <w:hideMark/>
          </w:tcPr>
          <w:p w14:paraId="4EC578A6"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0.02</w:t>
            </w:r>
          </w:p>
        </w:tc>
      </w:tr>
      <w:tr w:rsidR="003D58B4" w:rsidRPr="003D58B4" w14:paraId="4E4ECC6F" w14:textId="77777777" w:rsidTr="003D58B4">
        <w:trPr>
          <w:trHeight w:val="240"/>
        </w:trPr>
        <w:tc>
          <w:tcPr>
            <w:tcW w:w="3512" w:type="dxa"/>
            <w:gridSpan w:val="2"/>
            <w:tcBorders>
              <w:top w:val="nil"/>
              <w:left w:val="nil"/>
              <w:bottom w:val="nil"/>
              <w:right w:val="nil"/>
            </w:tcBorders>
            <w:shd w:val="clear" w:color="000000" w:fill="FFFFFF"/>
            <w:noWrap/>
            <w:hideMark/>
          </w:tcPr>
          <w:p w14:paraId="3DC692F0"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Any baseline use, No. (%)</w:t>
            </w:r>
          </w:p>
        </w:tc>
        <w:tc>
          <w:tcPr>
            <w:tcW w:w="449" w:type="dxa"/>
            <w:tcBorders>
              <w:top w:val="nil"/>
              <w:left w:val="nil"/>
              <w:bottom w:val="nil"/>
              <w:right w:val="nil"/>
            </w:tcBorders>
            <w:shd w:val="clear" w:color="000000" w:fill="FFFFFF"/>
            <w:noWrap/>
            <w:hideMark/>
          </w:tcPr>
          <w:p w14:paraId="05FFE3D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44D59DF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52197F7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373BF2A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hideMark/>
          </w:tcPr>
          <w:p w14:paraId="11D935F5"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54F7B57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3DF8AE2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083E02E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4E0257F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hideMark/>
          </w:tcPr>
          <w:p w14:paraId="4AF5AF3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08894154" w14:textId="77777777" w:rsidTr="003D58B4">
        <w:trPr>
          <w:trHeight w:val="240"/>
        </w:trPr>
        <w:tc>
          <w:tcPr>
            <w:tcW w:w="356" w:type="dxa"/>
            <w:tcBorders>
              <w:top w:val="nil"/>
              <w:left w:val="nil"/>
              <w:bottom w:val="nil"/>
              <w:right w:val="nil"/>
            </w:tcBorders>
            <w:shd w:val="clear" w:color="000000" w:fill="FFFFFF"/>
            <w:noWrap/>
            <w:hideMark/>
          </w:tcPr>
          <w:p w14:paraId="40058BC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2FD10A4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Any oral antidiabetic use</w:t>
            </w:r>
          </w:p>
        </w:tc>
        <w:tc>
          <w:tcPr>
            <w:tcW w:w="449" w:type="dxa"/>
            <w:tcBorders>
              <w:top w:val="nil"/>
              <w:left w:val="nil"/>
              <w:bottom w:val="nil"/>
              <w:right w:val="nil"/>
            </w:tcBorders>
            <w:shd w:val="clear" w:color="000000" w:fill="FFFFFF"/>
            <w:noWrap/>
            <w:hideMark/>
          </w:tcPr>
          <w:p w14:paraId="0183C7E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481</w:t>
            </w:r>
          </w:p>
        </w:tc>
        <w:tc>
          <w:tcPr>
            <w:tcW w:w="703" w:type="dxa"/>
            <w:tcBorders>
              <w:top w:val="nil"/>
              <w:left w:val="nil"/>
              <w:bottom w:val="nil"/>
              <w:right w:val="nil"/>
            </w:tcBorders>
            <w:shd w:val="clear" w:color="000000" w:fill="FFFFFF"/>
            <w:noWrap/>
            <w:hideMark/>
          </w:tcPr>
          <w:p w14:paraId="379852F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(59.6)</w:t>
            </w:r>
          </w:p>
        </w:tc>
        <w:tc>
          <w:tcPr>
            <w:tcW w:w="749" w:type="dxa"/>
            <w:tcBorders>
              <w:top w:val="nil"/>
              <w:left w:val="nil"/>
              <w:bottom w:val="nil"/>
              <w:right w:val="nil"/>
            </w:tcBorders>
            <w:shd w:val="clear" w:color="000000" w:fill="FFFFFF"/>
            <w:noWrap/>
            <w:hideMark/>
          </w:tcPr>
          <w:p w14:paraId="69B39F1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8920</w:t>
            </w:r>
          </w:p>
        </w:tc>
        <w:tc>
          <w:tcPr>
            <w:tcW w:w="703" w:type="dxa"/>
            <w:tcBorders>
              <w:top w:val="nil"/>
              <w:left w:val="nil"/>
              <w:bottom w:val="nil"/>
              <w:right w:val="nil"/>
            </w:tcBorders>
            <w:shd w:val="clear" w:color="000000" w:fill="FFFFFF"/>
            <w:noWrap/>
            <w:hideMark/>
          </w:tcPr>
          <w:p w14:paraId="2AEB97C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(58.2)</w:t>
            </w:r>
          </w:p>
        </w:tc>
        <w:tc>
          <w:tcPr>
            <w:tcW w:w="832" w:type="dxa"/>
            <w:tcBorders>
              <w:top w:val="nil"/>
              <w:left w:val="nil"/>
              <w:bottom w:val="nil"/>
              <w:right w:val="nil"/>
            </w:tcBorders>
            <w:shd w:val="clear" w:color="000000" w:fill="FFFFFF"/>
            <w:noWrap/>
            <w:hideMark/>
          </w:tcPr>
          <w:p w14:paraId="2B2AF71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0.03</w:t>
            </w:r>
          </w:p>
        </w:tc>
        <w:tc>
          <w:tcPr>
            <w:tcW w:w="461" w:type="dxa"/>
            <w:tcBorders>
              <w:top w:val="nil"/>
              <w:left w:val="nil"/>
              <w:bottom w:val="nil"/>
              <w:right w:val="nil"/>
            </w:tcBorders>
            <w:shd w:val="clear" w:color="000000" w:fill="FFFFFF"/>
            <w:noWrap/>
            <w:hideMark/>
          </w:tcPr>
          <w:p w14:paraId="2A5573D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478</w:t>
            </w:r>
          </w:p>
        </w:tc>
        <w:tc>
          <w:tcPr>
            <w:tcW w:w="722" w:type="dxa"/>
            <w:tcBorders>
              <w:top w:val="nil"/>
              <w:left w:val="nil"/>
              <w:bottom w:val="nil"/>
              <w:right w:val="nil"/>
            </w:tcBorders>
            <w:shd w:val="clear" w:color="000000" w:fill="FFFFFF"/>
            <w:noWrap/>
            <w:hideMark/>
          </w:tcPr>
          <w:p w14:paraId="2B48B93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(59.7)</w:t>
            </w:r>
          </w:p>
        </w:tc>
        <w:tc>
          <w:tcPr>
            <w:tcW w:w="614" w:type="dxa"/>
            <w:tcBorders>
              <w:top w:val="nil"/>
              <w:left w:val="nil"/>
              <w:bottom w:val="nil"/>
              <w:right w:val="nil"/>
            </w:tcBorders>
            <w:shd w:val="clear" w:color="000000" w:fill="FFFFFF"/>
            <w:noWrap/>
            <w:hideMark/>
          </w:tcPr>
          <w:p w14:paraId="1FF67E3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898</w:t>
            </w:r>
          </w:p>
        </w:tc>
        <w:tc>
          <w:tcPr>
            <w:tcW w:w="722" w:type="dxa"/>
            <w:tcBorders>
              <w:top w:val="nil"/>
              <w:left w:val="nil"/>
              <w:bottom w:val="nil"/>
              <w:right w:val="nil"/>
            </w:tcBorders>
            <w:shd w:val="clear" w:color="000000" w:fill="FFFFFF"/>
            <w:noWrap/>
            <w:hideMark/>
          </w:tcPr>
          <w:p w14:paraId="4E5430B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(56.9)</w:t>
            </w:r>
          </w:p>
        </w:tc>
        <w:tc>
          <w:tcPr>
            <w:tcW w:w="837" w:type="dxa"/>
            <w:tcBorders>
              <w:top w:val="nil"/>
              <w:left w:val="nil"/>
              <w:bottom w:val="nil"/>
              <w:right w:val="nil"/>
            </w:tcBorders>
            <w:shd w:val="clear" w:color="000000" w:fill="FFFFFF"/>
            <w:noWrap/>
            <w:hideMark/>
          </w:tcPr>
          <w:p w14:paraId="0EDE7DB5"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0.00</w:t>
            </w:r>
          </w:p>
        </w:tc>
      </w:tr>
      <w:tr w:rsidR="003D58B4" w:rsidRPr="003D58B4" w14:paraId="526A6DDB" w14:textId="77777777" w:rsidTr="003D58B4">
        <w:trPr>
          <w:trHeight w:val="240"/>
        </w:trPr>
        <w:tc>
          <w:tcPr>
            <w:tcW w:w="356" w:type="dxa"/>
            <w:tcBorders>
              <w:top w:val="nil"/>
              <w:left w:val="nil"/>
              <w:bottom w:val="nil"/>
              <w:right w:val="nil"/>
            </w:tcBorders>
            <w:shd w:val="clear" w:color="000000" w:fill="FFFFFF"/>
            <w:noWrap/>
            <w:hideMark/>
          </w:tcPr>
          <w:p w14:paraId="149BEC5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CC586C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Any insulin use</w:t>
            </w:r>
          </w:p>
        </w:tc>
        <w:tc>
          <w:tcPr>
            <w:tcW w:w="449" w:type="dxa"/>
            <w:tcBorders>
              <w:top w:val="nil"/>
              <w:left w:val="nil"/>
              <w:bottom w:val="nil"/>
              <w:right w:val="nil"/>
            </w:tcBorders>
            <w:shd w:val="clear" w:color="000000" w:fill="FFFFFF"/>
            <w:noWrap/>
            <w:hideMark/>
          </w:tcPr>
          <w:p w14:paraId="00CFCE8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203</w:t>
            </w:r>
          </w:p>
        </w:tc>
        <w:tc>
          <w:tcPr>
            <w:tcW w:w="703" w:type="dxa"/>
            <w:tcBorders>
              <w:top w:val="nil"/>
              <w:left w:val="nil"/>
              <w:bottom w:val="nil"/>
              <w:right w:val="nil"/>
            </w:tcBorders>
            <w:shd w:val="clear" w:color="000000" w:fill="FFFFFF"/>
            <w:noWrap/>
            <w:hideMark/>
          </w:tcPr>
          <w:p w14:paraId="3F336CF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(25.2)</w:t>
            </w:r>
          </w:p>
        </w:tc>
        <w:tc>
          <w:tcPr>
            <w:tcW w:w="749" w:type="dxa"/>
            <w:tcBorders>
              <w:top w:val="nil"/>
              <w:left w:val="nil"/>
              <w:bottom w:val="nil"/>
              <w:right w:val="nil"/>
            </w:tcBorders>
            <w:shd w:val="clear" w:color="000000" w:fill="FFFFFF"/>
            <w:noWrap/>
            <w:hideMark/>
          </w:tcPr>
          <w:p w14:paraId="32E7D14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2727</w:t>
            </w:r>
          </w:p>
        </w:tc>
        <w:tc>
          <w:tcPr>
            <w:tcW w:w="703" w:type="dxa"/>
            <w:tcBorders>
              <w:top w:val="nil"/>
              <w:left w:val="nil"/>
              <w:bottom w:val="nil"/>
              <w:right w:val="nil"/>
            </w:tcBorders>
            <w:shd w:val="clear" w:color="000000" w:fill="FFFFFF"/>
            <w:noWrap/>
            <w:hideMark/>
          </w:tcPr>
          <w:p w14:paraId="0253EFF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(17.8)</w:t>
            </w:r>
          </w:p>
        </w:tc>
        <w:tc>
          <w:tcPr>
            <w:tcW w:w="832" w:type="dxa"/>
            <w:tcBorders>
              <w:top w:val="nil"/>
              <w:left w:val="nil"/>
              <w:bottom w:val="nil"/>
              <w:right w:val="nil"/>
            </w:tcBorders>
            <w:shd w:val="clear" w:color="000000" w:fill="FFFFFF"/>
            <w:noWrap/>
            <w:hideMark/>
          </w:tcPr>
          <w:p w14:paraId="692A0E3A"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0.18</w:t>
            </w:r>
          </w:p>
        </w:tc>
        <w:tc>
          <w:tcPr>
            <w:tcW w:w="461" w:type="dxa"/>
            <w:tcBorders>
              <w:top w:val="nil"/>
              <w:left w:val="nil"/>
              <w:bottom w:val="nil"/>
              <w:right w:val="nil"/>
            </w:tcBorders>
            <w:shd w:val="clear" w:color="000000" w:fill="FFFFFF"/>
            <w:noWrap/>
            <w:hideMark/>
          </w:tcPr>
          <w:p w14:paraId="0D70C10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199</w:t>
            </w:r>
          </w:p>
        </w:tc>
        <w:tc>
          <w:tcPr>
            <w:tcW w:w="722" w:type="dxa"/>
            <w:tcBorders>
              <w:top w:val="nil"/>
              <w:left w:val="nil"/>
              <w:bottom w:val="nil"/>
              <w:right w:val="nil"/>
            </w:tcBorders>
            <w:shd w:val="clear" w:color="000000" w:fill="FFFFFF"/>
            <w:noWrap/>
            <w:hideMark/>
          </w:tcPr>
          <w:p w14:paraId="39AB1BD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(24.8)</w:t>
            </w:r>
          </w:p>
        </w:tc>
        <w:tc>
          <w:tcPr>
            <w:tcW w:w="614" w:type="dxa"/>
            <w:tcBorders>
              <w:top w:val="nil"/>
              <w:left w:val="nil"/>
              <w:bottom w:val="nil"/>
              <w:right w:val="nil"/>
            </w:tcBorders>
            <w:shd w:val="clear" w:color="000000" w:fill="FFFFFF"/>
            <w:noWrap/>
            <w:hideMark/>
          </w:tcPr>
          <w:p w14:paraId="7457D43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329</w:t>
            </w:r>
          </w:p>
        </w:tc>
        <w:tc>
          <w:tcPr>
            <w:tcW w:w="722" w:type="dxa"/>
            <w:tcBorders>
              <w:top w:val="nil"/>
              <w:left w:val="nil"/>
              <w:bottom w:val="nil"/>
              <w:right w:val="nil"/>
            </w:tcBorders>
            <w:shd w:val="clear" w:color="000000" w:fill="FFFFFF"/>
            <w:noWrap/>
            <w:hideMark/>
          </w:tcPr>
          <w:p w14:paraId="6874CB9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(20.9)</w:t>
            </w:r>
          </w:p>
        </w:tc>
        <w:tc>
          <w:tcPr>
            <w:tcW w:w="837" w:type="dxa"/>
            <w:tcBorders>
              <w:top w:val="nil"/>
              <w:left w:val="nil"/>
              <w:bottom w:val="nil"/>
              <w:right w:val="nil"/>
            </w:tcBorders>
            <w:shd w:val="clear" w:color="000000" w:fill="FFFFFF"/>
            <w:noWrap/>
            <w:hideMark/>
          </w:tcPr>
          <w:p w14:paraId="63B2837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0.00</w:t>
            </w:r>
          </w:p>
        </w:tc>
      </w:tr>
      <w:tr w:rsidR="003D58B4" w:rsidRPr="003D58B4" w14:paraId="0B1BC1F0" w14:textId="77777777" w:rsidTr="003D58B4">
        <w:trPr>
          <w:trHeight w:val="240"/>
        </w:trPr>
        <w:tc>
          <w:tcPr>
            <w:tcW w:w="356" w:type="dxa"/>
            <w:tcBorders>
              <w:top w:val="nil"/>
              <w:left w:val="nil"/>
              <w:bottom w:val="nil"/>
              <w:right w:val="nil"/>
            </w:tcBorders>
            <w:shd w:val="clear" w:color="000000" w:fill="FFFFFF"/>
            <w:noWrap/>
            <w:hideMark/>
          </w:tcPr>
          <w:p w14:paraId="58054D8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5E7C7EF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Any antihypertensive use</w:t>
            </w:r>
          </w:p>
        </w:tc>
        <w:tc>
          <w:tcPr>
            <w:tcW w:w="449" w:type="dxa"/>
            <w:tcBorders>
              <w:top w:val="nil"/>
              <w:left w:val="nil"/>
              <w:bottom w:val="nil"/>
              <w:right w:val="nil"/>
            </w:tcBorders>
            <w:shd w:val="clear" w:color="000000" w:fill="FFFFFF"/>
            <w:noWrap/>
            <w:hideMark/>
          </w:tcPr>
          <w:p w14:paraId="691F059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506</w:t>
            </w:r>
          </w:p>
        </w:tc>
        <w:tc>
          <w:tcPr>
            <w:tcW w:w="703" w:type="dxa"/>
            <w:tcBorders>
              <w:top w:val="nil"/>
              <w:left w:val="nil"/>
              <w:bottom w:val="nil"/>
              <w:right w:val="nil"/>
            </w:tcBorders>
            <w:shd w:val="clear" w:color="000000" w:fill="FFFFFF"/>
            <w:noWrap/>
            <w:hideMark/>
          </w:tcPr>
          <w:p w14:paraId="66277A5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(62.7)</w:t>
            </w:r>
          </w:p>
        </w:tc>
        <w:tc>
          <w:tcPr>
            <w:tcW w:w="749" w:type="dxa"/>
            <w:tcBorders>
              <w:top w:val="nil"/>
              <w:left w:val="nil"/>
              <w:bottom w:val="nil"/>
              <w:right w:val="nil"/>
            </w:tcBorders>
            <w:shd w:val="clear" w:color="000000" w:fill="FFFFFF"/>
            <w:noWrap/>
            <w:hideMark/>
          </w:tcPr>
          <w:p w14:paraId="138CD2F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9347</w:t>
            </w:r>
          </w:p>
        </w:tc>
        <w:tc>
          <w:tcPr>
            <w:tcW w:w="703" w:type="dxa"/>
            <w:tcBorders>
              <w:top w:val="nil"/>
              <w:left w:val="nil"/>
              <w:bottom w:val="nil"/>
              <w:right w:val="nil"/>
            </w:tcBorders>
            <w:shd w:val="clear" w:color="000000" w:fill="FFFFFF"/>
            <w:noWrap/>
            <w:hideMark/>
          </w:tcPr>
          <w:p w14:paraId="1C87120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(61.0)</w:t>
            </w:r>
          </w:p>
        </w:tc>
        <w:tc>
          <w:tcPr>
            <w:tcW w:w="832" w:type="dxa"/>
            <w:tcBorders>
              <w:top w:val="nil"/>
              <w:left w:val="nil"/>
              <w:bottom w:val="nil"/>
              <w:right w:val="nil"/>
            </w:tcBorders>
            <w:shd w:val="clear" w:color="000000" w:fill="FFFFFF"/>
            <w:noWrap/>
            <w:hideMark/>
          </w:tcPr>
          <w:p w14:paraId="04CB290E"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0.04</w:t>
            </w:r>
          </w:p>
        </w:tc>
        <w:tc>
          <w:tcPr>
            <w:tcW w:w="461" w:type="dxa"/>
            <w:tcBorders>
              <w:top w:val="nil"/>
              <w:left w:val="nil"/>
              <w:bottom w:val="nil"/>
              <w:right w:val="nil"/>
            </w:tcBorders>
            <w:shd w:val="clear" w:color="000000" w:fill="FFFFFF"/>
            <w:noWrap/>
            <w:hideMark/>
          </w:tcPr>
          <w:p w14:paraId="00F2AC6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504</w:t>
            </w:r>
          </w:p>
        </w:tc>
        <w:tc>
          <w:tcPr>
            <w:tcW w:w="722" w:type="dxa"/>
            <w:tcBorders>
              <w:top w:val="nil"/>
              <w:left w:val="nil"/>
              <w:bottom w:val="nil"/>
              <w:right w:val="nil"/>
            </w:tcBorders>
            <w:shd w:val="clear" w:color="000000" w:fill="FFFFFF"/>
            <w:noWrap/>
            <w:hideMark/>
          </w:tcPr>
          <w:p w14:paraId="78CC5BE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(62.9)</w:t>
            </w:r>
          </w:p>
        </w:tc>
        <w:tc>
          <w:tcPr>
            <w:tcW w:w="614" w:type="dxa"/>
            <w:tcBorders>
              <w:top w:val="nil"/>
              <w:left w:val="nil"/>
              <w:bottom w:val="nil"/>
              <w:right w:val="nil"/>
            </w:tcBorders>
            <w:shd w:val="clear" w:color="000000" w:fill="FFFFFF"/>
            <w:noWrap/>
            <w:hideMark/>
          </w:tcPr>
          <w:p w14:paraId="52EEBC7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984</w:t>
            </w:r>
          </w:p>
        </w:tc>
        <w:tc>
          <w:tcPr>
            <w:tcW w:w="722" w:type="dxa"/>
            <w:tcBorders>
              <w:top w:val="nil"/>
              <w:left w:val="nil"/>
              <w:bottom w:val="nil"/>
              <w:right w:val="nil"/>
            </w:tcBorders>
            <w:shd w:val="clear" w:color="000000" w:fill="FFFFFF"/>
            <w:noWrap/>
            <w:hideMark/>
          </w:tcPr>
          <w:p w14:paraId="2BC1A0F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(62.4)</w:t>
            </w:r>
          </w:p>
        </w:tc>
        <w:tc>
          <w:tcPr>
            <w:tcW w:w="837" w:type="dxa"/>
            <w:tcBorders>
              <w:top w:val="nil"/>
              <w:left w:val="nil"/>
              <w:bottom w:val="nil"/>
              <w:right w:val="nil"/>
            </w:tcBorders>
            <w:shd w:val="clear" w:color="000000" w:fill="FFFFFF"/>
            <w:noWrap/>
            <w:hideMark/>
          </w:tcPr>
          <w:p w14:paraId="3E48D4E2"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0.01</w:t>
            </w:r>
          </w:p>
        </w:tc>
      </w:tr>
      <w:tr w:rsidR="003D58B4" w:rsidRPr="003D58B4" w14:paraId="78CDF95B" w14:textId="77777777" w:rsidTr="003D58B4">
        <w:trPr>
          <w:trHeight w:val="240"/>
        </w:trPr>
        <w:tc>
          <w:tcPr>
            <w:tcW w:w="356" w:type="dxa"/>
            <w:tcBorders>
              <w:top w:val="nil"/>
              <w:left w:val="nil"/>
              <w:bottom w:val="nil"/>
              <w:right w:val="nil"/>
            </w:tcBorders>
            <w:shd w:val="clear" w:color="000000" w:fill="FFFFFF"/>
            <w:noWrap/>
            <w:hideMark/>
          </w:tcPr>
          <w:p w14:paraId="42EBD3E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6C2C215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Any antihyperlipidemic use</w:t>
            </w:r>
          </w:p>
        </w:tc>
        <w:tc>
          <w:tcPr>
            <w:tcW w:w="449" w:type="dxa"/>
            <w:tcBorders>
              <w:top w:val="nil"/>
              <w:left w:val="nil"/>
              <w:bottom w:val="nil"/>
              <w:right w:val="nil"/>
            </w:tcBorders>
            <w:shd w:val="clear" w:color="000000" w:fill="FFFFFF"/>
            <w:noWrap/>
            <w:hideMark/>
          </w:tcPr>
          <w:p w14:paraId="74083F8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424</w:t>
            </w:r>
          </w:p>
        </w:tc>
        <w:tc>
          <w:tcPr>
            <w:tcW w:w="703" w:type="dxa"/>
            <w:tcBorders>
              <w:top w:val="nil"/>
              <w:left w:val="nil"/>
              <w:bottom w:val="nil"/>
              <w:right w:val="nil"/>
            </w:tcBorders>
            <w:shd w:val="clear" w:color="000000" w:fill="FFFFFF"/>
            <w:noWrap/>
            <w:hideMark/>
          </w:tcPr>
          <w:p w14:paraId="7B7A02F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(52.5)</w:t>
            </w:r>
          </w:p>
        </w:tc>
        <w:tc>
          <w:tcPr>
            <w:tcW w:w="749" w:type="dxa"/>
            <w:tcBorders>
              <w:top w:val="nil"/>
              <w:left w:val="nil"/>
              <w:bottom w:val="nil"/>
              <w:right w:val="nil"/>
            </w:tcBorders>
            <w:shd w:val="clear" w:color="000000" w:fill="FFFFFF"/>
            <w:noWrap/>
            <w:hideMark/>
          </w:tcPr>
          <w:p w14:paraId="12D0D7B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7512</w:t>
            </w:r>
          </w:p>
        </w:tc>
        <w:tc>
          <w:tcPr>
            <w:tcW w:w="703" w:type="dxa"/>
            <w:tcBorders>
              <w:top w:val="nil"/>
              <w:left w:val="nil"/>
              <w:bottom w:val="nil"/>
              <w:right w:val="nil"/>
            </w:tcBorders>
            <w:shd w:val="clear" w:color="000000" w:fill="FFFFFF"/>
            <w:noWrap/>
            <w:hideMark/>
          </w:tcPr>
          <w:p w14:paraId="70F01F1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(49.0)</w:t>
            </w:r>
          </w:p>
        </w:tc>
        <w:tc>
          <w:tcPr>
            <w:tcW w:w="832" w:type="dxa"/>
            <w:tcBorders>
              <w:top w:val="nil"/>
              <w:left w:val="nil"/>
              <w:bottom w:val="nil"/>
              <w:right w:val="nil"/>
            </w:tcBorders>
            <w:shd w:val="clear" w:color="000000" w:fill="FFFFFF"/>
            <w:noWrap/>
            <w:hideMark/>
          </w:tcPr>
          <w:p w14:paraId="46E54AC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0.07</w:t>
            </w:r>
          </w:p>
        </w:tc>
        <w:tc>
          <w:tcPr>
            <w:tcW w:w="461" w:type="dxa"/>
            <w:tcBorders>
              <w:top w:val="nil"/>
              <w:left w:val="nil"/>
              <w:bottom w:val="nil"/>
              <w:right w:val="nil"/>
            </w:tcBorders>
            <w:shd w:val="clear" w:color="000000" w:fill="FFFFFF"/>
            <w:noWrap/>
            <w:hideMark/>
          </w:tcPr>
          <w:p w14:paraId="6572D90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419</w:t>
            </w:r>
          </w:p>
        </w:tc>
        <w:tc>
          <w:tcPr>
            <w:tcW w:w="722" w:type="dxa"/>
            <w:tcBorders>
              <w:top w:val="nil"/>
              <w:left w:val="nil"/>
              <w:bottom w:val="nil"/>
              <w:right w:val="nil"/>
            </w:tcBorders>
            <w:shd w:val="clear" w:color="000000" w:fill="FFFFFF"/>
            <w:noWrap/>
            <w:hideMark/>
          </w:tcPr>
          <w:p w14:paraId="01FDFEB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(52.3)</w:t>
            </w:r>
          </w:p>
        </w:tc>
        <w:tc>
          <w:tcPr>
            <w:tcW w:w="614" w:type="dxa"/>
            <w:tcBorders>
              <w:top w:val="nil"/>
              <w:left w:val="nil"/>
              <w:bottom w:val="nil"/>
              <w:right w:val="nil"/>
            </w:tcBorders>
            <w:shd w:val="clear" w:color="000000" w:fill="FFFFFF"/>
            <w:noWrap/>
            <w:hideMark/>
          </w:tcPr>
          <w:p w14:paraId="0820E23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774</w:t>
            </w:r>
          </w:p>
        </w:tc>
        <w:tc>
          <w:tcPr>
            <w:tcW w:w="722" w:type="dxa"/>
            <w:tcBorders>
              <w:top w:val="nil"/>
              <w:left w:val="nil"/>
              <w:bottom w:val="nil"/>
              <w:right w:val="nil"/>
            </w:tcBorders>
            <w:shd w:val="clear" w:color="000000" w:fill="FFFFFF"/>
            <w:noWrap/>
            <w:hideMark/>
          </w:tcPr>
          <w:p w14:paraId="7093DD0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(49.1)</w:t>
            </w:r>
          </w:p>
        </w:tc>
        <w:tc>
          <w:tcPr>
            <w:tcW w:w="837" w:type="dxa"/>
            <w:tcBorders>
              <w:top w:val="nil"/>
              <w:left w:val="nil"/>
              <w:bottom w:val="nil"/>
              <w:right w:val="nil"/>
            </w:tcBorders>
            <w:shd w:val="clear" w:color="000000" w:fill="FFFFFF"/>
            <w:noWrap/>
            <w:hideMark/>
          </w:tcPr>
          <w:p w14:paraId="7393667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0.07</w:t>
            </w:r>
          </w:p>
        </w:tc>
      </w:tr>
      <w:tr w:rsidR="003D58B4" w:rsidRPr="003D58B4" w14:paraId="2EA02D98" w14:textId="77777777" w:rsidTr="003D58B4">
        <w:trPr>
          <w:trHeight w:val="240"/>
        </w:trPr>
        <w:tc>
          <w:tcPr>
            <w:tcW w:w="3512" w:type="dxa"/>
            <w:gridSpan w:val="2"/>
            <w:tcBorders>
              <w:top w:val="nil"/>
              <w:left w:val="nil"/>
              <w:bottom w:val="nil"/>
              <w:right w:val="nil"/>
            </w:tcBorders>
            <w:shd w:val="clear" w:color="000000" w:fill="FFFFFF"/>
            <w:noWrap/>
            <w:hideMark/>
          </w:tcPr>
          <w:p w14:paraId="10E3FF17"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Baseline medication fills, Mean (SD)</w:t>
            </w:r>
          </w:p>
        </w:tc>
        <w:tc>
          <w:tcPr>
            <w:tcW w:w="449" w:type="dxa"/>
            <w:tcBorders>
              <w:top w:val="nil"/>
              <w:left w:val="nil"/>
              <w:bottom w:val="nil"/>
              <w:right w:val="nil"/>
            </w:tcBorders>
            <w:shd w:val="clear" w:color="000000" w:fill="FFFFFF"/>
            <w:noWrap/>
            <w:hideMark/>
          </w:tcPr>
          <w:p w14:paraId="15BDBF8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2B69F51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1AEC32A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7260B69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noWrap/>
            <w:hideMark/>
          </w:tcPr>
          <w:p w14:paraId="034AA5D7"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61C8E5D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732781C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4DAA204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12A643F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noWrap/>
            <w:hideMark/>
          </w:tcPr>
          <w:p w14:paraId="0F89A589"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65F1655A" w14:textId="77777777" w:rsidTr="003D58B4">
        <w:trPr>
          <w:trHeight w:val="240"/>
        </w:trPr>
        <w:tc>
          <w:tcPr>
            <w:tcW w:w="356" w:type="dxa"/>
            <w:tcBorders>
              <w:top w:val="nil"/>
              <w:left w:val="nil"/>
              <w:bottom w:val="nil"/>
              <w:right w:val="nil"/>
            </w:tcBorders>
            <w:shd w:val="clear" w:color="000000" w:fill="FFFFFF"/>
            <w:noWrap/>
            <w:hideMark/>
          </w:tcPr>
          <w:p w14:paraId="5201FC3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1363F5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Mean oral antidiabetic 30-day fills</w:t>
            </w:r>
          </w:p>
        </w:tc>
        <w:tc>
          <w:tcPr>
            <w:tcW w:w="449" w:type="dxa"/>
            <w:tcBorders>
              <w:top w:val="nil"/>
              <w:left w:val="nil"/>
              <w:bottom w:val="nil"/>
              <w:right w:val="nil"/>
            </w:tcBorders>
            <w:shd w:val="clear" w:color="000000" w:fill="FFFFFF"/>
            <w:noWrap/>
            <w:hideMark/>
          </w:tcPr>
          <w:p w14:paraId="0929F47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6.7 </w:t>
            </w:r>
          </w:p>
        </w:tc>
        <w:tc>
          <w:tcPr>
            <w:tcW w:w="703" w:type="dxa"/>
            <w:tcBorders>
              <w:top w:val="nil"/>
              <w:left w:val="nil"/>
              <w:bottom w:val="nil"/>
              <w:right w:val="nil"/>
            </w:tcBorders>
            <w:shd w:val="clear" w:color="000000" w:fill="FFFFFF"/>
            <w:noWrap/>
            <w:hideMark/>
          </w:tcPr>
          <w:p w14:paraId="2994EBC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(8.3)</w:t>
            </w:r>
          </w:p>
        </w:tc>
        <w:tc>
          <w:tcPr>
            <w:tcW w:w="749" w:type="dxa"/>
            <w:tcBorders>
              <w:top w:val="nil"/>
              <w:left w:val="nil"/>
              <w:bottom w:val="nil"/>
              <w:right w:val="nil"/>
            </w:tcBorders>
            <w:shd w:val="clear" w:color="000000" w:fill="FFFFFF"/>
            <w:noWrap/>
            <w:hideMark/>
          </w:tcPr>
          <w:p w14:paraId="5125E3A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6.0 </w:t>
            </w:r>
          </w:p>
        </w:tc>
        <w:tc>
          <w:tcPr>
            <w:tcW w:w="703" w:type="dxa"/>
            <w:tcBorders>
              <w:top w:val="nil"/>
              <w:left w:val="nil"/>
              <w:bottom w:val="nil"/>
              <w:right w:val="nil"/>
            </w:tcBorders>
            <w:shd w:val="clear" w:color="000000" w:fill="FFFFFF"/>
            <w:noWrap/>
            <w:hideMark/>
          </w:tcPr>
          <w:p w14:paraId="359B0D2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(7.9)</w:t>
            </w:r>
          </w:p>
        </w:tc>
        <w:tc>
          <w:tcPr>
            <w:tcW w:w="832" w:type="dxa"/>
            <w:tcBorders>
              <w:top w:val="nil"/>
              <w:left w:val="nil"/>
              <w:bottom w:val="nil"/>
              <w:right w:val="nil"/>
            </w:tcBorders>
            <w:shd w:val="clear" w:color="000000" w:fill="FFFFFF"/>
            <w:noWrap/>
            <w:hideMark/>
          </w:tcPr>
          <w:p w14:paraId="1855683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0.08</w:t>
            </w:r>
          </w:p>
        </w:tc>
        <w:tc>
          <w:tcPr>
            <w:tcW w:w="461" w:type="dxa"/>
            <w:tcBorders>
              <w:top w:val="nil"/>
              <w:left w:val="nil"/>
              <w:bottom w:val="nil"/>
              <w:right w:val="nil"/>
            </w:tcBorders>
            <w:shd w:val="clear" w:color="000000" w:fill="FFFFFF"/>
            <w:noWrap/>
            <w:hideMark/>
          </w:tcPr>
          <w:p w14:paraId="1F8AE86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6.7 </w:t>
            </w:r>
          </w:p>
        </w:tc>
        <w:tc>
          <w:tcPr>
            <w:tcW w:w="722" w:type="dxa"/>
            <w:tcBorders>
              <w:top w:val="nil"/>
              <w:left w:val="nil"/>
              <w:bottom w:val="nil"/>
              <w:right w:val="nil"/>
            </w:tcBorders>
            <w:shd w:val="clear" w:color="000000" w:fill="FFFFFF"/>
            <w:noWrap/>
            <w:hideMark/>
          </w:tcPr>
          <w:p w14:paraId="2F02B7F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(8.3)</w:t>
            </w:r>
          </w:p>
        </w:tc>
        <w:tc>
          <w:tcPr>
            <w:tcW w:w="614" w:type="dxa"/>
            <w:tcBorders>
              <w:top w:val="nil"/>
              <w:left w:val="nil"/>
              <w:bottom w:val="nil"/>
              <w:right w:val="nil"/>
            </w:tcBorders>
            <w:shd w:val="clear" w:color="000000" w:fill="FFFFFF"/>
            <w:noWrap/>
            <w:hideMark/>
          </w:tcPr>
          <w:p w14:paraId="16597FC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6.4 </w:t>
            </w:r>
          </w:p>
        </w:tc>
        <w:tc>
          <w:tcPr>
            <w:tcW w:w="722" w:type="dxa"/>
            <w:tcBorders>
              <w:top w:val="nil"/>
              <w:left w:val="nil"/>
              <w:bottom w:val="nil"/>
              <w:right w:val="nil"/>
            </w:tcBorders>
            <w:shd w:val="clear" w:color="000000" w:fill="FFFFFF"/>
            <w:noWrap/>
            <w:hideMark/>
          </w:tcPr>
          <w:p w14:paraId="02882D2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(8.2)</w:t>
            </w:r>
          </w:p>
        </w:tc>
        <w:tc>
          <w:tcPr>
            <w:tcW w:w="837" w:type="dxa"/>
            <w:tcBorders>
              <w:top w:val="nil"/>
              <w:left w:val="nil"/>
              <w:bottom w:val="nil"/>
              <w:right w:val="nil"/>
            </w:tcBorders>
            <w:shd w:val="clear" w:color="000000" w:fill="FFFFFF"/>
            <w:noWrap/>
            <w:hideMark/>
          </w:tcPr>
          <w:p w14:paraId="3D399AB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0.03</w:t>
            </w:r>
          </w:p>
        </w:tc>
      </w:tr>
      <w:tr w:rsidR="003D58B4" w:rsidRPr="003D58B4" w14:paraId="308F6A3D" w14:textId="77777777" w:rsidTr="003D58B4">
        <w:trPr>
          <w:trHeight w:val="240"/>
        </w:trPr>
        <w:tc>
          <w:tcPr>
            <w:tcW w:w="356" w:type="dxa"/>
            <w:tcBorders>
              <w:top w:val="nil"/>
              <w:left w:val="nil"/>
              <w:bottom w:val="nil"/>
              <w:right w:val="nil"/>
            </w:tcBorders>
            <w:shd w:val="clear" w:color="000000" w:fill="FFFFFF"/>
            <w:noWrap/>
            <w:hideMark/>
          </w:tcPr>
          <w:p w14:paraId="78CA1CB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CBD5FD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Mean insulin 30-day fills</w:t>
            </w:r>
          </w:p>
        </w:tc>
        <w:tc>
          <w:tcPr>
            <w:tcW w:w="449" w:type="dxa"/>
            <w:tcBorders>
              <w:top w:val="nil"/>
              <w:left w:val="nil"/>
              <w:bottom w:val="nil"/>
              <w:right w:val="nil"/>
            </w:tcBorders>
            <w:shd w:val="clear" w:color="000000" w:fill="FFFFFF"/>
            <w:noWrap/>
            <w:hideMark/>
          </w:tcPr>
          <w:p w14:paraId="0812AB9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2.4 </w:t>
            </w:r>
          </w:p>
        </w:tc>
        <w:tc>
          <w:tcPr>
            <w:tcW w:w="703" w:type="dxa"/>
            <w:tcBorders>
              <w:top w:val="nil"/>
              <w:left w:val="nil"/>
              <w:bottom w:val="nil"/>
              <w:right w:val="nil"/>
            </w:tcBorders>
            <w:shd w:val="clear" w:color="000000" w:fill="FFFFFF"/>
            <w:noWrap/>
            <w:hideMark/>
          </w:tcPr>
          <w:p w14:paraId="4F4CF29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w:t>
            </w:r>
          </w:p>
        </w:tc>
        <w:tc>
          <w:tcPr>
            <w:tcW w:w="749" w:type="dxa"/>
            <w:tcBorders>
              <w:top w:val="nil"/>
              <w:left w:val="nil"/>
              <w:bottom w:val="nil"/>
              <w:right w:val="nil"/>
            </w:tcBorders>
            <w:shd w:val="clear" w:color="000000" w:fill="FFFFFF"/>
            <w:noWrap/>
            <w:hideMark/>
          </w:tcPr>
          <w:p w14:paraId="5603F3B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1.5 </w:t>
            </w:r>
          </w:p>
        </w:tc>
        <w:tc>
          <w:tcPr>
            <w:tcW w:w="703" w:type="dxa"/>
            <w:tcBorders>
              <w:top w:val="nil"/>
              <w:left w:val="nil"/>
              <w:bottom w:val="nil"/>
              <w:right w:val="nil"/>
            </w:tcBorders>
            <w:shd w:val="clear" w:color="000000" w:fill="FFFFFF"/>
            <w:noWrap/>
            <w:hideMark/>
          </w:tcPr>
          <w:p w14:paraId="70AA3B7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w:t>
            </w:r>
          </w:p>
        </w:tc>
        <w:tc>
          <w:tcPr>
            <w:tcW w:w="832" w:type="dxa"/>
            <w:tcBorders>
              <w:top w:val="nil"/>
              <w:left w:val="nil"/>
              <w:bottom w:val="nil"/>
              <w:right w:val="nil"/>
            </w:tcBorders>
            <w:shd w:val="clear" w:color="000000" w:fill="FFFFFF"/>
            <w:noWrap/>
            <w:hideMark/>
          </w:tcPr>
          <w:p w14:paraId="4DB7A7E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0.19</w:t>
            </w:r>
          </w:p>
        </w:tc>
        <w:tc>
          <w:tcPr>
            <w:tcW w:w="461" w:type="dxa"/>
            <w:tcBorders>
              <w:top w:val="nil"/>
              <w:left w:val="nil"/>
              <w:bottom w:val="nil"/>
              <w:right w:val="nil"/>
            </w:tcBorders>
            <w:shd w:val="clear" w:color="000000" w:fill="FFFFFF"/>
            <w:noWrap/>
            <w:hideMark/>
          </w:tcPr>
          <w:p w14:paraId="19B1564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2.3 </w:t>
            </w:r>
          </w:p>
        </w:tc>
        <w:tc>
          <w:tcPr>
            <w:tcW w:w="722" w:type="dxa"/>
            <w:tcBorders>
              <w:top w:val="nil"/>
              <w:left w:val="nil"/>
              <w:bottom w:val="nil"/>
              <w:right w:val="nil"/>
            </w:tcBorders>
            <w:shd w:val="clear" w:color="000000" w:fill="FFFFFF"/>
            <w:noWrap/>
            <w:hideMark/>
          </w:tcPr>
          <w:p w14:paraId="4348E52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(5.0)</w:t>
            </w:r>
          </w:p>
        </w:tc>
        <w:tc>
          <w:tcPr>
            <w:tcW w:w="614" w:type="dxa"/>
            <w:tcBorders>
              <w:top w:val="nil"/>
              <w:left w:val="nil"/>
              <w:bottom w:val="nil"/>
              <w:right w:val="nil"/>
            </w:tcBorders>
            <w:shd w:val="clear" w:color="000000" w:fill="FFFFFF"/>
            <w:noWrap/>
            <w:hideMark/>
          </w:tcPr>
          <w:p w14:paraId="5E8CA5F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2.1 </w:t>
            </w:r>
          </w:p>
        </w:tc>
        <w:tc>
          <w:tcPr>
            <w:tcW w:w="722" w:type="dxa"/>
            <w:tcBorders>
              <w:top w:val="nil"/>
              <w:left w:val="nil"/>
              <w:bottom w:val="nil"/>
              <w:right w:val="nil"/>
            </w:tcBorders>
            <w:shd w:val="clear" w:color="000000" w:fill="FFFFFF"/>
            <w:noWrap/>
            <w:hideMark/>
          </w:tcPr>
          <w:p w14:paraId="54C804E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w:t>
            </w:r>
          </w:p>
        </w:tc>
        <w:tc>
          <w:tcPr>
            <w:tcW w:w="837" w:type="dxa"/>
            <w:tcBorders>
              <w:top w:val="nil"/>
              <w:left w:val="nil"/>
              <w:bottom w:val="nil"/>
              <w:right w:val="nil"/>
            </w:tcBorders>
            <w:shd w:val="clear" w:color="000000" w:fill="FFFFFF"/>
            <w:noWrap/>
            <w:hideMark/>
          </w:tcPr>
          <w:p w14:paraId="18708AF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0.05</w:t>
            </w:r>
          </w:p>
        </w:tc>
      </w:tr>
      <w:tr w:rsidR="003D58B4" w:rsidRPr="003D58B4" w14:paraId="55EFDF14" w14:textId="77777777" w:rsidTr="003D58B4">
        <w:trPr>
          <w:trHeight w:val="240"/>
        </w:trPr>
        <w:tc>
          <w:tcPr>
            <w:tcW w:w="356" w:type="dxa"/>
            <w:tcBorders>
              <w:top w:val="nil"/>
              <w:left w:val="nil"/>
              <w:bottom w:val="nil"/>
              <w:right w:val="nil"/>
            </w:tcBorders>
            <w:shd w:val="clear" w:color="000000" w:fill="FFFFFF"/>
            <w:noWrap/>
            <w:hideMark/>
          </w:tcPr>
          <w:p w14:paraId="08EB777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4C52A06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Mean antihypertensive 30-day fills</w:t>
            </w:r>
          </w:p>
        </w:tc>
        <w:tc>
          <w:tcPr>
            <w:tcW w:w="449" w:type="dxa"/>
            <w:tcBorders>
              <w:top w:val="nil"/>
              <w:left w:val="nil"/>
              <w:bottom w:val="nil"/>
              <w:right w:val="nil"/>
            </w:tcBorders>
            <w:shd w:val="clear" w:color="000000" w:fill="FFFFFF"/>
            <w:noWrap/>
            <w:hideMark/>
          </w:tcPr>
          <w:p w14:paraId="18E0E55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9.2 </w:t>
            </w:r>
          </w:p>
        </w:tc>
        <w:tc>
          <w:tcPr>
            <w:tcW w:w="703" w:type="dxa"/>
            <w:tcBorders>
              <w:top w:val="nil"/>
              <w:left w:val="nil"/>
              <w:bottom w:val="nil"/>
              <w:right w:val="nil"/>
            </w:tcBorders>
            <w:shd w:val="clear" w:color="000000" w:fill="FFFFFF"/>
            <w:noWrap/>
            <w:hideMark/>
          </w:tcPr>
          <w:p w14:paraId="06CB047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(11.9)</w:t>
            </w:r>
          </w:p>
        </w:tc>
        <w:tc>
          <w:tcPr>
            <w:tcW w:w="749" w:type="dxa"/>
            <w:tcBorders>
              <w:top w:val="nil"/>
              <w:left w:val="nil"/>
              <w:bottom w:val="nil"/>
              <w:right w:val="nil"/>
            </w:tcBorders>
            <w:shd w:val="clear" w:color="000000" w:fill="FFFFFF"/>
            <w:noWrap/>
            <w:hideMark/>
          </w:tcPr>
          <w:p w14:paraId="3577E6A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8.5 </w:t>
            </w:r>
          </w:p>
        </w:tc>
        <w:tc>
          <w:tcPr>
            <w:tcW w:w="703" w:type="dxa"/>
            <w:tcBorders>
              <w:top w:val="nil"/>
              <w:left w:val="nil"/>
              <w:bottom w:val="nil"/>
              <w:right w:val="nil"/>
            </w:tcBorders>
            <w:shd w:val="clear" w:color="000000" w:fill="FFFFFF"/>
            <w:noWrap/>
            <w:hideMark/>
          </w:tcPr>
          <w:p w14:paraId="53D7A9A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(10.7)</w:t>
            </w:r>
          </w:p>
        </w:tc>
        <w:tc>
          <w:tcPr>
            <w:tcW w:w="832" w:type="dxa"/>
            <w:tcBorders>
              <w:top w:val="nil"/>
              <w:left w:val="nil"/>
              <w:bottom w:val="nil"/>
              <w:right w:val="nil"/>
            </w:tcBorders>
            <w:shd w:val="clear" w:color="000000" w:fill="FFFFFF"/>
            <w:noWrap/>
            <w:hideMark/>
          </w:tcPr>
          <w:p w14:paraId="1394F6A4"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0.06</w:t>
            </w:r>
          </w:p>
        </w:tc>
        <w:tc>
          <w:tcPr>
            <w:tcW w:w="461" w:type="dxa"/>
            <w:tcBorders>
              <w:top w:val="nil"/>
              <w:left w:val="nil"/>
              <w:bottom w:val="nil"/>
              <w:right w:val="nil"/>
            </w:tcBorders>
            <w:shd w:val="clear" w:color="000000" w:fill="FFFFFF"/>
            <w:noWrap/>
            <w:hideMark/>
          </w:tcPr>
          <w:p w14:paraId="54C6AC2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9.2 </w:t>
            </w:r>
          </w:p>
        </w:tc>
        <w:tc>
          <w:tcPr>
            <w:tcW w:w="722" w:type="dxa"/>
            <w:tcBorders>
              <w:top w:val="nil"/>
              <w:left w:val="nil"/>
              <w:bottom w:val="nil"/>
              <w:right w:val="nil"/>
            </w:tcBorders>
            <w:shd w:val="clear" w:color="000000" w:fill="FFFFFF"/>
            <w:noWrap/>
            <w:hideMark/>
          </w:tcPr>
          <w:p w14:paraId="64C7EF7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(11.9)</w:t>
            </w:r>
          </w:p>
        </w:tc>
        <w:tc>
          <w:tcPr>
            <w:tcW w:w="614" w:type="dxa"/>
            <w:tcBorders>
              <w:top w:val="nil"/>
              <w:left w:val="nil"/>
              <w:bottom w:val="nil"/>
              <w:right w:val="nil"/>
            </w:tcBorders>
            <w:shd w:val="clear" w:color="000000" w:fill="FFFFFF"/>
            <w:noWrap/>
            <w:hideMark/>
          </w:tcPr>
          <w:p w14:paraId="653AC67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9.2 </w:t>
            </w:r>
          </w:p>
        </w:tc>
        <w:tc>
          <w:tcPr>
            <w:tcW w:w="722" w:type="dxa"/>
            <w:tcBorders>
              <w:top w:val="nil"/>
              <w:left w:val="nil"/>
              <w:bottom w:val="nil"/>
              <w:right w:val="nil"/>
            </w:tcBorders>
            <w:shd w:val="clear" w:color="000000" w:fill="FFFFFF"/>
            <w:noWrap/>
            <w:hideMark/>
          </w:tcPr>
          <w:p w14:paraId="1ADD282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(11.3)</w:t>
            </w:r>
          </w:p>
        </w:tc>
        <w:tc>
          <w:tcPr>
            <w:tcW w:w="837" w:type="dxa"/>
            <w:tcBorders>
              <w:top w:val="nil"/>
              <w:left w:val="nil"/>
              <w:bottom w:val="nil"/>
              <w:right w:val="nil"/>
            </w:tcBorders>
            <w:shd w:val="clear" w:color="000000" w:fill="FFFFFF"/>
            <w:noWrap/>
            <w:hideMark/>
          </w:tcPr>
          <w:p w14:paraId="31599D2F"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0.00</w:t>
            </w:r>
          </w:p>
        </w:tc>
      </w:tr>
      <w:tr w:rsidR="003D58B4" w:rsidRPr="003D58B4" w14:paraId="05E54E14" w14:textId="77777777" w:rsidTr="003D58B4">
        <w:trPr>
          <w:trHeight w:val="240"/>
        </w:trPr>
        <w:tc>
          <w:tcPr>
            <w:tcW w:w="356" w:type="dxa"/>
            <w:tcBorders>
              <w:top w:val="nil"/>
              <w:left w:val="nil"/>
              <w:bottom w:val="nil"/>
              <w:right w:val="nil"/>
            </w:tcBorders>
            <w:shd w:val="clear" w:color="000000" w:fill="FFFFFF"/>
            <w:noWrap/>
            <w:hideMark/>
          </w:tcPr>
          <w:p w14:paraId="6E4DD54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AFC354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Mean antihyperlipidemic 30-day fills</w:t>
            </w:r>
          </w:p>
        </w:tc>
        <w:tc>
          <w:tcPr>
            <w:tcW w:w="449" w:type="dxa"/>
            <w:tcBorders>
              <w:top w:val="nil"/>
              <w:left w:val="nil"/>
              <w:bottom w:val="nil"/>
              <w:right w:val="nil"/>
            </w:tcBorders>
            <w:shd w:val="clear" w:color="000000" w:fill="FFFFFF"/>
            <w:noWrap/>
            <w:hideMark/>
          </w:tcPr>
          <w:p w14:paraId="7893A91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4.8 </w:t>
            </w:r>
          </w:p>
        </w:tc>
        <w:tc>
          <w:tcPr>
            <w:tcW w:w="703" w:type="dxa"/>
            <w:tcBorders>
              <w:top w:val="nil"/>
              <w:left w:val="nil"/>
              <w:bottom w:val="nil"/>
              <w:right w:val="nil"/>
            </w:tcBorders>
            <w:shd w:val="clear" w:color="000000" w:fill="FFFFFF"/>
            <w:noWrap/>
            <w:hideMark/>
          </w:tcPr>
          <w:p w14:paraId="53CAFD8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(6.3)</w:t>
            </w:r>
          </w:p>
        </w:tc>
        <w:tc>
          <w:tcPr>
            <w:tcW w:w="749" w:type="dxa"/>
            <w:tcBorders>
              <w:top w:val="nil"/>
              <w:left w:val="nil"/>
              <w:bottom w:val="nil"/>
              <w:right w:val="nil"/>
            </w:tcBorders>
            <w:shd w:val="clear" w:color="000000" w:fill="FFFFFF"/>
            <w:noWrap/>
            <w:hideMark/>
          </w:tcPr>
          <w:p w14:paraId="2D6DB93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4.4 </w:t>
            </w:r>
          </w:p>
        </w:tc>
        <w:tc>
          <w:tcPr>
            <w:tcW w:w="703" w:type="dxa"/>
            <w:tcBorders>
              <w:top w:val="nil"/>
              <w:left w:val="nil"/>
              <w:bottom w:val="nil"/>
              <w:right w:val="nil"/>
            </w:tcBorders>
            <w:shd w:val="clear" w:color="000000" w:fill="FFFFFF"/>
            <w:noWrap/>
            <w:hideMark/>
          </w:tcPr>
          <w:p w14:paraId="6566D57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(6.2)</w:t>
            </w:r>
          </w:p>
        </w:tc>
        <w:tc>
          <w:tcPr>
            <w:tcW w:w="832" w:type="dxa"/>
            <w:tcBorders>
              <w:top w:val="nil"/>
              <w:left w:val="nil"/>
              <w:bottom w:val="nil"/>
              <w:right w:val="nil"/>
            </w:tcBorders>
            <w:shd w:val="clear" w:color="000000" w:fill="FFFFFF"/>
            <w:noWrap/>
            <w:hideMark/>
          </w:tcPr>
          <w:p w14:paraId="3517D3FA"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0.07</w:t>
            </w:r>
          </w:p>
        </w:tc>
        <w:tc>
          <w:tcPr>
            <w:tcW w:w="461" w:type="dxa"/>
            <w:tcBorders>
              <w:top w:val="nil"/>
              <w:left w:val="nil"/>
              <w:bottom w:val="nil"/>
              <w:right w:val="nil"/>
            </w:tcBorders>
            <w:shd w:val="clear" w:color="000000" w:fill="FFFFFF"/>
            <w:noWrap/>
            <w:hideMark/>
          </w:tcPr>
          <w:p w14:paraId="6E2BFBE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4.8 </w:t>
            </w:r>
          </w:p>
        </w:tc>
        <w:tc>
          <w:tcPr>
            <w:tcW w:w="722" w:type="dxa"/>
            <w:tcBorders>
              <w:top w:val="nil"/>
              <w:left w:val="nil"/>
              <w:bottom w:val="nil"/>
              <w:right w:val="nil"/>
            </w:tcBorders>
            <w:shd w:val="clear" w:color="000000" w:fill="FFFFFF"/>
            <w:noWrap/>
            <w:hideMark/>
          </w:tcPr>
          <w:p w14:paraId="286CB8B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(6.3)</w:t>
            </w:r>
          </w:p>
        </w:tc>
        <w:tc>
          <w:tcPr>
            <w:tcW w:w="614" w:type="dxa"/>
            <w:tcBorders>
              <w:top w:val="nil"/>
              <w:left w:val="nil"/>
              <w:bottom w:val="nil"/>
              <w:right w:val="nil"/>
            </w:tcBorders>
            <w:shd w:val="clear" w:color="000000" w:fill="FFFFFF"/>
            <w:noWrap/>
            <w:hideMark/>
          </w:tcPr>
          <w:p w14:paraId="6DF6596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4.6 </w:t>
            </w:r>
          </w:p>
        </w:tc>
        <w:tc>
          <w:tcPr>
            <w:tcW w:w="722" w:type="dxa"/>
            <w:tcBorders>
              <w:top w:val="nil"/>
              <w:left w:val="nil"/>
              <w:bottom w:val="nil"/>
              <w:right w:val="nil"/>
            </w:tcBorders>
            <w:shd w:val="clear" w:color="000000" w:fill="FFFFFF"/>
            <w:noWrap/>
            <w:hideMark/>
          </w:tcPr>
          <w:p w14:paraId="1ED0D55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(6.5)</w:t>
            </w:r>
          </w:p>
        </w:tc>
        <w:tc>
          <w:tcPr>
            <w:tcW w:w="837" w:type="dxa"/>
            <w:tcBorders>
              <w:top w:val="nil"/>
              <w:left w:val="nil"/>
              <w:bottom w:val="nil"/>
              <w:right w:val="nil"/>
            </w:tcBorders>
            <w:shd w:val="clear" w:color="000000" w:fill="FFFFFF"/>
            <w:noWrap/>
            <w:hideMark/>
          </w:tcPr>
          <w:p w14:paraId="4C94DCBE"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0.03</w:t>
            </w:r>
          </w:p>
        </w:tc>
      </w:tr>
      <w:tr w:rsidR="003D58B4" w:rsidRPr="003D58B4" w14:paraId="38AFF88F" w14:textId="77777777" w:rsidTr="003D58B4">
        <w:trPr>
          <w:trHeight w:val="240"/>
        </w:trPr>
        <w:tc>
          <w:tcPr>
            <w:tcW w:w="3512" w:type="dxa"/>
            <w:gridSpan w:val="2"/>
            <w:tcBorders>
              <w:top w:val="nil"/>
              <w:left w:val="nil"/>
              <w:bottom w:val="nil"/>
              <w:right w:val="nil"/>
            </w:tcBorders>
            <w:shd w:val="clear" w:color="000000" w:fill="FFFFFF"/>
            <w:hideMark/>
          </w:tcPr>
          <w:p w14:paraId="48F0FBB4"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Calendar year of index date, No. (%)</w:t>
            </w:r>
          </w:p>
        </w:tc>
        <w:tc>
          <w:tcPr>
            <w:tcW w:w="449" w:type="dxa"/>
            <w:tcBorders>
              <w:top w:val="nil"/>
              <w:left w:val="nil"/>
              <w:bottom w:val="nil"/>
              <w:right w:val="nil"/>
            </w:tcBorders>
            <w:shd w:val="clear" w:color="000000" w:fill="FFFFFF"/>
            <w:noWrap/>
            <w:hideMark/>
          </w:tcPr>
          <w:p w14:paraId="5FF5093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566EB71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49" w:type="dxa"/>
            <w:tcBorders>
              <w:top w:val="nil"/>
              <w:left w:val="nil"/>
              <w:bottom w:val="nil"/>
              <w:right w:val="nil"/>
            </w:tcBorders>
            <w:shd w:val="clear" w:color="000000" w:fill="FFFFFF"/>
            <w:noWrap/>
            <w:hideMark/>
          </w:tcPr>
          <w:p w14:paraId="7072540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03" w:type="dxa"/>
            <w:tcBorders>
              <w:top w:val="nil"/>
              <w:left w:val="nil"/>
              <w:bottom w:val="nil"/>
              <w:right w:val="nil"/>
            </w:tcBorders>
            <w:shd w:val="clear" w:color="000000" w:fill="FFFFFF"/>
            <w:noWrap/>
            <w:hideMark/>
          </w:tcPr>
          <w:p w14:paraId="6D0E819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2" w:type="dxa"/>
            <w:tcBorders>
              <w:top w:val="nil"/>
              <w:left w:val="nil"/>
              <w:bottom w:val="nil"/>
              <w:right w:val="nil"/>
            </w:tcBorders>
            <w:shd w:val="clear" w:color="000000" w:fill="FFFFFF"/>
            <w:noWrap/>
            <w:hideMark/>
          </w:tcPr>
          <w:p w14:paraId="608F1B41"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0.66</w:t>
            </w:r>
          </w:p>
        </w:tc>
        <w:tc>
          <w:tcPr>
            <w:tcW w:w="461" w:type="dxa"/>
            <w:tcBorders>
              <w:top w:val="nil"/>
              <w:left w:val="nil"/>
              <w:bottom w:val="nil"/>
              <w:right w:val="nil"/>
            </w:tcBorders>
            <w:shd w:val="clear" w:color="000000" w:fill="FFFFFF"/>
            <w:noWrap/>
            <w:hideMark/>
          </w:tcPr>
          <w:p w14:paraId="6D1587D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6E0A482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614" w:type="dxa"/>
            <w:tcBorders>
              <w:top w:val="nil"/>
              <w:left w:val="nil"/>
              <w:bottom w:val="nil"/>
              <w:right w:val="nil"/>
            </w:tcBorders>
            <w:shd w:val="clear" w:color="000000" w:fill="FFFFFF"/>
            <w:noWrap/>
            <w:hideMark/>
          </w:tcPr>
          <w:p w14:paraId="1B7E1D3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722" w:type="dxa"/>
            <w:tcBorders>
              <w:top w:val="nil"/>
              <w:left w:val="nil"/>
              <w:bottom w:val="nil"/>
              <w:right w:val="nil"/>
            </w:tcBorders>
            <w:shd w:val="clear" w:color="000000" w:fill="FFFFFF"/>
            <w:noWrap/>
            <w:hideMark/>
          </w:tcPr>
          <w:p w14:paraId="5032966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837" w:type="dxa"/>
            <w:tcBorders>
              <w:top w:val="nil"/>
              <w:left w:val="nil"/>
              <w:bottom w:val="nil"/>
              <w:right w:val="nil"/>
            </w:tcBorders>
            <w:shd w:val="clear" w:color="000000" w:fill="FFFFFF"/>
            <w:noWrap/>
            <w:hideMark/>
          </w:tcPr>
          <w:p w14:paraId="3FBFB5D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0.17</w:t>
            </w:r>
          </w:p>
        </w:tc>
      </w:tr>
      <w:tr w:rsidR="003D58B4" w:rsidRPr="003D58B4" w14:paraId="4A6A5E3A" w14:textId="77777777" w:rsidTr="003D58B4">
        <w:trPr>
          <w:trHeight w:val="240"/>
        </w:trPr>
        <w:tc>
          <w:tcPr>
            <w:tcW w:w="356" w:type="dxa"/>
            <w:tcBorders>
              <w:top w:val="nil"/>
              <w:left w:val="nil"/>
              <w:bottom w:val="nil"/>
              <w:right w:val="nil"/>
            </w:tcBorders>
            <w:shd w:val="clear" w:color="000000" w:fill="FFFFFF"/>
            <w:noWrap/>
            <w:hideMark/>
          </w:tcPr>
          <w:p w14:paraId="51DF5EA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013F7C0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2006-2008</w:t>
            </w:r>
          </w:p>
        </w:tc>
        <w:tc>
          <w:tcPr>
            <w:tcW w:w="449" w:type="dxa"/>
            <w:tcBorders>
              <w:top w:val="nil"/>
              <w:left w:val="nil"/>
              <w:bottom w:val="nil"/>
              <w:right w:val="nil"/>
            </w:tcBorders>
            <w:shd w:val="clear" w:color="000000" w:fill="FFFFFF"/>
            <w:noWrap/>
            <w:hideMark/>
          </w:tcPr>
          <w:p w14:paraId="7B84B01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w:t>
            </w:r>
          </w:p>
        </w:tc>
        <w:tc>
          <w:tcPr>
            <w:tcW w:w="703" w:type="dxa"/>
            <w:tcBorders>
              <w:top w:val="nil"/>
              <w:left w:val="nil"/>
              <w:bottom w:val="nil"/>
              <w:right w:val="nil"/>
            </w:tcBorders>
            <w:shd w:val="clear" w:color="000000" w:fill="FFFFFF"/>
            <w:noWrap/>
            <w:hideMark/>
          </w:tcPr>
          <w:p w14:paraId="2C65378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(7.3)</w:t>
            </w:r>
          </w:p>
        </w:tc>
        <w:tc>
          <w:tcPr>
            <w:tcW w:w="749" w:type="dxa"/>
            <w:tcBorders>
              <w:top w:val="nil"/>
              <w:left w:val="nil"/>
              <w:bottom w:val="nil"/>
              <w:right w:val="nil"/>
            </w:tcBorders>
            <w:shd w:val="clear" w:color="000000" w:fill="FFFFFF"/>
            <w:noWrap/>
            <w:hideMark/>
          </w:tcPr>
          <w:p w14:paraId="420F35B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2406</w:t>
            </w:r>
          </w:p>
        </w:tc>
        <w:tc>
          <w:tcPr>
            <w:tcW w:w="703" w:type="dxa"/>
            <w:tcBorders>
              <w:top w:val="nil"/>
              <w:left w:val="nil"/>
              <w:bottom w:val="nil"/>
              <w:right w:val="nil"/>
            </w:tcBorders>
            <w:shd w:val="clear" w:color="000000" w:fill="FFFFFF"/>
            <w:noWrap/>
            <w:hideMark/>
          </w:tcPr>
          <w:p w14:paraId="5C8B9B5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(15.7)</w:t>
            </w:r>
          </w:p>
        </w:tc>
        <w:tc>
          <w:tcPr>
            <w:tcW w:w="832" w:type="dxa"/>
            <w:tcBorders>
              <w:top w:val="nil"/>
              <w:left w:val="nil"/>
              <w:bottom w:val="nil"/>
              <w:right w:val="nil"/>
            </w:tcBorders>
            <w:shd w:val="clear" w:color="000000" w:fill="FFFFFF"/>
            <w:noWrap/>
            <w:hideMark/>
          </w:tcPr>
          <w:p w14:paraId="72D45DB5"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581BCC8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w:t>
            </w:r>
          </w:p>
        </w:tc>
        <w:tc>
          <w:tcPr>
            <w:tcW w:w="722" w:type="dxa"/>
            <w:tcBorders>
              <w:top w:val="nil"/>
              <w:left w:val="nil"/>
              <w:bottom w:val="nil"/>
              <w:right w:val="nil"/>
            </w:tcBorders>
            <w:shd w:val="clear" w:color="000000" w:fill="FFFFFF"/>
            <w:noWrap/>
            <w:hideMark/>
          </w:tcPr>
          <w:p w14:paraId="3D8361B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(7.4)</w:t>
            </w:r>
          </w:p>
        </w:tc>
        <w:tc>
          <w:tcPr>
            <w:tcW w:w="614" w:type="dxa"/>
            <w:tcBorders>
              <w:top w:val="nil"/>
              <w:left w:val="nil"/>
              <w:bottom w:val="nil"/>
              <w:right w:val="nil"/>
            </w:tcBorders>
            <w:shd w:val="clear" w:color="000000" w:fill="FFFFFF"/>
            <w:noWrap/>
            <w:hideMark/>
          </w:tcPr>
          <w:p w14:paraId="744791A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69</w:t>
            </w:r>
          </w:p>
        </w:tc>
        <w:tc>
          <w:tcPr>
            <w:tcW w:w="722" w:type="dxa"/>
            <w:tcBorders>
              <w:top w:val="nil"/>
              <w:left w:val="nil"/>
              <w:bottom w:val="nil"/>
              <w:right w:val="nil"/>
            </w:tcBorders>
            <w:shd w:val="clear" w:color="000000" w:fill="FFFFFF"/>
            <w:noWrap/>
            <w:hideMark/>
          </w:tcPr>
          <w:p w14:paraId="78AC738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(4.4)</w:t>
            </w:r>
          </w:p>
        </w:tc>
        <w:tc>
          <w:tcPr>
            <w:tcW w:w="837" w:type="dxa"/>
            <w:tcBorders>
              <w:top w:val="nil"/>
              <w:left w:val="nil"/>
              <w:bottom w:val="nil"/>
              <w:right w:val="nil"/>
            </w:tcBorders>
            <w:shd w:val="clear" w:color="000000" w:fill="FFFFFF"/>
            <w:noWrap/>
            <w:hideMark/>
          </w:tcPr>
          <w:p w14:paraId="0AD938F2"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r w:rsidR="003D58B4" w:rsidRPr="003D58B4" w14:paraId="3358804F" w14:textId="77777777" w:rsidTr="003D58B4">
        <w:trPr>
          <w:trHeight w:val="240"/>
        </w:trPr>
        <w:tc>
          <w:tcPr>
            <w:tcW w:w="356" w:type="dxa"/>
            <w:tcBorders>
              <w:top w:val="nil"/>
              <w:left w:val="nil"/>
              <w:bottom w:val="nil"/>
              <w:right w:val="nil"/>
            </w:tcBorders>
            <w:shd w:val="clear" w:color="000000" w:fill="FFFFFF"/>
            <w:noWrap/>
            <w:hideMark/>
          </w:tcPr>
          <w:p w14:paraId="6DADA764"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39FB9CBE"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2009-2011</w:t>
            </w:r>
          </w:p>
        </w:tc>
        <w:tc>
          <w:tcPr>
            <w:tcW w:w="449" w:type="dxa"/>
            <w:tcBorders>
              <w:top w:val="nil"/>
              <w:left w:val="nil"/>
              <w:bottom w:val="nil"/>
              <w:right w:val="nil"/>
            </w:tcBorders>
            <w:shd w:val="clear" w:color="000000" w:fill="FFFFFF"/>
            <w:noWrap/>
            <w:hideMark/>
          </w:tcPr>
          <w:p w14:paraId="04B8F0C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105</w:t>
            </w:r>
          </w:p>
        </w:tc>
        <w:tc>
          <w:tcPr>
            <w:tcW w:w="703" w:type="dxa"/>
            <w:tcBorders>
              <w:top w:val="nil"/>
              <w:left w:val="nil"/>
              <w:bottom w:val="nil"/>
              <w:right w:val="nil"/>
            </w:tcBorders>
            <w:shd w:val="clear" w:color="000000" w:fill="FFFFFF"/>
            <w:noWrap/>
            <w:hideMark/>
          </w:tcPr>
          <w:p w14:paraId="45F9CE4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(13.0)</w:t>
            </w:r>
          </w:p>
        </w:tc>
        <w:tc>
          <w:tcPr>
            <w:tcW w:w="749" w:type="dxa"/>
            <w:tcBorders>
              <w:top w:val="nil"/>
              <w:left w:val="nil"/>
              <w:bottom w:val="nil"/>
              <w:right w:val="nil"/>
            </w:tcBorders>
            <w:shd w:val="clear" w:color="000000" w:fill="FFFFFF"/>
            <w:noWrap/>
            <w:hideMark/>
          </w:tcPr>
          <w:p w14:paraId="1B6B0DF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5215</w:t>
            </w:r>
          </w:p>
        </w:tc>
        <w:tc>
          <w:tcPr>
            <w:tcW w:w="703" w:type="dxa"/>
            <w:tcBorders>
              <w:top w:val="nil"/>
              <w:left w:val="nil"/>
              <w:bottom w:val="nil"/>
              <w:right w:val="nil"/>
            </w:tcBorders>
            <w:shd w:val="clear" w:color="000000" w:fill="FFFFFF"/>
            <w:noWrap/>
            <w:hideMark/>
          </w:tcPr>
          <w:p w14:paraId="7502F7C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(34.1)</w:t>
            </w:r>
          </w:p>
        </w:tc>
        <w:tc>
          <w:tcPr>
            <w:tcW w:w="832" w:type="dxa"/>
            <w:tcBorders>
              <w:top w:val="nil"/>
              <w:left w:val="nil"/>
              <w:bottom w:val="nil"/>
              <w:right w:val="nil"/>
            </w:tcBorders>
            <w:shd w:val="clear" w:color="000000" w:fill="FFFFFF"/>
            <w:noWrap/>
            <w:hideMark/>
          </w:tcPr>
          <w:p w14:paraId="0DE922C1"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43E7114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105</w:t>
            </w:r>
          </w:p>
        </w:tc>
        <w:tc>
          <w:tcPr>
            <w:tcW w:w="722" w:type="dxa"/>
            <w:tcBorders>
              <w:top w:val="nil"/>
              <w:left w:val="nil"/>
              <w:bottom w:val="nil"/>
              <w:right w:val="nil"/>
            </w:tcBorders>
            <w:shd w:val="clear" w:color="000000" w:fill="FFFFFF"/>
            <w:noWrap/>
            <w:hideMark/>
          </w:tcPr>
          <w:p w14:paraId="128E3EA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(13.1)</w:t>
            </w:r>
          </w:p>
        </w:tc>
        <w:tc>
          <w:tcPr>
            <w:tcW w:w="614" w:type="dxa"/>
            <w:tcBorders>
              <w:top w:val="nil"/>
              <w:left w:val="nil"/>
              <w:bottom w:val="nil"/>
              <w:right w:val="nil"/>
            </w:tcBorders>
            <w:shd w:val="clear" w:color="000000" w:fill="FFFFFF"/>
            <w:noWrap/>
            <w:hideMark/>
          </w:tcPr>
          <w:p w14:paraId="7606B4E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275</w:t>
            </w:r>
          </w:p>
        </w:tc>
        <w:tc>
          <w:tcPr>
            <w:tcW w:w="722" w:type="dxa"/>
            <w:tcBorders>
              <w:top w:val="nil"/>
              <w:left w:val="nil"/>
              <w:bottom w:val="nil"/>
              <w:right w:val="nil"/>
            </w:tcBorders>
            <w:shd w:val="clear" w:color="000000" w:fill="FFFFFF"/>
            <w:noWrap/>
            <w:hideMark/>
          </w:tcPr>
          <w:p w14:paraId="7A56139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(17.4)</w:t>
            </w:r>
          </w:p>
        </w:tc>
        <w:tc>
          <w:tcPr>
            <w:tcW w:w="837" w:type="dxa"/>
            <w:tcBorders>
              <w:top w:val="nil"/>
              <w:left w:val="nil"/>
              <w:bottom w:val="nil"/>
              <w:right w:val="nil"/>
            </w:tcBorders>
            <w:shd w:val="clear" w:color="000000" w:fill="FFFFFF"/>
            <w:noWrap/>
            <w:hideMark/>
          </w:tcPr>
          <w:p w14:paraId="533BAC94"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r w:rsidR="003D58B4" w:rsidRPr="003D58B4" w14:paraId="6D7AC006" w14:textId="77777777" w:rsidTr="003D58B4">
        <w:trPr>
          <w:trHeight w:val="240"/>
        </w:trPr>
        <w:tc>
          <w:tcPr>
            <w:tcW w:w="356" w:type="dxa"/>
            <w:tcBorders>
              <w:top w:val="nil"/>
              <w:left w:val="nil"/>
              <w:bottom w:val="nil"/>
              <w:right w:val="nil"/>
            </w:tcBorders>
            <w:shd w:val="clear" w:color="000000" w:fill="FFFFFF"/>
            <w:noWrap/>
            <w:hideMark/>
          </w:tcPr>
          <w:p w14:paraId="653F28A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43081D6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2012-2014</w:t>
            </w:r>
          </w:p>
        </w:tc>
        <w:tc>
          <w:tcPr>
            <w:tcW w:w="449" w:type="dxa"/>
            <w:tcBorders>
              <w:top w:val="nil"/>
              <w:left w:val="nil"/>
              <w:bottom w:val="nil"/>
              <w:right w:val="nil"/>
            </w:tcBorders>
            <w:shd w:val="clear" w:color="000000" w:fill="FFFFFF"/>
            <w:noWrap/>
            <w:hideMark/>
          </w:tcPr>
          <w:p w14:paraId="295C1CB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643</w:t>
            </w:r>
          </w:p>
        </w:tc>
        <w:tc>
          <w:tcPr>
            <w:tcW w:w="703" w:type="dxa"/>
            <w:tcBorders>
              <w:top w:val="nil"/>
              <w:left w:val="nil"/>
              <w:bottom w:val="nil"/>
              <w:right w:val="nil"/>
            </w:tcBorders>
            <w:shd w:val="clear" w:color="000000" w:fill="FFFFFF"/>
            <w:noWrap/>
            <w:hideMark/>
          </w:tcPr>
          <w:p w14:paraId="4DC6190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(79.7)</w:t>
            </w:r>
          </w:p>
        </w:tc>
        <w:tc>
          <w:tcPr>
            <w:tcW w:w="749" w:type="dxa"/>
            <w:tcBorders>
              <w:top w:val="nil"/>
              <w:left w:val="nil"/>
              <w:bottom w:val="nil"/>
              <w:right w:val="nil"/>
            </w:tcBorders>
            <w:shd w:val="clear" w:color="000000" w:fill="FFFFFF"/>
            <w:noWrap/>
            <w:hideMark/>
          </w:tcPr>
          <w:p w14:paraId="43BA1F9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7688</w:t>
            </w:r>
          </w:p>
        </w:tc>
        <w:tc>
          <w:tcPr>
            <w:tcW w:w="703" w:type="dxa"/>
            <w:tcBorders>
              <w:top w:val="nil"/>
              <w:left w:val="nil"/>
              <w:bottom w:val="nil"/>
              <w:right w:val="nil"/>
            </w:tcBorders>
            <w:shd w:val="clear" w:color="000000" w:fill="FFFFFF"/>
            <w:noWrap/>
            <w:hideMark/>
          </w:tcPr>
          <w:p w14:paraId="565BCB9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(50.2)</w:t>
            </w:r>
          </w:p>
        </w:tc>
        <w:tc>
          <w:tcPr>
            <w:tcW w:w="832" w:type="dxa"/>
            <w:tcBorders>
              <w:top w:val="nil"/>
              <w:left w:val="nil"/>
              <w:bottom w:val="nil"/>
              <w:right w:val="nil"/>
            </w:tcBorders>
            <w:shd w:val="clear" w:color="000000" w:fill="FFFFFF"/>
            <w:noWrap/>
            <w:hideMark/>
          </w:tcPr>
          <w:p w14:paraId="1A9E1582"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3DABD1C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637</w:t>
            </w:r>
          </w:p>
        </w:tc>
        <w:tc>
          <w:tcPr>
            <w:tcW w:w="722" w:type="dxa"/>
            <w:tcBorders>
              <w:top w:val="nil"/>
              <w:left w:val="nil"/>
              <w:bottom w:val="nil"/>
              <w:right w:val="nil"/>
            </w:tcBorders>
            <w:shd w:val="clear" w:color="000000" w:fill="FFFFFF"/>
            <w:noWrap/>
            <w:hideMark/>
          </w:tcPr>
          <w:p w14:paraId="039C7A7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(79.5)</w:t>
            </w:r>
          </w:p>
        </w:tc>
        <w:tc>
          <w:tcPr>
            <w:tcW w:w="614" w:type="dxa"/>
            <w:tcBorders>
              <w:top w:val="nil"/>
              <w:left w:val="nil"/>
              <w:bottom w:val="nil"/>
              <w:right w:val="nil"/>
            </w:tcBorders>
            <w:shd w:val="clear" w:color="000000" w:fill="FFFFFF"/>
            <w:noWrap/>
            <w:hideMark/>
          </w:tcPr>
          <w:p w14:paraId="25121A2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1233</w:t>
            </w:r>
          </w:p>
        </w:tc>
        <w:tc>
          <w:tcPr>
            <w:tcW w:w="722" w:type="dxa"/>
            <w:tcBorders>
              <w:top w:val="nil"/>
              <w:left w:val="nil"/>
              <w:bottom w:val="nil"/>
              <w:right w:val="nil"/>
            </w:tcBorders>
            <w:shd w:val="clear" w:color="000000" w:fill="FFFFFF"/>
            <w:noWrap/>
            <w:hideMark/>
          </w:tcPr>
          <w:p w14:paraId="4281AFC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(78.2)</w:t>
            </w:r>
          </w:p>
        </w:tc>
        <w:tc>
          <w:tcPr>
            <w:tcW w:w="837" w:type="dxa"/>
            <w:tcBorders>
              <w:top w:val="nil"/>
              <w:left w:val="nil"/>
              <w:bottom w:val="nil"/>
              <w:right w:val="nil"/>
            </w:tcBorders>
            <w:shd w:val="clear" w:color="000000" w:fill="FFFFFF"/>
            <w:noWrap/>
            <w:hideMark/>
          </w:tcPr>
          <w:p w14:paraId="0441DAFD"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r w:rsidR="003D58B4" w:rsidRPr="003D58B4" w14:paraId="009BA011" w14:textId="77777777" w:rsidTr="003D58B4">
        <w:trPr>
          <w:trHeight w:val="240"/>
        </w:trPr>
        <w:tc>
          <w:tcPr>
            <w:tcW w:w="3512" w:type="dxa"/>
            <w:gridSpan w:val="2"/>
            <w:tcBorders>
              <w:top w:val="nil"/>
              <w:left w:val="nil"/>
              <w:bottom w:val="nil"/>
              <w:right w:val="nil"/>
            </w:tcBorders>
            <w:shd w:val="clear" w:color="000000" w:fill="FFFFFF"/>
            <w:noWrap/>
            <w:hideMark/>
          </w:tcPr>
          <w:p w14:paraId="19259527"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Baseline deductible amount, No (%)</w:t>
            </w:r>
          </w:p>
        </w:tc>
        <w:tc>
          <w:tcPr>
            <w:tcW w:w="449" w:type="dxa"/>
            <w:tcBorders>
              <w:top w:val="nil"/>
              <w:left w:val="nil"/>
              <w:bottom w:val="nil"/>
              <w:right w:val="nil"/>
            </w:tcBorders>
            <w:shd w:val="clear" w:color="000000" w:fill="FFFFFF"/>
            <w:noWrap/>
            <w:hideMark/>
          </w:tcPr>
          <w:p w14:paraId="51D7AD1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w:t>
            </w:r>
          </w:p>
        </w:tc>
        <w:tc>
          <w:tcPr>
            <w:tcW w:w="703" w:type="dxa"/>
            <w:tcBorders>
              <w:top w:val="nil"/>
              <w:left w:val="nil"/>
              <w:bottom w:val="nil"/>
              <w:right w:val="nil"/>
            </w:tcBorders>
            <w:shd w:val="clear" w:color="000000" w:fill="FFFFFF"/>
            <w:noWrap/>
            <w:hideMark/>
          </w:tcPr>
          <w:p w14:paraId="5A1846D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000000" w:fill="FFFFFF"/>
            <w:noWrap/>
            <w:hideMark/>
          </w:tcPr>
          <w:p w14:paraId="706266C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03" w:type="dxa"/>
            <w:tcBorders>
              <w:top w:val="nil"/>
              <w:left w:val="nil"/>
              <w:bottom w:val="nil"/>
              <w:right w:val="nil"/>
            </w:tcBorders>
            <w:shd w:val="clear" w:color="000000" w:fill="FFFFFF"/>
            <w:noWrap/>
            <w:hideMark/>
          </w:tcPr>
          <w:p w14:paraId="0A0D640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832" w:type="dxa"/>
            <w:tcBorders>
              <w:top w:val="nil"/>
              <w:left w:val="nil"/>
              <w:bottom w:val="nil"/>
              <w:right w:val="nil"/>
            </w:tcBorders>
            <w:shd w:val="clear" w:color="000000" w:fill="FFFFFF"/>
            <w:noWrap/>
            <w:hideMark/>
          </w:tcPr>
          <w:p w14:paraId="3EC3B0C5"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0.23</w:t>
            </w:r>
          </w:p>
        </w:tc>
        <w:tc>
          <w:tcPr>
            <w:tcW w:w="461" w:type="dxa"/>
            <w:tcBorders>
              <w:top w:val="nil"/>
              <w:left w:val="nil"/>
              <w:bottom w:val="nil"/>
              <w:right w:val="nil"/>
            </w:tcBorders>
            <w:shd w:val="clear" w:color="000000" w:fill="FFFFFF"/>
            <w:noWrap/>
            <w:hideMark/>
          </w:tcPr>
          <w:p w14:paraId="746146F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22" w:type="dxa"/>
            <w:tcBorders>
              <w:top w:val="nil"/>
              <w:left w:val="nil"/>
              <w:bottom w:val="nil"/>
              <w:right w:val="nil"/>
            </w:tcBorders>
            <w:shd w:val="clear" w:color="000000" w:fill="FFFFFF"/>
            <w:noWrap/>
            <w:hideMark/>
          </w:tcPr>
          <w:p w14:paraId="52EB491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614" w:type="dxa"/>
            <w:tcBorders>
              <w:top w:val="nil"/>
              <w:left w:val="nil"/>
              <w:bottom w:val="nil"/>
              <w:right w:val="nil"/>
            </w:tcBorders>
            <w:shd w:val="clear" w:color="000000" w:fill="FFFFFF"/>
            <w:noWrap/>
            <w:hideMark/>
          </w:tcPr>
          <w:p w14:paraId="275EEFF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22" w:type="dxa"/>
            <w:tcBorders>
              <w:top w:val="nil"/>
              <w:left w:val="nil"/>
              <w:bottom w:val="nil"/>
              <w:right w:val="nil"/>
            </w:tcBorders>
            <w:shd w:val="clear" w:color="000000" w:fill="FFFFFF"/>
            <w:noWrap/>
            <w:hideMark/>
          </w:tcPr>
          <w:p w14:paraId="0028819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837" w:type="dxa"/>
            <w:tcBorders>
              <w:top w:val="nil"/>
              <w:left w:val="nil"/>
              <w:bottom w:val="nil"/>
              <w:right w:val="nil"/>
            </w:tcBorders>
            <w:shd w:val="clear" w:color="000000" w:fill="FFFFFF"/>
            <w:noWrap/>
            <w:hideMark/>
          </w:tcPr>
          <w:p w14:paraId="2D0053CD"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0.05</w:t>
            </w:r>
          </w:p>
        </w:tc>
      </w:tr>
      <w:tr w:rsidR="003D58B4" w:rsidRPr="003D58B4" w14:paraId="165668D3" w14:textId="77777777" w:rsidTr="003D58B4">
        <w:trPr>
          <w:trHeight w:val="240"/>
        </w:trPr>
        <w:tc>
          <w:tcPr>
            <w:tcW w:w="356" w:type="dxa"/>
            <w:tcBorders>
              <w:top w:val="nil"/>
              <w:left w:val="nil"/>
              <w:bottom w:val="nil"/>
              <w:right w:val="nil"/>
            </w:tcBorders>
            <w:shd w:val="clear" w:color="000000" w:fill="FFFFFF"/>
            <w:noWrap/>
            <w:hideMark/>
          </w:tcPr>
          <w:p w14:paraId="6D585DB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20F9EB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$1000-$2499</w:t>
            </w:r>
          </w:p>
        </w:tc>
        <w:tc>
          <w:tcPr>
            <w:tcW w:w="449" w:type="dxa"/>
            <w:tcBorders>
              <w:top w:val="nil"/>
              <w:left w:val="nil"/>
              <w:bottom w:val="nil"/>
              <w:right w:val="nil"/>
            </w:tcBorders>
            <w:shd w:val="clear" w:color="000000" w:fill="FFFFFF"/>
            <w:noWrap/>
            <w:hideMark/>
          </w:tcPr>
          <w:p w14:paraId="5C483C6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269</w:t>
            </w:r>
          </w:p>
        </w:tc>
        <w:tc>
          <w:tcPr>
            <w:tcW w:w="703" w:type="dxa"/>
            <w:tcBorders>
              <w:top w:val="nil"/>
              <w:left w:val="nil"/>
              <w:bottom w:val="nil"/>
              <w:right w:val="nil"/>
            </w:tcBorders>
            <w:shd w:val="clear" w:color="000000" w:fill="FFFFFF"/>
            <w:noWrap/>
            <w:hideMark/>
          </w:tcPr>
          <w:p w14:paraId="5A4118BF"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(33.3)</w:t>
            </w:r>
          </w:p>
        </w:tc>
        <w:tc>
          <w:tcPr>
            <w:tcW w:w="749" w:type="dxa"/>
            <w:tcBorders>
              <w:top w:val="nil"/>
              <w:left w:val="nil"/>
              <w:bottom w:val="nil"/>
              <w:right w:val="nil"/>
            </w:tcBorders>
            <w:shd w:val="clear" w:color="000000" w:fill="FFFFFF"/>
            <w:noWrap/>
            <w:hideMark/>
          </w:tcPr>
          <w:p w14:paraId="0E5F4A7B"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6040</w:t>
            </w:r>
          </w:p>
        </w:tc>
        <w:tc>
          <w:tcPr>
            <w:tcW w:w="703" w:type="dxa"/>
            <w:tcBorders>
              <w:top w:val="nil"/>
              <w:left w:val="nil"/>
              <w:bottom w:val="nil"/>
              <w:right w:val="nil"/>
            </w:tcBorders>
            <w:shd w:val="clear" w:color="000000" w:fill="FFFFFF"/>
            <w:noWrap/>
            <w:hideMark/>
          </w:tcPr>
          <w:p w14:paraId="78B9042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(39.4)</w:t>
            </w:r>
          </w:p>
        </w:tc>
        <w:tc>
          <w:tcPr>
            <w:tcW w:w="832" w:type="dxa"/>
            <w:tcBorders>
              <w:top w:val="nil"/>
              <w:left w:val="nil"/>
              <w:bottom w:val="nil"/>
              <w:right w:val="nil"/>
            </w:tcBorders>
            <w:shd w:val="clear" w:color="000000" w:fill="FFFFFF"/>
            <w:noWrap/>
            <w:hideMark/>
          </w:tcPr>
          <w:p w14:paraId="6CE16A90"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c>
          <w:tcPr>
            <w:tcW w:w="461" w:type="dxa"/>
            <w:tcBorders>
              <w:top w:val="nil"/>
              <w:left w:val="nil"/>
              <w:bottom w:val="nil"/>
              <w:right w:val="nil"/>
            </w:tcBorders>
            <w:shd w:val="clear" w:color="000000" w:fill="FFFFFF"/>
            <w:noWrap/>
            <w:hideMark/>
          </w:tcPr>
          <w:p w14:paraId="1EC21638"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269</w:t>
            </w:r>
          </w:p>
        </w:tc>
        <w:tc>
          <w:tcPr>
            <w:tcW w:w="722" w:type="dxa"/>
            <w:tcBorders>
              <w:top w:val="nil"/>
              <w:left w:val="nil"/>
              <w:bottom w:val="nil"/>
              <w:right w:val="nil"/>
            </w:tcBorders>
            <w:shd w:val="clear" w:color="000000" w:fill="FFFFFF"/>
            <w:noWrap/>
            <w:hideMark/>
          </w:tcPr>
          <w:p w14:paraId="16DB183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(33.6)</w:t>
            </w:r>
          </w:p>
        </w:tc>
        <w:tc>
          <w:tcPr>
            <w:tcW w:w="614" w:type="dxa"/>
            <w:tcBorders>
              <w:top w:val="nil"/>
              <w:left w:val="nil"/>
              <w:bottom w:val="nil"/>
              <w:right w:val="nil"/>
            </w:tcBorders>
            <w:shd w:val="clear" w:color="000000" w:fill="FFFFFF"/>
            <w:noWrap/>
            <w:hideMark/>
          </w:tcPr>
          <w:p w14:paraId="6E3CE6D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571</w:t>
            </w:r>
          </w:p>
        </w:tc>
        <w:tc>
          <w:tcPr>
            <w:tcW w:w="722" w:type="dxa"/>
            <w:tcBorders>
              <w:top w:val="nil"/>
              <w:left w:val="nil"/>
              <w:bottom w:val="nil"/>
              <w:right w:val="nil"/>
            </w:tcBorders>
            <w:shd w:val="clear" w:color="000000" w:fill="FFFFFF"/>
            <w:noWrap/>
            <w:hideMark/>
          </w:tcPr>
          <w:p w14:paraId="316FF54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(36.2)</w:t>
            </w:r>
          </w:p>
        </w:tc>
        <w:tc>
          <w:tcPr>
            <w:tcW w:w="837" w:type="dxa"/>
            <w:tcBorders>
              <w:top w:val="nil"/>
              <w:left w:val="nil"/>
              <w:bottom w:val="nil"/>
              <w:right w:val="nil"/>
            </w:tcBorders>
            <w:shd w:val="clear" w:color="000000" w:fill="FFFFFF"/>
            <w:noWrap/>
            <w:hideMark/>
          </w:tcPr>
          <w:p w14:paraId="2F20BF44"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r>
      <w:tr w:rsidR="003D58B4" w:rsidRPr="003D58B4" w14:paraId="1CA8D58C" w14:textId="77777777" w:rsidTr="003D58B4">
        <w:trPr>
          <w:trHeight w:val="240"/>
        </w:trPr>
        <w:tc>
          <w:tcPr>
            <w:tcW w:w="356" w:type="dxa"/>
            <w:tcBorders>
              <w:top w:val="nil"/>
              <w:left w:val="nil"/>
              <w:bottom w:val="nil"/>
              <w:right w:val="nil"/>
            </w:tcBorders>
            <w:shd w:val="clear" w:color="000000" w:fill="FFFFFF"/>
            <w:noWrap/>
            <w:hideMark/>
          </w:tcPr>
          <w:p w14:paraId="0C00275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7CF11EE5"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$2500+</w:t>
            </w:r>
          </w:p>
        </w:tc>
        <w:tc>
          <w:tcPr>
            <w:tcW w:w="449" w:type="dxa"/>
            <w:tcBorders>
              <w:top w:val="nil"/>
              <w:left w:val="nil"/>
              <w:bottom w:val="nil"/>
              <w:right w:val="nil"/>
            </w:tcBorders>
            <w:shd w:val="clear" w:color="000000" w:fill="FFFFFF"/>
            <w:noWrap/>
            <w:hideMark/>
          </w:tcPr>
          <w:p w14:paraId="493B3A8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207</w:t>
            </w:r>
          </w:p>
        </w:tc>
        <w:tc>
          <w:tcPr>
            <w:tcW w:w="703" w:type="dxa"/>
            <w:tcBorders>
              <w:top w:val="nil"/>
              <w:left w:val="nil"/>
              <w:bottom w:val="nil"/>
              <w:right w:val="nil"/>
            </w:tcBorders>
            <w:shd w:val="clear" w:color="000000" w:fill="FFFFFF"/>
            <w:noWrap/>
            <w:hideMark/>
          </w:tcPr>
          <w:p w14:paraId="0041AA0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(25.7)</w:t>
            </w:r>
          </w:p>
        </w:tc>
        <w:tc>
          <w:tcPr>
            <w:tcW w:w="749" w:type="dxa"/>
            <w:tcBorders>
              <w:top w:val="nil"/>
              <w:left w:val="nil"/>
              <w:bottom w:val="nil"/>
              <w:right w:val="nil"/>
            </w:tcBorders>
            <w:shd w:val="clear" w:color="000000" w:fill="FFFFFF"/>
            <w:noWrap/>
            <w:hideMark/>
          </w:tcPr>
          <w:p w14:paraId="7223DB73"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4702</w:t>
            </w:r>
          </w:p>
        </w:tc>
        <w:tc>
          <w:tcPr>
            <w:tcW w:w="703" w:type="dxa"/>
            <w:tcBorders>
              <w:top w:val="nil"/>
              <w:left w:val="nil"/>
              <w:bottom w:val="nil"/>
              <w:right w:val="nil"/>
            </w:tcBorders>
            <w:shd w:val="clear" w:color="000000" w:fill="FFFFFF"/>
            <w:noWrap/>
            <w:hideMark/>
          </w:tcPr>
          <w:p w14:paraId="64A6CAF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(30.7)</w:t>
            </w:r>
          </w:p>
        </w:tc>
        <w:tc>
          <w:tcPr>
            <w:tcW w:w="832" w:type="dxa"/>
            <w:tcBorders>
              <w:top w:val="nil"/>
              <w:left w:val="nil"/>
              <w:bottom w:val="nil"/>
              <w:right w:val="nil"/>
            </w:tcBorders>
            <w:shd w:val="clear" w:color="000000" w:fill="FFFFFF"/>
            <w:noWrap/>
            <w:hideMark/>
          </w:tcPr>
          <w:p w14:paraId="6DC5DF50"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c>
          <w:tcPr>
            <w:tcW w:w="461" w:type="dxa"/>
            <w:tcBorders>
              <w:top w:val="nil"/>
              <w:left w:val="nil"/>
              <w:bottom w:val="nil"/>
              <w:right w:val="nil"/>
            </w:tcBorders>
            <w:shd w:val="clear" w:color="000000" w:fill="FFFFFF"/>
            <w:noWrap/>
            <w:hideMark/>
          </w:tcPr>
          <w:p w14:paraId="5B1501FD"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206</w:t>
            </w:r>
          </w:p>
        </w:tc>
        <w:tc>
          <w:tcPr>
            <w:tcW w:w="722" w:type="dxa"/>
            <w:tcBorders>
              <w:top w:val="nil"/>
              <w:left w:val="nil"/>
              <w:bottom w:val="nil"/>
              <w:right w:val="nil"/>
            </w:tcBorders>
            <w:shd w:val="clear" w:color="000000" w:fill="FFFFFF"/>
            <w:noWrap/>
            <w:hideMark/>
          </w:tcPr>
          <w:p w14:paraId="4FFA1F8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(25.7)</w:t>
            </w:r>
          </w:p>
        </w:tc>
        <w:tc>
          <w:tcPr>
            <w:tcW w:w="614" w:type="dxa"/>
            <w:tcBorders>
              <w:top w:val="nil"/>
              <w:left w:val="nil"/>
              <w:bottom w:val="nil"/>
              <w:right w:val="nil"/>
            </w:tcBorders>
            <w:shd w:val="clear" w:color="000000" w:fill="FFFFFF"/>
            <w:noWrap/>
            <w:hideMark/>
          </w:tcPr>
          <w:p w14:paraId="4999397E"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411</w:t>
            </w:r>
          </w:p>
        </w:tc>
        <w:tc>
          <w:tcPr>
            <w:tcW w:w="722" w:type="dxa"/>
            <w:tcBorders>
              <w:top w:val="nil"/>
              <w:left w:val="nil"/>
              <w:bottom w:val="nil"/>
              <w:right w:val="nil"/>
            </w:tcBorders>
            <w:shd w:val="clear" w:color="000000" w:fill="FFFFFF"/>
            <w:noWrap/>
            <w:hideMark/>
          </w:tcPr>
          <w:p w14:paraId="163F656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(26.1)</w:t>
            </w:r>
          </w:p>
        </w:tc>
        <w:tc>
          <w:tcPr>
            <w:tcW w:w="837" w:type="dxa"/>
            <w:tcBorders>
              <w:top w:val="nil"/>
              <w:left w:val="nil"/>
              <w:bottom w:val="nil"/>
              <w:right w:val="nil"/>
            </w:tcBorders>
            <w:shd w:val="clear" w:color="000000" w:fill="FFFFFF"/>
            <w:noWrap/>
            <w:hideMark/>
          </w:tcPr>
          <w:p w14:paraId="1920DC1C"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r>
      <w:tr w:rsidR="003D58B4" w:rsidRPr="003D58B4" w14:paraId="2078AF46" w14:textId="77777777" w:rsidTr="003D58B4">
        <w:trPr>
          <w:trHeight w:val="240"/>
        </w:trPr>
        <w:tc>
          <w:tcPr>
            <w:tcW w:w="356" w:type="dxa"/>
            <w:tcBorders>
              <w:top w:val="nil"/>
              <w:left w:val="nil"/>
              <w:bottom w:val="nil"/>
              <w:right w:val="nil"/>
            </w:tcBorders>
            <w:shd w:val="clear" w:color="000000" w:fill="FFFFFF"/>
            <w:noWrap/>
            <w:hideMark/>
          </w:tcPr>
          <w:p w14:paraId="14151841"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3156" w:type="dxa"/>
            <w:tcBorders>
              <w:top w:val="nil"/>
              <w:left w:val="nil"/>
              <w:bottom w:val="nil"/>
              <w:right w:val="nil"/>
            </w:tcBorders>
            <w:shd w:val="clear" w:color="000000" w:fill="FFFFFF"/>
            <w:noWrap/>
            <w:hideMark/>
          </w:tcPr>
          <w:p w14:paraId="0850388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$1000+ (level uncertain)</w:t>
            </w:r>
          </w:p>
        </w:tc>
        <w:tc>
          <w:tcPr>
            <w:tcW w:w="449" w:type="dxa"/>
            <w:tcBorders>
              <w:top w:val="nil"/>
              <w:left w:val="nil"/>
              <w:bottom w:val="nil"/>
              <w:right w:val="nil"/>
            </w:tcBorders>
            <w:shd w:val="clear" w:color="000000" w:fill="FFFFFF"/>
            <w:noWrap/>
            <w:hideMark/>
          </w:tcPr>
          <w:p w14:paraId="08954E6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331</w:t>
            </w:r>
          </w:p>
        </w:tc>
        <w:tc>
          <w:tcPr>
            <w:tcW w:w="703" w:type="dxa"/>
            <w:tcBorders>
              <w:top w:val="nil"/>
              <w:left w:val="nil"/>
              <w:bottom w:val="nil"/>
              <w:right w:val="nil"/>
            </w:tcBorders>
            <w:shd w:val="clear" w:color="000000" w:fill="FFFFFF"/>
            <w:noWrap/>
            <w:hideMark/>
          </w:tcPr>
          <w:p w14:paraId="62ED006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(41.0)</w:t>
            </w:r>
          </w:p>
        </w:tc>
        <w:tc>
          <w:tcPr>
            <w:tcW w:w="749" w:type="dxa"/>
            <w:tcBorders>
              <w:top w:val="nil"/>
              <w:left w:val="nil"/>
              <w:bottom w:val="nil"/>
              <w:right w:val="nil"/>
            </w:tcBorders>
            <w:shd w:val="clear" w:color="000000" w:fill="FFFFFF"/>
            <w:noWrap/>
            <w:hideMark/>
          </w:tcPr>
          <w:p w14:paraId="39358AD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4575</w:t>
            </w:r>
          </w:p>
        </w:tc>
        <w:tc>
          <w:tcPr>
            <w:tcW w:w="703" w:type="dxa"/>
            <w:tcBorders>
              <w:top w:val="nil"/>
              <w:left w:val="nil"/>
              <w:bottom w:val="nil"/>
              <w:right w:val="nil"/>
            </w:tcBorders>
            <w:shd w:val="clear" w:color="000000" w:fill="FFFFFF"/>
            <w:noWrap/>
            <w:hideMark/>
          </w:tcPr>
          <w:p w14:paraId="561B697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(29.9)</w:t>
            </w:r>
          </w:p>
        </w:tc>
        <w:tc>
          <w:tcPr>
            <w:tcW w:w="832" w:type="dxa"/>
            <w:tcBorders>
              <w:top w:val="nil"/>
              <w:left w:val="nil"/>
              <w:bottom w:val="nil"/>
              <w:right w:val="nil"/>
            </w:tcBorders>
            <w:shd w:val="clear" w:color="000000" w:fill="FFFFFF"/>
            <w:noWrap/>
            <w:hideMark/>
          </w:tcPr>
          <w:p w14:paraId="74AABA06"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c>
          <w:tcPr>
            <w:tcW w:w="461" w:type="dxa"/>
            <w:tcBorders>
              <w:top w:val="nil"/>
              <w:left w:val="nil"/>
              <w:bottom w:val="nil"/>
              <w:right w:val="nil"/>
            </w:tcBorders>
            <w:shd w:val="clear" w:color="000000" w:fill="FFFFFF"/>
            <w:noWrap/>
            <w:hideMark/>
          </w:tcPr>
          <w:p w14:paraId="54AF5B4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326</w:t>
            </w:r>
          </w:p>
        </w:tc>
        <w:tc>
          <w:tcPr>
            <w:tcW w:w="722" w:type="dxa"/>
            <w:tcBorders>
              <w:top w:val="nil"/>
              <w:left w:val="nil"/>
              <w:bottom w:val="nil"/>
              <w:right w:val="nil"/>
            </w:tcBorders>
            <w:shd w:val="clear" w:color="000000" w:fill="FFFFFF"/>
            <w:noWrap/>
            <w:hideMark/>
          </w:tcPr>
          <w:p w14:paraId="664ECB86"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(40.7)</w:t>
            </w:r>
          </w:p>
        </w:tc>
        <w:tc>
          <w:tcPr>
            <w:tcW w:w="614" w:type="dxa"/>
            <w:tcBorders>
              <w:top w:val="nil"/>
              <w:left w:val="nil"/>
              <w:bottom w:val="nil"/>
              <w:right w:val="nil"/>
            </w:tcBorders>
            <w:shd w:val="clear" w:color="000000" w:fill="FFFFFF"/>
            <w:noWrap/>
            <w:hideMark/>
          </w:tcPr>
          <w:p w14:paraId="77E2CE1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595</w:t>
            </w:r>
          </w:p>
        </w:tc>
        <w:tc>
          <w:tcPr>
            <w:tcW w:w="722" w:type="dxa"/>
            <w:tcBorders>
              <w:top w:val="nil"/>
              <w:left w:val="nil"/>
              <w:bottom w:val="nil"/>
              <w:right w:val="nil"/>
            </w:tcBorders>
            <w:shd w:val="clear" w:color="000000" w:fill="FFFFFF"/>
            <w:noWrap/>
            <w:hideMark/>
          </w:tcPr>
          <w:p w14:paraId="530A00B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(37.7)</w:t>
            </w:r>
          </w:p>
        </w:tc>
        <w:tc>
          <w:tcPr>
            <w:tcW w:w="837" w:type="dxa"/>
            <w:tcBorders>
              <w:top w:val="nil"/>
              <w:left w:val="nil"/>
              <w:bottom w:val="nil"/>
              <w:right w:val="nil"/>
            </w:tcBorders>
            <w:shd w:val="clear" w:color="000000" w:fill="FFFFFF"/>
            <w:noWrap/>
            <w:hideMark/>
          </w:tcPr>
          <w:p w14:paraId="41CAE9D0"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w:t>
            </w:r>
          </w:p>
        </w:tc>
      </w:tr>
      <w:tr w:rsidR="003D58B4" w:rsidRPr="003D58B4" w14:paraId="184868C5" w14:textId="77777777" w:rsidTr="003D58B4">
        <w:trPr>
          <w:trHeight w:val="240"/>
        </w:trPr>
        <w:tc>
          <w:tcPr>
            <w:tcW w:w="3512" w:type="dxa"/>
            <w:gridSpan w:val="2"/>
            <w:tcBorders>
              <w:top w:val="nil"/>
              <w:left w:val="nil"/>
              <w:bottom w:val="nil"/>
              <w:right w:val="nil"/>
            </w:tcBorders>
            <w:shd w:val="clear" w:color="000000" w:fill="FFFFFF"/>
            <w:noWrap/>
            <w:vAlign w:val="bottom"/>
            <w:hideMark/>
          </w:tcPr>
          <w:p w14:paraId="50E8DAAF"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Employer size, (No. %)</w:t>
            </w:r>
          </w:p>
        </w:tc>
        <w:tc>
          <w:tcPr>
            <w:tcW w:w="449" w:type="dxa"/>
            <w:tcBorders>
              <w:top w:val="nil"/>
              <w:left w:val="nil"/>
              <w:bottom w:val="nil"/>
              <w:right w:val="nil"/>
            </w:tcBorders>
            <w:shd w:val="clear" w:color="000000" w:fill="FFFFFF"/>
            <w:noWrap/>
            <w:hideMark/>
          </w:tcPr>
          <w:p w14:paraId="101A45A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03" w:type="dxa"/>
            <w:tcBorders>
              <w:top w:val="nil"/>
              <w:left w:val="nil"/>
              <w:bottom w:val="nil"/>
              <w:right w:val="nil"/>
            </w:tcBorders>
            <w:shd w:val="clear" w:color="000000" w:fill="FFFFFF"/>
            <w:noWrap/>
            <w:hideMark/>
          </w:tcPr>
          <w:p w14:paraId="5AEE64C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49" w:type="dxa"/>
            <w:tcBorders>
              <w:top w:val="nil"/>
              <w:left w:val="nil"/>
              <w:bottom w:val="nil"/>
              <w:right w:val="nil"/>
            </w:tcBorders>
            <w:shd w:val="clear" w:color="000000" w:fill="FFFFFF"/>
            <w:noWrap/>
            <w:hideMark/>
          </w:tcPr>
          <w:p w14:paraId="069D8CC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03" w:type="dxa"/>
            <w:tcBorders>
              <w:top w:val="nil"/>
              <w:left w:val="nil"/>
              <w:bottom w:val="nil"/>
              <w:right w:val="nil"/>
            </w:tcBorders>
            <w:shd w:val="clear" w:color="000000" w:fill="FFFFFF"/>
            <w:noWrap/>
            <w:hideMark/>
          </w:tcPr>
          <w:p w14:paraId="652E574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832" w:type="dxa"/>
            <w:tcBorders>
              <w:top w:val="nil"/>
              <w:left w:val="nil"/>
              <w:bottom w:val="nil"/>
              <w:right w:val="nil"/>
            </w:tcBorders>
            <w:shd w:val="clear" w:color="000000" w:fill="FFFFFF"/>
            <w:noWrap/>
            <w:hideMark/>
          </w:tcPr>
          <w:p w14:paraId="3DD7265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0.69</w:t>
            </w:r>
          </w:p>
        </w:tc>
        <w:tc>
          <w:tcPr>
            <w:tcW w:w="461" w:type="dxa"/>
            <w:tcBorders>
              <w:top w:val="nil"/>
              <w:left w:val="nil"/>
              <w:bottom w:val="nil"/>
              <w:right w:val="nil"/>
            </w:tcBorders>
            <w:shd w:val="clear" w:color="000000" w:fill="FFFFFF"/>
            <w:noWrap/>
            <w:hideMark/>
          </w:tcPr>
          <w:p w14:paraId="01E6D8D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22" w:type="dxa"/>
            <w:tcBorders>
              <w:top w:val="nil"/>
              <w:left w:val="nil"/>
              <w:bottom w:val="nil"/>
              <w:right w:val="nil"/>
            </w:tcBorders>
            <w:shd w:val="clear" w:color="000000" w:fill="FFFFFF"/>
            <w:noWrap/>
            <w:hideMark/>
          </w:tcPr>
          <w:p w14:paraId="101A301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614" w:type="dxa"/>
            <w:tcBorders>
              <w:top w:val="nil"/>
              <w:left w:val="nil"/>
              <w:bottom w:val="nil"/>
              <w:right w:val="nil"/>
            </w:tcBorders>
            <w:shd w:val="clear" w:color="000000" w:fill="FFFFFF"/>
            <w:noWrap/>
            <w:hideMark/>
          </w:tcPr>
          <w:p w14:paraId="57B29BD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722" w:type="dxa"/>
            <w:tcBorders>
              <w:top w:val="nil"/>
              <w:left w:val="nil"/>
              <w:bottom w:val="nil"/>
              <w:right w:val="nil"/>
            </w:tcBorders>
            <w:shd w:val="clear" w:color="000000" w:fill="FFFFFF"/>
            <w:noWrap/>
            <w:hideMark/>
          </w:tcPr>
          <w:p w14:paraId="7A12A47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w:t>
            </w:r>
          </w:p>
        </w:tc>
        <w:tc>
          <w:tcPr>
            <w:tcW w:w="837" w:type="dxa"/>
            <w:tcBorders>
              <w:top w:val="nil"/>
              <w:left w:val="nil"/>
              <w:bottom w:val="nil"/>
              <w:right w:val="nil"/>
            </w:tcBorders>
            <w:shd w:val="clear" w:color="000000" w:fill="FFFFFF"/>
            <w:noWrap/>
            <w:hideMark/>
          </w:tcPr>
          <w:p w14:paraId="383D072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0.05</w:t>
            </w:r>
          </w:p>
        </w:tc>
      </w:tr>
      <w:tr w:rsidR="003D58B4" w:rsidRPr="003D58B4" w14:paraId="676C4506" w14:textId="77777777" w:rsidTr="003D58B4">
        <w:trPr>
          <w:trHeight w:val="240"/>
        </w:trPr>
        <w:tc>
          <w:tcPr>
            <w:tcW w:w="356" w:type="dxa"/>
            <w:tcBorders>
              <w:top w:val="nil"/>
              <w:left w:val="nil"/>
              <w:bottom w:val="nil"/>
              <w:right w:val="nil"/>
            </w:tcBorders>
            <w:shd w:val="clear" w:color="000000" w:fill="FFFFFF"/>
            <w:noWrap/>
            <w:vAlign w:val="bottom"/>
            <w:hideMark/>
          </w:tcPr>
          <w:p w14:paraId="2CE7FBE0" w14:textId="77777777" w:rsidR="003D58B4" w:rsidRPr="003D58B4" w:rsidRDefault="003D58B4" w:rsidP="003D58B4">
            <w:pPr>
              <w:spacing w:after="0" w:line="240" w:lineRule="auto"/>
              <w:rPr>
                <w:rFonts w:ascii="Calibri" w:eastAsia="Times New Roman" w:hAnsi="Calibri" w:cs="Times New Roman"/>
                <w:b/>
                <w:bCs/>
                <w:color w:val="000000"/>
                <w:sz w:val="18"/>
                <w:szCs w:val="18"/>
              </w:rPr>
            </w:pPr>
            <w:r w:rsidRPr="003D58B4">
              <w:rPr>
                <w:rFonts w:ascii="Calibri" w:eastAsia="Times New Roman" w:hAnsi="Calibri" w:cs="Times New Roman"/>
                <w:b/>
                <w:bCs/>
                <w:color w:val="000000"/>
                <w:sz w:val="18"/>
                <w:szCs w:val="18"/>
              </w:rPr>
              <w:t xml:space="preserve"> </w:t>
            </w:r>
          </w:p>
        </w:tc>
        <w:tc>
          <w:tcPr>
            <w:tcW w:w="3156" w:type="dxa"/>
            <w:tcBorders>
              <w:top w:val="nil"/>
              <w:left w:val="nil"/>
              <w:bottom w:val="nil"/>
              <w:right w:val="nil"/>
            </w:tcBorders>
            <w:shd w:val="clear" w:color="000000" w:fill="FFFFFF"/>
            <w:noWrap/>
            <w:hideMark/>
          </w:tcPr>
          <w:p w14:paraId="5AB67D97"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Less than 100 Employees</w:t>
            </w:r>
          </w:p>
        </w:tc>
        <w:tc>
          <w:tcPr>
            <w:tcW w:w="449" w:type="dxa"/>
            <w:tcBorders>
              <w:top w:val="nil"/>
              <w:left w:val="nil"/>
              <w:bottom w:val="nil"/>
              <w:right w:val="nil"/>
            </w:tcBorders>
            <w:shd w:val="clear" w:color="000000" w:fill="FFFFFF"/>
            <w:noWrap/>
            <w:hideMark/>
          </w:tcPr>
          <w:p w14:paraId="25FCF30F"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169</w:t>
            </w:r>
          </w:p>
        </w:tc>
        <w:tc>
          <w:tcPr>
            <w:tcW w:w="703" w:type="dxa"/>
            <w:tcBorders>
              <w:top w:val="nil"/>
              <w:left w:val="nil"/>
              <w:bottom w:val="nil"/>
              <w:right w:val="nil"/>
            </w:tcBorders>
            <w:shd w:val="clear" w:color="000000" w:fill="FFFFFF"/>
            <w:noWrap/>
            <w:hideMark/>
          </w:tcPr>
          <w:p w14:paraId="74053AD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(20.9)</w:t>
            </w:r>
          </w:p>
        </w:tc>
        <w:tc>
          <w:tcPr>
            <w:tcW w:w="749" w:type="dxa"/>
            <w:tcBorders>
              <w:top w:val="nil"/>
              <w:left w:val="nil"/>
              <w:bottom w:val="nil"/>
              <w:right w:val="nil"/>
            </w:tcBorders>
            <w:shd w:val="clear" w:color="000000" w:fill="FFFFFF"/>
            <w:noWrap/>
            <w:hideMark/>
          </w:tcPr>
          <w:p w14:paraId="07AE893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6479</w:t>
            </w:r>
          </w:p>
        </w:tc>
        <w:tc>
          <w:tcPr>
            <w:tcW w:w="703" w:type="dxa"/>
            <w:tcBorders>
              <w:top w:val="nil"/>
              <w:left w:val="nil"/>
              <w:bottom w:val="nil"/>
              <w:right w:val="nil"/>
            </w:tcBorders>
            <w:shd w:val="clear" w:color="000000" w:fill="FFFFFF"/>
            <w:noWrap/>
            <w:hideMark/>
          </w:tcPr>
          <w:p w14:paraId="4DD2F7C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(42.3)</w:t>
            </w:r>
          </w:p>
        </w:tc>
        <w:tc>
          <w:tcPr>
            <w:tcW w:w="832" w:type="dxa"/>
            <w:tcBorders>
              <w:top w:val="nil"/>
              <w:left w:val="nil"/>
              <w:bottom w:val="nil"/>
              <w:right w:val="nil"/>
            </w:tcBorders>
            <w:shd w:val="clear" w:color="000000" w:fill="FFFFFF"/>
            <w:noWrap/>
            <w:hideMark/>
          </w:tcPr>
          <w:p w14:paraId="31790768"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c>
          <w:tcPr>
            <w:tcW w:w="461" w:type="dxa"/>
            <w:tcBorders>
              <w:top w:val="nil"/>
              <w:left w:val="nil"/>
              <w:bottom w:val="nil"/>
              <w:right w:val="nil"/>
            </w:tcBorders>
            <w:shd w:val="clear" w:color="000000" w:fill="FFFFFF"/>
            <w:noWrap/>
            <w:hideMark/>
          </w:tcPr>
          <w:p w14:paraId="0B1DE06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169</w:t>
            </w:r>
          </w:p>
        </w:tc>
        <w:tc>
          <w:tcPr>
            <w:tcW w:w="722" w:type="dxa"/>
            <w:tcBorders>
              <w:top w:val="nil"/>
              <w:left w:val="nil"/>
              <w:bottom w:val="nil"/>
              <w:right w:val="nil"/>
            </w:tcBorders>
            <w:shd w:val="clear" w:color="000000" w:fill="FFFFFF"/>
            <w:noWrap/>
            <w:hideMark/>
          </w:tcPr>
          <w:p w14:paraId="143664B3"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(21.1)</w:t>
            </w:r>
          </w:p>
        </w:tc>
        <w:tc>
          <w:tcPr>
            <w:tcW w:w="614" w:type="dxa"/>
            <w:tcBorders>
              <w:top w:val="nil"/>
              <w:left w:val="nil"/>
              <w:bottom w:val="nil"/>
              <w:right w:val="nil"/>
            </w:tcBorders>
            <w:shd w:val="clear" w:color="000000" w:fill="FFFFFF"/>
            <w:noWrap/>
            <w:hideMark/>
          </w:tcPr>
          <w:p w14:paraId="05C1F0FC"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344</w:t>
            </w:r>
          </w:p>
        </w:tc>
        <w:tc>
          <w:tcPr>
            <w:tcW w:w="722" w:type="dxa"/>
            <w:tcBorders>
              <w:top w:val="nil"/>
              <w:left w:val="nil"/>
              <w:bottom w:val="nil"/>
              <w:right w:val="nil"/>
            </w:tcBorders>
            <w:shd w:val="clear" w:color="000000" w:fill="FFFFFF"/>
            <w:noWrap/>
            <w:hideMark/>
          </w:tcPr>
          <w:p w14:paraId="7C46B1BC"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(21.8)</w:t>
            </w:r>
          </w:p>
        </w:tc>
        <w:tc>
          <w:tcPr>
            <w:tcW w:w="837" w:type="dxa"/>
            <w:tcBorders>
              <w:top w:val="nil"/>
              <w:left w:val="nil"/>
              <w:bottom w:val="nil"/>
              <w:right w:val="nil"/>
            </w:tcBorders>
            <w:shd w:val="clear" w:color="000000" w:fill="FFFFFF"/>
            <w:noWrap/>
            <w:hideMark/>
          </w:tcPr>
          <w:p w14:paraId="3F1D705C" w14:textId="77777777" w:rsidR="003D58B4" w:rsidRPr="003D58B4" w:rsidRDefault="003D58B4" w:rsidP="003D58B4">
            <w:pPr>
              <w:spacing w:after="0" w:line="240" w:lineRule="auto"/>
              <w:jc w:val="center"/>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 xml:space="preserve"> </w:t>
            </w:r>
          </w:p>
        </w:tc>
      </w:tr>
      <w:tr w:rsidR="003D58B4" w:rsidRPr="003D58B4" w14:paraId="12B0D7EC" w14:textId="77777777" w:rsidTr="003D58B4">
        <w:trPr>
          <w:trHeight w:val="240"/>
        </w:trPr>
        <w:tc>
          <w:tcPr>
            <w:tcW w:w="356" w:type="dxa"/>
            <w:tcBorders>
              <w:top w:val="nil"/>
              <w:left w:val="nil"/>
              <w:bottom w:val="nil"/>
              <w:right w:val="nil"/>
            </w:tcBorders>
            <w:shd w:val="clear" w:color="000000" w:fill="FFFFFF"/>
            <w:noWrap/>
            <w:vAlign w:val="bottom"/>
            <w:hideMark/>
          </w:tcPr>
          <w:p w14:paraId="3FA0DB95" w14:textId="77777777" w:rsidR="003D58B4" w:rsidRPr="003D58B4" w:rsidRDefault="003D58B4" w:rsidP="003D58B4">
            <w:pPr>
              <w:spacing w:after="0" w:line="240" w:lineRule="auto"/>
              <w:rPr>
                <w:rFonts w:ascii="Calibri" w:eastAsia="Times New Roman" w:hAnsi="Calibri" w:cs="Times New Roman"/>
                <w:color w:val="000000"/>
                <w:sz w:val="16"/>
                <w:szCs w:val="16"/>
              </w:rPr>
            </w:pPr>
            <w:r w:rsidRPr="003D58B4">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1914CC4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101-500 Employees</w:t>
            </w:r>
          </w:p>
        </w:tc>
        <w:tc>
          <w:tcPr>
            <w:tcW w:w="449" w:type="dxa"/>
            <w:tcBorders>
              <w:top w:val="nil"/>
              <w:left w:val="nil"/>
              <w:bottom w:val="nil"/>
              <w:right w:val="nil"/>
            </w:tcBorders>
            <w:shd w:val="clear" w:color="000000" w:fill="FFFFFF"/>
            <w:noWrap/>
            <w:hideMark/>
          </w:tcPr>
          <w:p w14:paraId="4DECAD6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163</w:t>
            </w:r>
          </w:p>
        </w:tc>
        <w:tc>
          <w:tcPr>
            <w:tcW w:w="703" w:type="dxa"/>
            <w:tcBorders>
              <w:top w:val="nil"/>
              <w:left w:val="nil"/>
              <w:bottom w:val="nil"/>
              <w:right w:val="nil"/>
            </w:tcBorders>
            <w:shd w:val="clear" w:color="000000" w:fill="FFFFFF"/>
            <w:noWrap/>
            <w:hideMark/>
          </w:tcPr>
          <w:p w14:paraId="0BC4654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(20.2)</w:t>
            </w:r>
          </w:p>
        </w:tc>
        <w:tc>
          <w:tcPr>
            <w:tcW w:w="749" w:type="dxa"/>
            <w:tcBorders>
              <w:top w:val="nil"/>
              <w:left w:val="nil"/>
              <w:bottom w:val="nil"/>
              <w:right w:val="nil"/>
            </w:tcBorders>
            <w:shd w:val="clear" w:color="000000" w:fill="FFFFFF"/>
            <w:noWrap/>
            <w:hideMark/>
          </w:tcPr>
          <w:p w14:paraId="086E95D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4383</w:t>
            </w:r>
          </w:p>
        </w:tc>
        <w:tc>
          <w:tcPr>
            <w:tcW w:w="703" w:type="dxa"/>
            <w:tcBorders>
              <w:top w:val="nil"/>
              <w:left w:val="nil"/>
              <w:bottom w:val="nil"/>
              <w:right w:val="nil"/>
            </w:tcBorders>
            <w:shd w:val="clear" w:color="000000" w:fill="FFFFFF"/>
            <w:noWrap/>
            <w:hideMark/>
          </w:tcPr>
          <w:p w14:paraId="1575FC7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(28.6)</w:t>
            </w:r>
          </w:p>
        </w:tc>
        <w:tc>
          <w:tcPr>
            <w:tcW w:w="832" w:type="dxa"/>
            <w:tcBorders>
              <w:top w:val="nil"/>
              <w:left w:val="nil"/>
              <w:bottom w:val="nil"/>
              <w:right w:val="nil"/>
            </w:tcBorders>
            <w:shd w:val="clear" w:color="000000" w:fill="FFFFFF"/>
            <w:noWrap/>
            <w:hideMark/>
          </w:tcPr>
          <w:p w14:paraId="6A625783"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59C41BF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163</w:t>
            </w:r>
          </w:p>
        </w:tc>
        <w:tc>
          <w:tcPr>
            <w:tcW w:w="722" w:type="dxa"/>
            <w:tcBorders>
              <w:top w:val="nil"/>
              <w:left w:val="nil"/>
              <w:bottom w:val="nil"/>
              <w:right w:val="nil"/>
            </w:tcBorders>
            <w:shd w:val="clear" w:color="000000" w:fill="FFFFFF"/>
            <w:noWrap/>
            <w:hideMark/>
          </w:tcPr>
          <w:p w14:paraId="5372021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(20.3)</w:t>
            </w:r>
          </w:p>
        </w:tc>
        <w:tc>
          <w:tcPr>
            <w:tcW w:w="614" w:type="dxa"/>
            <w:tcBorders>
              <w:top w:val="nil"/>
              <w:left w:val="nil"/>
              <w:bottom w:val="nil"/>
              <w:right w:val="nil"/>
            </w:tcBorders>
            <w:shd w:val="clear" w:color="000000" w:fill="FFFFFF"/>
            <w:noWrap/>
            <w:hideMark/>
          </w:tcPr>
          <w:p w14:paraId="57C5FB26"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326</w:t>
            </w:r>
          </w:p>
        </w:tc>
        <w:tc>
          <w:tcPr>
            <w:tcW w:w="722" w:type="dxa"/>
            <w:tcBorders>
              <w:top w:val="nil"/>
              <w:left w:val="nil"/>
              <w:bottom w:val="nil"/>
              <w:right w:val="nil"/>
            </w:tcBorders>
            <w:shd w:val="clear" w:color="000000" w:fill="FFFFFF"/>
            <w:noWrap/>
            <w:hideMark/>
          </w:tcPr>
          <w:p w14:paraId="6140CAC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(20.7)</w:t>
            </w:r>
          </w:p>
        </w:tc>
        <w:tc>
          <w:tcPr>
            <w:tcW w:w="837" w:type="dxa"/>
            <w:tcBorders>
              <w:top w:val="nil"/>
              <w:left w:val="nil"/>
              <w:bottom w:val="nil"/>
              <w:right w:val="nil"/>
            </w:tcBorders>
            <w:shd w:val="clear" w:color="000000" w:fill="FFFFFF"/>
            <w:noWrap/>
            <w:hideMark/>
          </w:tcPr>
          <w:p w14:paraId="0DAF21D0"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r w:rsidR="003D58B4" w:rsidRPr="003D58B4" w14:paraId="38AC87D7" w14:textId="77777777" w:rsidTr="003D58B4">
        <w:trPr>
          <w:trHeight w:val="240"/>
        </w:trPr>
        <w:tc>
          <w:tcPr>
            <w:tcW w:w="356" w:type="dxa"/>
            <w:tcBorders>
              <w:top w:val="nil"/>
              <w:left w:val="nil"/>
              <w:bottom w:val="nil"/>
              <w:right w:val="nil"/>
            </w:tcBorders>
            <w:shd w:val="clear" w:color="000000" w:fill="FFFFFF"/>
            <w:noWrap/>
            <w:vAlign w:val="bottom"/>
            <w:hideMark/>
          </w:tcPr>
          <w:p w14:paraId="2558246B" w14:textId="77777777" w:rsidR="003D58B4" w:rsidRPr="003D58B4" w:rsidRDefault="003D58B4" w:rsidP="003D58B4">
            <w:pPr>
              <w:spacing w:after="0" w:line="240" w:lineRule="auto"/>
              <w:rPr>
                <w:rFonts w:ascii="Calibri" w:eastAsia="Times New Roman" w:hAnsi="Calibri" w:cs="Times New Roman"/>
                <w:color w:val="000000"/>
                <w:sz w:val="16"/>
                <w:szCs w:val="16"/>
              </w:rPr>
            </w:pPr>
            <w:r w:rsidRPr="003D58B4">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4179F2B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501-2500 Employees</w:t>
            </w:r>
          </w:p>
        </w:tc>
        <w:tc>
          <w:tcPr>
            <w:tcW w:w="449" w:type="dxa"/>
            <w:tcBorders>
              <w:top w:val="nil"/>
              <w:left w:val="nil"/>
              <w:bottom w:val="nil"/>
              <w:right w:val="nil"/>
            </w:tcBorders>
            <w:shd w:val="clear" w:color="000000" w:fill="FFFFFF"/>
            <w:noWrap/>
            <w:hideMark/>
          </w:tcPr>
          <w:p w14:paraId="7E621CA4"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189</w:t>
            </w:r>
          </w:p>
        </w:tc>
        <w:tc>
          <w:tcPr>
            <w:tcW w:w="703" w:type="dxa"/>
            <w:tcBorders>
              <w:top w:val="nil"/>
              <w:left w:val="nil"/>
              <w:bottom w:val="nil"/>
              <w:right w:val="nil"/>
            </w:tcBorders>
            <w:shd w:val="clear" w:color="000000" w:fill="FFFFFF"/>
            <w:noWrap/>
            <w:hideMark/>
          </w:tcPr>
          <w:p w14:paraId="14F1B392"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(23.4)</w:t>
            </w:r>
          </w:p>
        </w:tc>
        <w:tc>
          <w:tcPr>
            <w:tcW w:w="749" w:type="dxa"/>
            <w:tcBorders>
              <w:top w:val="nil"/>
              <w:left w:val="nil"/>
              <w:bottom w:val="nil"/>
              <w:right w:val="nil"/>
            </w:tcBorders>
            <w:shd w:val="clear" w:color="000000" w:fill="FFFFFF"/>
            <w:noWrap/>
            <w:hideMark/>
          </w:tcPr>
          <w:p w14:paraId="1782A269"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2660</w:t>
            </w:r>
          </w:p>
        </w:tc>
        <w:tc>
          <w:tcPr>
            <w:tcW w:w="703" w:type="dxa"/>
            <w:tcBorders>
              <w:top w:val="nil"/>
              <w:left w:val="nil"/>
              <w:bottom w:val="nil"/>
              <w:right w:val="nil"/>
            </w:tcBorders>
            <w:shd w:val="clear" w:color="000000" w:fill="FFFFFF"/>
            <w:noWrap/>
            <w:hideMark/>
          </w:tcPr>
          <w:p w14:paraId="099D5CB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(17.4)</w:t>
            </w:r>
          </w:p>
        </w:tc>
        <w:tc>
          <w:tcPr>
            <w:tcW w:w="832" w:type="dxa"/>
            <w:tcBorders>
              <w:top w:val="nil"/>
              <w:left w:val="nil"/>
              <w:bottom w:val="nil"/>
              <w:right w:val="nil"/>
            </w:tcBorders>
            <w:shd w:val="clear" w:color="000000" w:fill="FFFFFF"/>
            <w:noWrap/>
            <w:hideMark/>
          </w:tcPr>
          <w:p w14:paraId="74FB2974"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627237D5"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189</w:t>
            </w:r>
          </w:p>
        </w:tc>
        <w:tc>
          <w:tcPr>
            <w:tcW w:w="722" w:type="dxa"/>
            <w:tcBorders>
              <w:top w:val="nil"/>
              <w:left w:val="nil"/>
              <w:bottom w:val="nil"/>
              <w:right w:val="nil"/>
            </w:tcBorders>
            <w:shd w:val="clear" w:color="000000" w:fill="FFFFFF"/>
            <w:noWrap/>
            <w:hideMark/>
          </w:tcPr>
          <w:p w14:paraId="52D4C76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(23.6)</w:t>
            </w:r>
          </w:p>
        </w:tc>
        <w:tc>
          <w:tcPr>
            <w:tcW w:w="614" w:type="dxa"/>
            <w:tcBorders>
              <w:top w:val="nil"/>
              <w:left w:val="nil"/>
              <w:bottom w:val="nil"/>
              <w:right w:val="nil"/>
            </w:tcBorders>
            <w:shd w:val="clear" w:color="000000" w:fill="FFFFFF"/>
            <w:noWrap/>
            <w:hideMark/>
          </w:tcPr>
          <w:p w14:paraId="47F2E99A"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361</w:t>
            </w:r>
          </w:p>
        </w:tc>
        <w:tc>
          <w:tcPr>
            <w:tcW w:w="722" w:type="dxa"/>
            <w:tcBorders>
              <w:top w:val="nil"/>
              <w:left w:val="nil"/>
              <w:bottom w:val="nil"/>
              <w:right w:val="nil"/>
            </w:tcBorders>
            <w:shd w:val="clear" w:color="000000" w:fill="FFFFFF"/>
            <w:noWrap/>
            <w:hideMark/>
          </w:tcPr>
          <w:p w14:paraId="4CF88659"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(22.9)</w:t>
            </w:r>
          </w:p>
        </w:tc>
        <w:tc>
          <w:tcPr>
            <w:tcW w:w="837" w:type="dxa"/>
            <w:tcBorders>
              <w:top w:val="nil"/>
              <w:left w:val="nil"/>
              <w:bottom w:val="nil"/>
              <w:right w:val="nil"/>
            </w:tcBorders>
            <w:shd w:val="clear" w:color="000000" w:fill="FFFFFF"/>
            <w:noWrap/>
            <w:hideMark/>
          </w:tcPr>
          <w:p w14:paraId="7546D028"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r w:rsidR="003D58B4" w:rsidRPr="003D58B4" w14:paraId="4B110647" w14:textId="77777777" w:rsidTr="003D58B4">
        <w:trPr>
          <w:trHeight w:val="240"/>
        </w:trPr>
        <w:tc>
          <w:tcPr>
            <w:tcW w:w="356" w:type="dxa"/>
            <w:tcBorders>
              <w:top w:val="nil"/>
              <w:left w:val="nil"/>
              <w:bottom w:val="nil"/>
              <w:right w:val="nil"/>
            </w:tcBorders>
            <w:shd w:val="clear" w:color="000000" w:fill="FFFFFF"/>
            <w:noWrap/>
            <w:vAlign w:val="bottom"/>
            <w:hideMark/>
          </w:tcPr>
          <w:p w14:paraId="4DE41FF1" w14:textId="77777777" w:rsidR="003D58B4" w:rsidRPr="003D58B4" w:rsidRDefault="003D58B4" w:rsidP="003D58B4">
            <w:pPr>
              <w:spacing w:after="0" w:line="240" w:lineRule="auto"/>
              <w:rPr>
                <w:rFonts w:ascii="Calibri" w:eastAsia="Times New Roman" w:hAnsi="Calibri" w:cs="Times New Roman"/>
                <w:color w:val="000000"/>
                <w:sz w:val="16"/>
                <w:szCs w:val="16"/>
              </w:rPr>
            </w:pPr>
            <w:r w:rsidRPr="003D58B4">
              <w:rPr>
                <w:rFonts w:ascii="Calibri" w:eastAsia="Times New Roman" w:hAnsi="Calibri" w:cs="Times New Roman"/>
                <w:color w:val="000000"/>
                <w:sz w:val="16"/>
                <w:szCs w:val="16"/>
              </w:rPr>
              <w:t xml:space="preserve"> </w:t>
            </w:r>
          </w:p>
        </w:tc>
        <w:tc>
          <w:tcPr>
            <w:tcW w:w="3156" w:type="dxa"/>
            <w:tcBorders>
              <w:top w:val="nil"/>
              <w:left w:val="nil"/>
              <w:bottom w:val="nil"/>
              <w:right w:val="nil"/>
            </w:tcBorders>
            <w:shd w:val="clear" w:color="000000" w:fill="FFFFFF"/>
            <w:noWrap/>
            <w:hideMark/>
          </w:tcPr>
          <w:p w14:paraId="43AA3C6A"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2500+ Employees</w:t>
            </w:r>
          </w:p>
        </w:tc>
        <w:tc>
          <w:tcPr>
            <w:tcW w:w="449" w:type="dxa"/>
            <w:tcBorders>
              <w:top w:val="nil"/>
              <w:left w:val="nil"/>
              <w:bottom w:val="nil"/>
              <w:right w:val="nil"/>
            </w:tcBorders>
            <w:shd w:val="clear" w:color="000000" w:fill="FFFFFF"/>
            <w:noWrap/>
            <w:hideMark/>
          </w:tcPr>
          <w:p w14:paraId="74DC7C81"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286</w:t>
            </w:r>
          </w:p>
        </w:tc>
        <w:tc>
          <w:tcPr>
            <w:tcW w:w="703" w:type="dxa"/>
            <w:tcBorders>
              <w:top w:val="nil"/>
              <w:left w:val="nil"/>
              <w:bottom w:val="nil"/>
              <w:right w:val="nil"/>
            </w:tcBorders>
            <w:shd w:val="clear" w:color="000000" w:fill="FFFFFF"/>
            <w:noWrap/>
            <w:hideMark/>
          </w:tcPr>
          <w:p w14:paraId="49A16470"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(35.4)</w:t>
            </w:r>
          </w:p>
        </w:tc>
        <w:tc>
          <w:tcPr>
            <w:tcW w:w="749" w:type="dxa"/>
            <w:tcBorders>
              <w:top w:val="nil"/>
              <w:left w:val="nil"/>
              <w:bottom w:val="nil"/>
              <w:right w:val="nil"/>
            </w:tcBorders>
            <w:shd w:val="clear" w:color="000000" w:fill="FFFFFF"/>
            <w:noWrap/>
            <w:hideMark/>
          </w:tcPr>
          <w:p w14:paraId="4F96F507"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1795</w:t>
            </w:r>
          </w:p>
        </w:tc>
        <w:tc>
          <w:tcPr>
            <w:tcW w:w="703" w:type="dxa"/>
            <w:tcBorders>
              <w:top w:val="nil"/>
              <w:left w:val="nil"/>
              <w:bottom w:val="nil"/>
              <w:right w:val="nil"/>
            </w:tcBorders>
            <w:shd w:val="clear" w:color="000000" w:fill="FFFFFF"/>
            <w:noWrap/>
            <w:hideMark/>
          </w:tcPr>
          <w:p w14:paraId="6D42ED4D"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(11.7)</w:t>
            </w:r>
          </w:p>
        </w:tc>
        <w:tc>
          <w:tcPr>
            <w:tcW w:w="832" w:type="dxa"/>
            <w:tcBorders>
              <w:top w:val="nil"/>
              <w:left w:val="nil"/>
              <w:bottom w:val="nil"/>
              <w:right w:val="nil"/>
            </w:tcBorders>
            <w:shd w:val="clear" w:color="000000" w:fill="FFFFFF"/>
            <w:noWrap/>
            <w:hideMark/>
          </w:tcPr>
          <w:p w14:paraId="3B96820F"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c>
          <w:tcPr>
            <w:tcW w:w="461" w:type="dxa"/>
            <w:tcBorders>
              <w:top w:val="nil"/>
              <w:left w:val="nil"/>
              <w:bottom w:val="nil"/>
              <w:right w:val="nil"/>
            </w:tcBorders>
            <w:shd w:val="clear" w:color="000000" w:fill="FFFFFF"/>
            <w:noWrap/>
            <w:hideMark/>
          </w:tcPr>
          <w:p w14:paraId="18084042"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280</w:t>
            </w:r>
          </w:p>
        </w:tc>
        <w:tc>
          <w:tcPr>
            <w:tcW w:w="722" w:type="dxa"/>
            <w:tcBorders>
              <w:top w:val="nil"/>
              <w:left w:val="nil"/>
              <w:bottom w:val="nil"/>
              <w:right w:val="nil"/>
            </w:tcBorders>
            <w:shd w:val="clear" w:color="000000" w:fill="FFFFFF"/>
            <w:noWrap/>
            <w:hideMark/>
          </w:tcPr>
          <w:p w14:paraId="0F95F068"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(35.0)</w:t>
            </w:r>
          </w:p>
        </w:tc>
        <w:tc>
          <w:tcPr>
            <w:tcW w:w="614" w:type="dxa"/>
            <w:tcBorders>
              <w:top w:val="nil"/>
              <w:left w:val="nil"/>
              <w:bottom w:val="nil"/>
              <w:right w:val="nil"/>
            </w:tcBorders>
            <w:shd w:val="clear" w:color="000000" w:fill="FFFFFF"/>
            <w:noWrap/>
            <w:hideMark/>
          </w:tcPr>
          <w:p w14:paraId="063483C0" w14:textId="77777777" w:rsidR="003D58B4" w:rsidRPr="003D58B4" w:rsidRDefault="003D58B4" w:rsidP="003D58B4">
            <w:pPr>
              <w:spacing w:after="0" w:line="240" w:lineRule="auto"/>
              <w:jc w:val="right"/>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546</w:t>
            </w:r>
          </w:p>
        </w:tc>
        <w:tc>
          <w:tcPr>
            <w:tcW w:w="722" w:type="dxa"/>
            <w:tcBorders>
              <w:top w:val="nil"/>
              <w:left w:val="nil"/>
              <w:bottom w:val="nil"/>
              <w:right w:val="nil"/>
            </w:tcBorders>
            <w:shd w:val="clear" w:color="000000" w:fill="FFFFFF"/>
            <w:noWrap/>
            <w:hideMark/>
          </w:tcPr>
          <w:p w14:paraId="27AF188B" w14:textId="77777777" w:rsidR="003D58B4" w:rsidRPr="003D58B4" w:rsidRDefault="003D58B4" w:rsidP="003D58B4">
            <w:pPr>
              <w:spacing w:after="0" w:line="240" w:lineRule="auto"/>
              <w:rPr>
                <w:rFonts w:ascii="Calibri" w:eastAsia="Times New Roman" w:hAnsi="Calibri" w:cs="Times New Roman"/>
                <w:color w:val="000000"/>
                <w:sz w:val="18"/>
                <w:szCs w:val="18"/>
              </w:rPr>
            </w:pPr>
            <w:r w:rsidRPr="003D58B4">
              <w:rPr>
                <w:rFonts w:ascii="Calibri" w:eastAsia="Times New Roman" w:hAnsi="Calibri" w:cs="Times New Roman"/>
                <w:color w:val="000000"/>
                <w:sz w:val="18"/>
                <w:szCs w:val="18"/>
              </w:rPr>
              <w:t>(34.6)</w:t>
            </w:r>
          </w:p>
        </w:tc>
        <w:tc>
          <w:tcPr>
            <w:tcW w:w="837" w:type="dxa"/>
            <w:tcBorders>
              <w:top w:val="nil"/>
              <w:left w:val="nil"/>
              <w:bottom w:val="nil"/>
              <w:right w:val="nil"/>
            </w:tcBorders>
            <w:shd w:val="clear" w:color="000000" w:fill="FFFFFF"/>
            <w:noWrap/>
            <w:hideMark/>
          </w:tcPr>
          <w:p w14:paraId="034D6464" w14:textId="77777777" w:rsidR="003D58B4" w:rsidRPr="003D58B4" w:rsidRDefault="003D58B4" w:rsidP="003D58B4">
            <w:pPr>
              <w:spacing w:after="0" w:line="240" w:lineRule="auto"/>
              <w:jc w:val="center"/>
              <w:rPr>
                <w:rFonts w:ascii="Calibri" w:eastAsia="Times New Roman" w:hAnsi="Calibri" w:cs="Times New Roman"/>
                <w:color w:val="000000"/>
              </w:rPr>
            </w:pPr>
            <w:r w:rsidRPr="003D58B4">
              <w:rPr>
                <w:rFonts w:ascii="Calibri" w:eastAsia="Times New Roman" w:hAnsi="Calibri" w:cs="Times New Roman"/>
                <w:color w:val="000000"/>
              </w:rPr>
              <w:t xml:space="preserve"> </w:t>
            </w:r>
          </w:p>
        </w:tc>
      </w:tr>
    </w:tbl>
    <w:p w14:paraId="31154C68" w14:textId="6A2FEA77" w:rsidR="00726A2D" w:rsidRDefault="00726A2D" w:rsidP="00726A2D">
      <w:pPr>
        <w:spacing w:after="0" w:line="240" w:lineRule="auto"/>
        <w:rPr>
          <w:rFonts w:ascii="Calibri" w:eastAsia="Times New Roman" w:hAnsi="Calibri" w:cs="Calibri"/>
          <w:color w:val="000000"/>
          <w:sz w:val="18"/>
          <w:szCs w:val="18"/>
        </w:rPr>
      </w:pPr>
      <w:r w:rsidRPr="007E159E">
        <w:rPr>
          <w:rFonts w:ascii="Calibri" w:eastAsia="Times New Roman" w:hAnsi="Calibri" w:cs="Calibri"/>
          <w:color w:val="000000"/>
          <w:sz w:val="18"/>
          <w:szCs w:val="18"/>
        </w:rPr>
        <w:t xml:space="preserve">Abbreviations: ACG, Adjusted Clinical Group; PDL, Preventive Drug List; OOP, out of pocket.  </w:t>
      </w:r>
      <w:r w:rsidRPr="007E159E">
        <w:rPr>
          <w:rFonts w:ascii="Calibri" w:eastAsia="Times New Roman" w:hAnsi="Calibri" w:cs="Calibri"/>
          <w:color w:val="000000"/>
          <w:sz w:val="18"/>
          <w:szCs w:val="18"/>
          <w:vertAlign w:val="superscript"/>
        </w:rPr>
        <w:t>1</w:t>
      </w:r>
      <w:r w:rsidRPr="007E159E">
        <w:rPr>
          <w:rFonts w:ascii="Calibri" w:eastAsia="Times New Roman" w:hAnsi="Calibri" w:cs="Calibri"/>
          <w:color w:val="000000"/>
          <w:sz w:val="18"/>
          <w:szCs w:val="18"/>
        </w:rPr>
        <w:t xml:space="preserve"> Defined as high-income. </w:t>
      </w:r>
      <w:r w:rsidRPr="007E159E">
        <w:rPr>
          <w:rFonts w:ascii="Calibri" w:eastAsia="Times New Roman" w:hAnsi="Calibri" w:cs="Calibri"/>
          <w:color w:val="000000"/>
          <w:sz w:val="18"/>
          <w:szCs w:val="18"/>
          <w:vertAlign w:val="superscript"/>
        </w:rPr>
        <w:t>2</w:t>
      </w:r>
      <w:r w:rsidRPr="007E159E">
        <w:rPr>
          <w:rFonts w:ascii="Calibri" w:eastAsia="Times New Roman" w:hAnsi="Calibri" w:cs="Calibri"/>
          <w:color w:val="000000"/>
          <w:sz w:val="18"/>
          <w:szCs w:val="18"/>
        </w:rPr>
        <w:t xml:space="preserve"> Defined as lower income. </w:t>
      </w:r>
      <w:r w:rsidRPr="007E159E">
        <w:rPr>
          <w:rFonts w:ascii="Calibri" w:eastAsia="Times New Roman" w:hAnsi="Calibri" w:cs="Calibri"/>
          <w:color w:val="000000"/>
          <w:sz w:val="18"/>
          <w:szCs w:val="18"/>
          <w:vertAlign w:val="superscript"/>
        </w:rPr>
        <w:t>3</w:t>
      </w:r>
      <w:r w:rsidRPr="007E159E">
        <w:rPr>
          <w:rFonts w:ascii="Calibri" w:eastAsia="Times New Roman" w:hAnsi="Calibri" w:cs="Calibri"/>
          <w:color w:val="000000"/>
          <w:sz w:val="18"/>
          <w:szCs w:val="18"/>
        </w:rPr>
        <w:t xml:space="preserve"> See manuscript for definition of race/ethnicity categories. </w:t>
      </w:r>
      <w:r w:rsidRPr="007E159E">
        <w:rPr>
          <w:rFonts w:ascii="Calibri" w:eastAsia="Times New Roman" w:hAnsi="Calibri" w:cs="Calibri"/>
          <w:color w:val="000000"/>
          <w:sz w:val="18"/>
          <w:szCs w:val="18"/>
          <w:vertAlign w:val="superscript"/>
        </w:rPr>
        <w:t>*</w:t>
      </w:r>
      <w:r w:rsidRPr="007E159E">
        <w:rPr>
          <w:rFonts w:ascii="Calibri" w:eastAsia="Times New Roman" w:hAnsi="Calibri" w:cs="Calibri"/>
          <w:color w:val="000000"/>
          <w:sz w:val="18"/>
          <w:szCs w:val="18"/>
        </w:rPr>
        <w:t xml:space="preserve"> Lower standardized differences indicate greater similarity. </w:t>
      </w:r>
      <w:r w:rsidRPr="007E159E">
        <w:rPr>
          <w:rFonts w:ascii="Calibri" w:eastAsia="Times New Roman" w:hAnsi="Calibri" w:cs="Calibri"/>
          <w:color w:val="000000"/>
          <w:sz w:val="18"/>
          <w:szCs w:val="18"/>
          <w:vertAlign w:val="superscript"/>
        </w:rPr>
        <w:t>**</w:t>
      </w:r>
      <w:r w:rsidRPr="007E159E">
        <w:rPr>
          <w:rFonts w:ascii="Calibri" w:eastAsia="Times New Roman" w:hAnsi="Calibri" w:cs="Calibri"/>
          <w:color w:val="000000"/>
          <w:sz w:val="18"/>
          <w:szCs w:val="18"/>
        </w:rPr>
        <w:t xml:space="preserve"> An ACG Score of 1.0 represents the mean score of the reference population</w:t>
      </w:r>
    </w:p>
    <w:p w14:paraId="4B42B770" w14:textId="77777777" w:rsidR="00726A2D" w:rsidRPr="007E159E" w:rsidRDefault="00726A2D" w:rsidP="00726A2D">
      <w:pPr>
        <w:spacing w:after="0" w:line="240" w:lineRule="auto"/>
        <w:rPr>
          <w:rFonts w:ascii="Calibri" w:eastAsia="Times New Roman" w:hAnsi="Calibri" w:cs="Calibri"/>
          <w:color w:val="000000"/>
          <w:sz w:val="18"/>
          <w:szCs w:val="18"/>
        </w:rPr>
      </w:pPr>
    </w:p>
    <w:p w14:paraId="480982CF" w14:textId="77777777" w:rsidR="00BA2938" w:rsidRDefault="002B18D9">
      <w:pPr>
        <w:spacing w:after="160" w:line="259" w:lineRule="auto"/>
        <w:rPr>
          <w:sz w:val="18"/>
          <w:szCs w:val="18"/>
        </w:rPr>
        <w:sectPr w:rsidR="00BA2938" w:rsidSect="007604B7">
          <w:pgSz w:w="12240" w:h="15840"/>
          <w:pgMar w:top="720" w:right="720" w:bottom="720" w:left="720" w:header="720" w:footer="720" w:gutter="0"/>
          <w:cols w:space="720"/>
          <w:docGrid w:linePitch="299"/>
        </w:sectPr>
      </w:pPr>
      <w:r>
        <w:rPr>
          <w:sz w:val="18"/>
          <w:szCs w:val="18"/>
        </w:rPr>
        <w:t>Note: Sample characteristics of other subgroups (ACG&lt; 3.0 vs. ACG ≥ 3.0; severe vs. non-severe diabetes; white vs. non-white neighborhood) available on request</w:t>
      </w:r>
    </w:p>
    <w:p w14:paraId="3BE7CC8C" w14:textId="2E656A5F" w:rsidR="00D979C5" w:rsidRDefault="00711477" w:rsidP="00711477">
      <w:pPr>
        <w:spacing w:line="240" w:lineRule="auto"/>
        <w:rPr>
          <w:b/>
        </w:rPr>
      </w:pPr>
      <w:r w:rsidRPr="00C2204F">
        <w:rPr>
          <w:b/>
        </w:rPr>
        <w:lastRenderedPageBreak/>
        <w:t>SDC Table 6a</w:t>
      </w:r>
      <w:r w:rsidR="00095A9D">
        <w:rPr>
          <w:b/>
        </w:rPr>
        <w:t>.</w:t>
      </w:r>
      <w:r>
        <w:rPr>
          <w:b/>
        </w:rPr>
        <w:t xml:space="preserve"> Number </w:t>
      </w:r>
      <w:r w:rsidRPr="00EC1BB6">
        <w:rPr>
          <w:b/>
        </w:rPr>
        <w:t xml:space="preserve">of baseline users, </w:t>
      </w:r>
      <w:r>
        <w:rPr>
          <w:b/>
        </w:rPr>
        <w:t xml:space="preserve">baseline out-of-pocket spending and </w:t>
      </w:r>
      <w:r w:rsidRPr="00EC1BB6">
        <w:rPr>
          <w:b/>
        </w:rPr>
        <w:t xml:space="preserve">number of </w:t>
      </w:r>
      <w:r>
        <w:rPr>
          <w:b/>
        </w:rPr>
        <w:t xml:space="preserve">30-day </w:t>
      </w:r>
      <w:r w:rsidRPr="00EC1BB6">
        <w:rPr>
          <w:b/>
        </w:rPr>
        <w:t>fills, and relative adjusted difference in difference</w:t>
      </w:r>
      <w:r>
        <w:rPr>
          <w:b/>
        </w:rPr>
        <w:t xml:space="preserve">, </w:t>
      </w:r>
      <w:r w:rsidRPr="00EC1BB6">
        <w:rPr>
          <w:b/>
        </w:rPr>
        <w:t xml:space="preserve">by study group </w:t>
      </w:r>
      <w:r>
        <w:rPr>
          <w:b/>
        </w:rPr>
        <w:t>(ACG&lt;3.0, ACG≥3.0, non-severe diabetes)</w:t>
      </w:r>
      <w:r w:rsidR="00BB3DD5" w:rsidRPr="00BB3DD5">
        <w:rPr>
          <w:b/>
        </w:rPr>
        <w:t xml:space="preserve"> </w:t>
      </w:r>
      <w:r w:rsidR="00BB3DD5" w:rsidRPr="00EC1BB6">
        <w:rPr>
          <w:b/>
        </w:rPr>
        <w:t>and therapeutic class</w:t>
      </w:r>
    </w:p>
    <w:tbl>
      <w:tblPr>
        <w:tblW w:w="10931" w:type="dxa"/>
        <w:tblLayout w:type="fixed"/>
        <w:tblCellMar>
          <w:left w:w="29" w:type="dxa"/>
          <w:right w:w="29" w:type="dxa"/>
        </w:tblCellMar>
        <w:tblLook w:val="04A0" w:firstRow="1" w:lastRow="0" w:firstColumn="1" w:lastColumn="0" w:noHBand="0" w:noVBand="1"/>
      </w:tblPr>
      <w:tblGrid>
        <w:gridCol w:w="1710"/>
        <w:gridCol w:w="450"/>
        <w:gridCol w:w="624"/>
        <w:gridCol w:w="6"/>
        <w:gridCol w:w="93"/>
        <w:gridCol w:w="6"/>
        <w:gridCol w:w="662"/>
        <w:gridCol w:w="705"/>
        <w:gridCol w:w="6"/>
        <w:gridCol w:w="662"/>
        <w:gridCol w:w="705"/>
        <w:gridCol w:w="6"/>
        <w:gridCol w:w="728"/>
        <w:gridCol w:w="578"/>
        <w:gridCol w:w="6"/>
        <w:gridCol w:w="76"/>
        <w:gridCol w:w="6"/>
        <w:gridCol w:w="500"/>
        <w:gridCol w:w="792"/>
        <w:gridCol w:w="6"/>
        <w:gridCol w:w="500"/>
        <w:gridCol w:w="751"/>
        <w:gridCol w:w="6"/>
        <w:gridCol w:w="728"/>
        <w:gridCol w:w="613"/>
        <w:gridCol w:w="6"/>
      </w:tblGrid>
      <w:tr w:rsidR="00C2204F" w:rsidRPr="00EA3957" w14:paraId="5B30FC7E" w14:textId="77777777" w:rsidTr="00C2204F">
        <w:trPr>
          <w:gridAfter w:val="1"/>
          <w:wAfter w:w="6" w:type="dxa"/>
          <w:trHeight w:val="288"/>
        </w:trPr>
        <w:tc>
          <w:tcPr>
            <w:tcW w:w="1710" w:type="dxa"/>
            <w:tcBorders>
              <w:top w:val="nil"/>
              <w:left w:val="nil"/>
              <w:bottom w:val="nil"/>
              <w:right w:val="nil"/>
            </w:tcBorders>
            <w:shd w:val="clear" w:color="000000" w:fill="FFFFFF"/>
            <w:noWrap/>
            <w:vAlign w:val="bottom"/>
            <w:hideMark/>
          </w:tcPr>
          <w:p w14:paraId="08F95B30"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1074" w:type="dxa"/>
            <w:gridSpan w:val="2"/>
            <w:vMerge w:val="restart"/>
            <w:tcBorders>
              <w:top w:val="nil"/>
              <w:left w:val="nil"/>
              <w:bottom w:val="nil"/>
              <w:right w:val="nil"/>
            </w:tcBorders>
            <w:shd w:val="clear" w:color="000000" w:fill="FFFFFF"/>
            <w:vAlign w:val="bottom"/>
            <w:hideMark/>
          </w:tcPr>
          <w:p w14:paraId="612BF808"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xml:space="preserve">Number of Baseline users </w:t>
            </w:r>
          </w:p>
        </w:tc>
        <w:tc>
          <w:tcPr>
            <w:tcW w:w="99" w:type="dxa"/>
            <w:gridSpan w:val="2"/>
            <w:tcBorders>
              <w:top w:val="nil"/>
              <w:left w:val="nil"/>
              <w:bottom w:val="nil"/>
              <w:right w:val="nil"/>
            </w:tcBorders>
            <w:shd w:val="clear" w:color="000000" w:fill="FFFFFF"/>
            <w:noWrap/>
            <w:vAlign w:val="bottom"/>
            <w:hideMark/>
          </w:tcPr>
          <w:p w14:paraId="6ED74290"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4058" w:type="dxa"/>
            <w:gridSpan w:val="9"/>
            <w:tcBorders>
              <w:top w:val="nil"/>
              <w:left w:val="nil"/>
              <w:bottom w:val="single" w:sz="4" w:space="0" w:color="auto"/>
              <w:right w:val="nil"/>
            </w:tcBorders>
            <w:shd w:val="clear" w:color="000000" w:fill="FFFFFF"/>
            <w:noWrap/>
            <w:vAlign w:val="bottom"/>
            <w:hideMark/>
          </w:tcPr>
          <w:p w14:paraId="53219196"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Total OOP (CPI-adjusted)</w:t>
            </w:r>
          </w:p>
        </w:tc>
        <w:tc>
          <w:tcPr>
            <w:tcW w:w="82" w:type="dxa"/>
            <w:gridSpan w:val="2"/>
            <w:tcBorders>
              <w:top w:val="nil"/>
              <w:left w:val="nil"/>
              <w:bottom w:val="nil"/>
              <w:right w:val="nil"/>
            </w:tcBorders>
            <w:shd w:val="clear" w:color="000000" w:fill="FFFFFF"/>
            <w:noWrap/>
            <w:vAlign w:val="bottom"/>
            <w:hideMark/>
          </w:tcPr>
          <w:p w14:paraId="49DB0A53"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3902" w:type="dxa"/>
            <w:gridSpan w:val="9"/>
            <w:tcBorders>
              <w:top w:val="nil"/>
              <w:left w:val="nil"/>
              <w:bottom w:val="single" w:sz="4" w:space="0" w:color="auto"/>
              <w:right w:val="nil"/>
            </w:tcBorders>
            <w:shd w:val="clear" w:color="000000" w:fill="FFFFFF"/>
            <w:noWrap/>
            <w:vAlign w:val="bottom"/>
            <w:hideMark/>
          </w:tcPr>
          <w:p w14:paraId="7327DC07"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30d fills per year</w:t>
            </w:r>
          </w:p>
        </w:tc>
      </w:tr>
      <w:tr w:rsidR="00C2204F" w:rsidRPr="00EA3957" w14:paraId="565A4C7C" w14:textId="77777777" w:rsidTr="00C2204F">
        <w:trPr>
          <w:gridAfter w:val="1"/>
          <w:wAfter w:w="6" w:type="dxa"/>
          <w:trHeight w:val="72"/>
        </w:trPr>
        <w:tc>
          <w:tcPr>
            <w:tcW w:w="1710" w:type="dxa"/>
            <w:tcBorders>
              <w:top w:val="nil"/>
              <w:left w:val="nil"/>
              <w:bottom w:val="nil"/>
              <w:right w:val="nil"/>
            </w:tcBorders>
            <w:shd w:val="clear" w:color="000000" w:fill="FFFFFF"/>
            <w:noWrap/>
            <w:vAlign w:val="bottom"/>
            <w:hideMark/>
          </w:tcPr>
          <w:p w14:paraId="015342A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1074" w:type="dxa"/>
            <w:gridSpan w:val="2"/>
            <w:vMerge/>
            <w:tcBorders>
              <w:top w:val="nil"/>
              <w:left w:val="nil"/>
              <w:bottom w:val="nil"/>
              <w:right w:val="nil"/>
            </w:tcBorders>
            <w:vAlign w:val="center"/>
            <w:hideMark/>
          </w:tcPr>
          <w:p w14:paraId="72316C3D" w14:textId="77777777" w:rsidR="00C2204F" w:rsidRPr="00EA3957" w:rsidRDefault="00C2204F" w:rsidP="00C2204F">
            <w:pPr>
              <w:spacing w:after="0" w:line="240" w:lineRule="auto"/>
              <w:rPr>
                <w:rFonts w:ascii="Calibri" w:eastAsia="Times New Roman" w:hAnsi="Calibri" w:cs="Times New Roman"/>
                <w:b/>
                <w:bCs/>
                <w:sz w:val="16"/>
                <w:szCs w:val="16"/>
              </w:rPr>
            </w:pPr>
          </w:p>
        </w:tc>
        <w:tc>
          <w:tcPr>
            <w:tcW w:w="99" w:type="dxa"/>
            <w:gridSpan w:val="2"/>
            <w:tcBorders>
              <w:top w:val="nil"/>
              <w:left w:val="nil"/>
              <w:bottom w:val="nil"/>
              <w:right w:val="nil"/>
            </w:tcBorders>
            <w:shd w:val="clear" w:color="000000" w:fill="FFFFFF"/>
            <w:vAlign w:val="bottom"/>
            <w:hideMark/>
          </w:tcPr>
          <w:p w14:paraId="6D12635C" w14:textId="77777777" w:rsidR="00C2204F" w:rsidRPr="00EA3957" w:rsidRDefault="00C2204F" w:rsidP="00C2204F">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1373" w:type="dxa"/>
            <w:gridSpan w:val="3"/>
            <w:tcBorders>
              <w:top w:val="nil"/>
              <w:left w:val="nil"/>
              <w:bottom w:val="nil"/>
              <w:right w:val="nil"/>
            </w:tcBorders>
            <w:shd w:val="clear" w:color="000000" w:fill="FFFFFF"/>
            <w:vAlign w:val="bottom"/>
            <w:hideMark/>
          </w:tcPr>
          <w:p w14:paraId="757AA7E5"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Baseline</w:t>
            </w:r>
          </w:p>
        </w:tc>
        <w:tc>
          <w:tcPr>
            <w:tcW w:w="1373" w:type="dxa"/>
            <w:gridSpan w:val="3"/>
            <w:tcBorders>
              <w:top w:val="nil"/>
              <w:left w:val="nil"/>
              <w:bottom w:val="nil"/>
              <w:right w:val="nil"/>
            </w:tcBorders>
            <w:shd w:val="clear" w:color="000000" w:fill="FFFFFF"/>
            <w:vAlign w:val="bottom"/>
            <w:hideMark/>
          </w:tcPr>
          <w:p w14:paraId="7D87F68C"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Follow-up</w:t>
            </w:r>
          </w:p>
        </w:tc>
        <w:tc>
          <w:tcPr>
            <w:tcW w:w="1312" w:type="dxa"/>
            <w:gridSpan w:val="3"/>
            <w:tcBorders>
              <w:top w:val="nil"/>
              <w:left w:val="nil"/>
              <w:bottom w:val="nil"/>
              <w:right w:val="nil"/>
            </w:tcBorders>
            <w:shd w:val="clear" w:color="000000" w:fill="FFFFFF"/>
            <w:vAlign w:val="bottom"/>
            <w:hideMark/>
          </w:tcPr>
          <w:p w14:paraId="640A4A86"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Relative change &amp;</w:t>
            </w:r>
          </w:p>
        </w:tc>
        <w:tc>
          <w:tcPr>
            <w:tcW w:w="82" w:type="dxa"/>
            <w:gridSpan w:val="2"/>
            <w:tcBorders>
              <w:top w:val="nil"/>
              <w:left w:val="nil"/>
              <w:bottom w:val="nil"/>
              <w:right w:val="nil"/>
            </w:tcBorders>
            <w:shd w:val="clear" w:color="000000" w:fill="FFFFFF"/>
            <w:vAlign w:val="bottom"/>
            <w:hideMark/>
          </w:tcPr>
          <w:p w14:paraId="79D9E5A5"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1298" w:type="dxa"/>
            <w:gridSpan w:val="3"/>
            <w:tcBorders>
              <w:top w:val="nil"/>
              <w:left w:val="nil"/>
              <w:bottom w:val="nil"/>
              <w:right w:val="nil"/>
            </w:tcBorders>
            <w:shd w:val="clear" w:color="000000" w:fill="FFFFFF"/>
            <w:vAlign w:val="bottom"/>
            <w:hideMark/>
          </w:tcPr>
          <w:p w14:paraId="374BEB85"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Baseline</w:t>
            </w:r>
          </w:p>
        </w:tc>
        <w:tc>
          <w:tcPr>
            <w:tcW w:w="1257" w:type="dxa"/>
            <w:gridSpan w:val="3"/>
            <w:tcBorders>
              <w:top w:val="nil"/>
              <w:left w:val="nil"/>
              <w:bottom w:val="nil"/>
              <w:right w:val="nil"/>
            </w:tcBorders>
            <w:shd w:val="clear" w:color="000000" w:fill="FFFFFF"/>
            <w:vAlign w:val="bottom"/>
            <w:hideMark/>
          </w:tcPr>
          <w:p w14:paraId="76971B77"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Follow-up</w:t>
            </w:r>
          </w:p>
        </w:tc>
        <w:tc>
          <w:tcPr>
            <w:tcW w:w="1347" w:type="dxa"/>
            <w:gridSpan w:val="3"/>
            <w:tcBorders>
              <w:top w:val="nil"/>
              <w:left w:val="nil"/>
              <w:bottom w:val="nil"/>
              <w:right w:val="nil"/>
            </w:tcBorders>
            <w:shd w:val="clear" w:color="000000" w:fill="FFFFFF"/>
            <w:vAlign w:val="bottom"/>
            <w:hideMark/>
          </w:tcPr>
          <w:p w14:paraId="1E058F61"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Relative change &amp;</w:t>
            </w:r>
          </w:p>
        </w:tc>
      </w:tr>
      <w:tr w:rsidR="00C2204F" w:rsidRPr="00EA3957" w14:paraId="2694A11F" w14:textId="77777777" w:rsidTr="00C2204F">
        <w:trPr>
          <w:trHeight w:val="288"/>
        </w:trPr>
        <w:tc>
          <w:tcPr>
            <w:tcW w:w="1710" w:type="dxa"/>
            <w:tcBorders>
              <w:top w:val="nil"/>
              <w:left w:val="nil"/>
              <w:bottom w:val="nil"/>
              <w:right w:val="nil"/>
            </w:tcBorders>
            <w:shd w:val="clear" w:color="000000" w:fill="FFFFFF"/>
            <w:noWrap/>
            <w:vAlign w:val="bottom"/>
            <w:hideMark/>
          </w:tcPr>
          <w:p w14:paraId="61351F7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450" w:type="dxa"/>
            <w:tcBorders>
              <w:top w:val="nil"/>
              <w:left w:val="nil"/>
              <w:bottom w:val="single" w:sz="4" w:space="0" w:color="auto"/>
              <w:right w:val="nil"/>
            </w:tcBorders>
            <w:shd w:val="clear" w:color="000000" w:fill="FFFFFF"/>
            <w:noWrap/>
            <w:vAlign w:val="bottom"/>
            <w:hideMark/>
          </w:tcPr>
          <w:p w14:paraId="4E05F492" w14:textId="77777777" w:rsidR="00C2204F" w:rsidRPr="00EA3957" w:rsidRDefault="00C2204F" w:rsidP="00C2204F">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630" w:type="dxa"/>
            <w:gridSpan w:val="2"/>
            <w:tcBorders>
              <w:top w:val="nil"/>
              <w:left w:val="nil"/>
              <w:bottom w:val="single" w:sz="4" w:space="0" w:color="auto"/>
              <w:right w:val="nil"/>
            </w:tcBorders>
            <w:shd w:val="clear" w:color="000000" w:fill="FFFFFF"/>
            <w:noWrap/>
            <w:vAlign w:val="bottom"/>
            <w:hideMark/>
          </w:tcPr>
          <w:p w14:paraId="55847009" w14:textId="77777777" w:rsidR="00C2204F" w:rsidRPr="00EA3957" w:rsidRDefault="00C2204F" w:rsidP="00C2204F">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99" w:type="dxa"/>
            <w:gridSpan w:val="2"/>
            <w:tcBorders>
              <w:top w:val="nil"/>
              <w:left w:val="nil"/>
              <w:bottom w:val="nil"/>
              <w:right w:val="nil"/>
            </w:tcBorders>
            <w:shd w:val="clear" w:color="000000" w:fill="FFFFFF"/>
            <w:noWrap/>
            <w:vAlign w:val="bottom"/>
            <w:hideMark/>
          </w:tcPr>
          <w:p w14:paraId="54CAF1CB" w14:textId="77777777" w:rsidR="00C2204F" w:rsidRPr="00EA3957" w:rsidRDefault="00C2204F" w:rsidP="00C2204F">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662" w:type="dxa"/>
            <w:tcBorders>
              <w:top w:val="nil"/>
              <w:left w:val="nil"/>
              <w:bottom w:val="single" w:sz="4" w:space="0" w:color="auto"/>
              <w:right w:val="nil"/>
            </w:tcBorders>
            <w:shd w:val="clear" w:color="000000" w:fill="FFFFFF"/>
            <w:noWrap/>
            <w:vAlign w:val="bottom"/>
            <w:hideMark/>
          </w:tcPr>
          <w:p w14:paraId="08AAE180"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11" w:type="dxa"/>
            <w:gridSpan w:val="2"/>
            <w:tcBorders>
              <w:top w:val="nil"/>
              <w:left w:val="nil"/>
              <w:bottom w:val="single" w:sz="4" w:space="0" w:color="auto"/>
              <w:right w:val="nil"/>
            </w:tcBorders>
            <w:shd w:val="clear" w:color="000000" w:fill="FFFFFF"/>
            <w:noWrap/>
            <w:vAlign w:val="bottom"/>
            <w:hideMark/>
          </w:tcPr>
          <w:p w14:paraId="1E999C6E"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662" w:type="dxa"/>
            <w:tcBorders>
              <w:top w:val="nil"/>
              <w:left w:val="nil"/>
              <w:bottom w:val="single" w:sz="4" w:space="0" w:color="auto"/>
              <w:right w:val="nil"/>
            </w:tcBorders>
            <w:shd w:val="clear" w:color="000000" w:fill="FFFFFF"/>
            <w:noWrap/>
            <w:vAlign w:val="bottom"/>
            <w:hideMark/>
          </w:tcPr>
          <w:p w14:paraId="0612F2E5"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11" w:type="dxa"/>
            <w:gridSpan w:val="2"/>
            <w:tcBorders>
              <w:top w:val="nil"/>
              <w:left w:val="nil"/>
              <w:bottom w:val="single" w:sz="4" w:space="0" w:color="auto"/>
              <w:right w:val="nil"/>
            </w:tcBorders>
            <w:shd w:val="clear" w:color="000000" w:fill="FFFFFF"/>
            <w:noWrap/>
            <w:vAlign w:val="bottom"/>
            <w:hideMark/>
          </w:tcPr>
          <w:p w14:paraId="1FFCE0E2"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728" w:type="dxa"/>
            <w:tcBorders>
              <w:top w:val="nil"/>
              <w:left w:val="nil"/>
              <w:bottom w:val="single" w:sz="4" w:space="0" w:color="auto"/>
              <w:right w:val="nil"/>
            </w:tcBorders>
            <w:shd w:val="clear" w:color="000000" w:fill="FFFFFF"/>
            <w:vAlign w:val="bottom"/>
            <w:hideMark/>
          </w:tcPr>
          <w:p w14:paraId="434BFF97"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Percent</w:t>
            </w:r>
          </w:p>
        </w:tc>
        <w:tc>
          <w:tcPr>
            <w:tcW w:w="584" w:type="dxa"/>
            <w:gridSpan w:val="2"/>
            <w:tcBorders>
              <w:top w:val="nil"/>
              <w:left w:val="nil"/>
              <w:bottom w:val="single" w:sz="4" w:space="0" w:color="auto"/>
              <w:right w:val="nil"/>
            </w:tcBorders>
            <w:shd w:val="clear" w:color="000000" w:fill="FFFFFF"/>
            <w:noWrap/>
            <w:vAlign w:val="bottom"/>
            <w:hideMark/>
          </w:tcPr>
          <w:p w14:paraId="55991441"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p-value</w:t>
            </w:r>
          </w:p>
        </w:tc>
        <w:tc>
          <w:tcPr>
            <w:tcW w:w="82" w:type="dxa"/>
            <w:gridSpan w:val="2"/>
            <w:tcBorders>
              <w:top w:val="nil"/>
              <w:left w:val="nil"/>
              <w:bottom w:val="nil"/>
              <w:right w:val="nil"/>
            </w:tcBorders>
            <w:shd w:val="clear" w:color="000000" w:fill="FFFFFF"/>
            <w:noWrap/>
            <w:vAlign w:val="bottom"/>
            <w:hideMark/>
          </w:tcPr>
          <w:p w14:paraId="6CAAD7A1"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500" w:type="dxa"/>
            <w:tcBorders>
              <w:top w:val="nil"/>
              <w:left w:val="nil"/>
              <w:bottom w:val="single" w:sz="4" w:space="0" w:color="auto"/>
              <w:right w:val="nil"/>
            </w:tcBorders>
            <w:shd w:val="clear" w:color="000000" w:fill="FFFFFF"/>
            <w:noWrap/>
            <w:vAlign w:val="bottom"/>
            <w:hideMark/>
          </w:tcPr>
          <w:p w14:paraId="711F2968"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98" w:type="dxa"/>
            <w:gridSpan w:val="2"/>
            <w:tcBorders>
              <w:top w:val="nil"/>
              <w:left w:val="nil"/>
              <w:bottom w:val="single" w:sz="4" w:space="0" w:color="auto"/>
              <w:right w:val="nil"/>
            </w:tcBorders>
            <w:shd w:val="clear" w:color="000000" w:fill="FFFFFF"/>
            <w:noWrap/>
            <w:vAlign w:val="bottom"/>
            <w:hideMark/>
          </w:tcPr>
          <w:p w14:paraId="5384669A"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500" w:type="dxa"/>
            <w:tcBorders>
              <w:top w:val="nil"/>
              <w:left w:val="nil"/>
              <w:bottom w:val="single" w:sz="4" w:space="0" w:color="auto"/>
              <w:right w:val="nil"/>
            </w:tcBorders>
            <w:shd w:val="clear" w:color="000000" w:fill="FFFFFF"/>
            <w:noWrap/>
            <w:vAlign w:val="bottom"/>
            <w:hideMark/>
          </w:tcPr>
          <w:p w14:paraId="19610A79"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57" w:type="dxa"/>
            <w:gridSpan w:val="2"/>
            <w:tcBorders>
              <w:top w:val="nil"/>
              <w:left w:val="nil"/>
              <w:bottom w:val="single" w:sz="4" w:space="0" w:color="auto"/>
              <w:right w:val="nil"/>
            </w:tcBorders>
            <w:shd w:val="clear" w:color="000000" w:fill="FFFFFF"/>
            <w:noWrap/>
            <w:vAlign w:val="bottom"/>
            <w:hideMark/>
          </w:tcPr>
          <w:p w14:paraId="3ADB8658"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728" w:type="dxa"/>
            <w:tcBorders>
              <w:top w:val="nil"/>
              <w:left w:val="nil"/>
              <w:bottom w:val="single" w:sz="4" w:space="0" w:color="auto"/>
              <w:right w:val="nil"/>
            </w:tcBorders>
            <w:shd w:val="clear" w:color="000000" w:fill="FFFFFF"/>
            <w:vAlign w:val="bottom"/>
            <w:hideMark/>
          </w:tcPr>
          <w:p w14:paraId="12BDB543"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Percent</w:t>
            </w:r>
          </w:p>
        </w:tc>
        <w:tc>
          <w:tcPr>
            <w:tcW w:w="619" w:type="dxa"/>
            <w:gridSpan w:val="2"/>
            <w:tcBorders>
              <w:top w:val="nil"/>
              <w:left w:val="nil"/>
              <w:bottom w:val="single" w:sz="4" w:space="0" w:color="auto"/>
              <w:right w:val="nil"/>
            </w:tcBorders>
            <w:shd w:val="clear" w:color="000000" w:fill="FFFFFF"/>
            <w:noWrap/>
            <w:vAlign w:val="bottom"/>
            <w:hideMark/>
          </w:tcPr>
          <w:p w14:paraId="12DF9645" w14:textId="77777777" w:rsidR="00C2204F" w:rsidRPr="00EA3957" w:rsidRDefault="00C2204F" w:rsidP="00C2204F">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p-value</w:t>
            </w:r>
          </w:p>
        </w:tc>
      </w:tr>
      <w:tr w:rsidR="00C2204F" w:rsidRPr="00EA3957" w14:paraId="71CA7389" w14:textId="77777777" w:rsidTr="00C2204F">
        <w:trPr>
          <w:trHeight w:val="288"/>
        </w:trPr>
        <w:tc>
          <w:tcPr>
            <w:tcW w:w="1710" w:type="dxa"/>
            <w:tcBorders>
              <w:top w:val="nil"/>
              <w:left w:val="nil"/>
              <w:bottom w:val="nil"/>
              <w:right w:val="nil"/>
            </w:tcBorders>
            <w:shd w:val="clear" w:color="000000" w:fill="FFFFFF"/>
            <w:noWrap/>
            <w:vAlign w:val="bottom"/>
            <w:hideMark/>
          </w:tcPr>
          <w:p w14:paraId="2EF5E3C0" w14:textId="5ED71DC4" w:rsidR="00C2204F" w:rsidRPr="00C2204F" w:rsidRDefault="00C2204F" w:rsidP="00C2204F">
            <w:pPr>
              <w:spacing w:after="0" w:line="240" w:lineRule="auto"/>
              <w:rPr>
                <w:rFonts w:ascii="Calibri" w:eastAsia="Times New Roman" w:hAnsi="Calibri"/>
                <w:b/>
                <w:bCs/>
                <w:sz w:val="16"/>
                <w:szCs w:val="16"/>
                <w:u w:val="single"/>
              </w:rPr>
            </w:pPr>
            <w:r>
              <w:rPr>
                <w:rFonts w:ascii="Calibri" w:hAnsi="Calibri"/>
                <w:b/>
                <w:bCs/>
                <w:sz w:val="16"/>
                <w:szCs w:val="16"/>
                <w:u w:val="single"/>
              </w:rPr>
              <w:t>ACG&lt;3 &amp;&amp;</w:t>
            </w:r>
          </w:p>
        </w:tc>
        <w:tc>
          <w:tcPr>
            <w:tcW w:w="450" w:type="dxa"/>
            <w:tcBorders>
              <w:top w:val="nil"/>
              <w:left w:val="nil"/>
              <w:bottom w:val="nil"/>
              <w:right w:val="nil"/>
            </w:tcBorders>
            <w:shd w:val="clear" w:color="000000" w:fill="FFFFFF"/>
            <w:noWrap/>
            <w:vAlign w:val="bottom"/>
            <w:hideMark/>
          </w:tcPr>
          <w:p w14:paraId="2A2F0D26"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30" w:type="dxa"/>
            <w:gridSpan w:val="2"/>
            <w:tcBorders>
              <w:top w:val="nil"/>
              <w:left w:val="nil"/>
              <w:bottom w:val="nil"/>
              <w:right w:val="nil"/>
            </w:tcBorders>
            <w:shd w:val="clear" w:color="000000" w:fill="FFFFFF"/>
            <w:noWrap/>
            <w:vAlign w:val="bottom"/>
            <w:hideMark/>
          </w:tcPr>
          <w:p w14:paraId="6A1840D2"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99" w:type="dxa"/>
            <w:gridSpan w:val="2"/>
            <w:tcBorders>
              <w:top w:val="nil"/>
              <w:left w:val="nil"/>
              <w:bottom w:val="nil"/>
              <w:right w:val="nil"/>
            </w:tcBorders>
            <w:shd w:val="clear" w:color="000000" w:fill="FFFFFF"/>
            <w:noWrap/>
            <w:vAlign w:val="bottom"/>
            <w:hideMark/>
          </w:tcPr>
          <w:p w14:paraId="3F7BA636"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05A42B01"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0612807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0ED7D497"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09035989"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608E847B"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84" w:type="dxa"/>
            <w:gridSpan w:val="2"/>
            <w:tcBorders>
              <w:top w:val="nil"/>
              <w:left w:val="nil"/>
              <w:bottom w:val="nil"/>
              <w:right w:val="nil"/>
            </w:tcBorders>
            <w:shd w:val="clear" w:color="000000" w:fill="FFFFFF"/>
            <w:noWrap/>
            <w:vAlign w:val="bottom"/>
            <w:hideMark/>
          </w:tcPr>
          <w:p w14:paraId="567D46D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82" w:type="dxa"/>
            <w:gridSpan w:val="2"/>
            <w:tcBorders>
              <w:top w:val="nil"/>
              <w:left w:val="nil"/>
              <w:bottom w:val="nil"/>
              <w:right w:val="nil"/>
            </w:tcBorders>
            <w:shd w:val="clear" w:color="000000" w:fill="FFFFFF"/>
            <w:noWrap/>
            <w:vAlign w:val="bottom"/>
            <w:hideMark/>
          </w:tcPr>
          <w:p w14:paraId="1F146082"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6BC714FE"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98" w:type="dxa"/>
            <w:gridSpan w:val="2"/>
            <w:tcBorders>
              <w:top w:val="nil"/>
              <w:left w:val="nil"/>
              <w:bottom w:val="nil"/>
              <w:right w:val="nil"/>
            </w:tcBorders>
            <w:shd w:val="clear" w:color="000000" w:fill="FFFFFF"/>
            <w:noWrap/>
            <w:vAlign w:val="bottom"/>
            <w:hideMark/>
          </w:tcPr>
          <w:p w14:paraId="4F7D5633"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1660BB2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57" w:type="dxa"/>
            <w:gridSpan w:val="2"/>
            <w:tcBorders>
              <w:top w:val="nil"/>
              <w:left w:val="nil"/>
              <w:bottom w:val="nil"/>
              <w:right w:val="nil"/>
            </w:tcBorders>
            <w:shd w:val="clear" w:color="000000" w:fill="FFFFFF"/>
            <w:noWrap/>
            <w:vAlign w:val="bottom"/>
            <w:hideMark/>
          </w:tcPr>
          <w:p w14:paraId="17F935E4"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4E953A6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19" w:type="dxa"/>
            <w:gridSpan w:val="2"/>
            <w:tcBorders>
              <w:top w:val="nil"/>
              <w:left w:val="nil"/>
              <w:bottom w:val="nil"/>
              <w:right w:val="nil"/>
            </w:tcBorders>
            <w:shd w:val="clear" w:color="000000" w:fill="FFFFFF"/>
            <w:noWrap/>
            <w:vAlign w:val="bottom"/>
            <w:hideMark/>
          </w:tcPr>
          <w:p w14:paraId="4DEF5631"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r>
      <w:tr w:rsidR="00C2204F" w:rsidRPr="00EA3957" w14:paraId="1D7FC8FE" w14:textId="77777777" w:rsidTr="00C2204F">
        <w:trPr>
          <w:trHeight w:val="288"/>
        </w:trPr>
        <w:tc>
          <w:tcPr>
            <w:tcW w:w="1710" w:type="dxa"/>
            <w:tcBorders>
              <w:top w:val="nil"/>
              <w:left w:val="nil"/>
              <w:bottom w:val="nil"/>
              <w:right w:val="nil"/>
            </w:tcBorders>
            <w:shd w:val="clear" w:color="000000" w:fill="FFFFFF"/>
            <w:noWrap/>
            <w:vAlign w:val="bottom"/>
            <w:hideMark/>
          </w:tcPr>
          <w:p w14:paraId="7EBF3186"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07DBCB1C" w14:textId="0A5C814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1315</w:t>
            </w:r>
          </w:p>
        </w:tc>
        <w:tc>
          <w:tcPr>
            <w:tcW w:w="630" w:type="dxa"/>
            <w:gridSpan w:val="2"/>
            <w:tcBorders>
              <w:top w:val="nil"/>
              <w:left w:val="nil"/>
              <w:bottom w:val="nil"/>
              <w:right w:val="nil"/>
            </w:tcBorders>
            <w:shd w:val="clear" w:color="000000" w:fill="FFFFFF"/>
            <w:noWrap/>
            <w:vAlign w:val="bottom"/>
          </w:tcPr>
          <w:p w14:paraId="160B942B" w14:textId="19D8EB9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2454</w:t>
            </w:r>
          </w:p>
        </w:tc>
        <w:tc>
          <w:tcPr>
            <w:tcW w:w="99" w:type="dxa"/>
            <w:gridSpan w:val="2"/>
            <w:tcBorders>
              <w:top w:val="nil"/>
              <w:left w:val="nil"/>
              <w:bottom w:val="nil"/>
              <w:right w:val="nil"/>
            </w:tcBorders>
            <w:shd w:val="clear" w:color="000000" w:fill="FFFFFF"/>
            <w:noWrap/>
            <w:vAlign w:val="bottom"/>
          </w:tcPr>
          <w:p w14:paraId="553FE26D" w14:textId="31D3F047"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EDE6144" w14:textId="2AB5B28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$1,178</w:t>
            </w:r>
          </w:p>
        </w:tc>
        <w:tc>
          <w:tcPr>
            <w:tcW w:w="711" w:type="dxa"/>
            <w:gridSpan w:val="2"/>
            <w:tcBorders>
              <w:top w:val="nil"/>
              <w:left w:val="nil"/>
              <w:bottom w:val="nil"/>
              <w:right w:val="nil"/>
            </w:tcBorders>
            <w:shd w:val="clear" w:color="000000" w:fill="FFFFFF"/>
            <w:noWrap/>
            <w:vAlign w:val="bottom"/>
          </w:tcPr>
          <w:p w14:paraId="0446363D" w14:textId="178DC91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$1,275</w:t>
            </w:r>
          </w:p>
        </w:tc>
        <w:tc>
          <w:tcPr>
            <w:tcW w:w="662" w:type="dxa"/>
            <w:tcBorders>
              <w:top w:val="nil"/>
              <w:left w:val="nil"/>
              <w:bottom w:val="nil"/>
              <w:right w:val="nil"/>
            </w:tcBorders>
            <w:shd w:val="clear" w:color="000000" w:fill="FFFFFF"/>
            <w:noWrap/>
            <w:vAlign w:val="bottom"/>
          </w:tcPr>
          <w:p w14:paraId="149B6F0C" w14:textId="35695DF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$1,025</w:t>
            </w:r>
          </w:p>
        </w:tc>
        <w:tc>
          <w:tcPr>
            <w:tcW w:w="711" w:type="dxa"/>
            <w:gridSpan w:val="2"/>
            <w:tcBorders>
              <w:top w:val="nil"/>
              <w:left w:val="nil"/>
              <w:bottom w:val="nil"/>
              <w:right w:val="nil"/>
            </w:tcBorders>
            <w:shd w:val="clear" w:color="000000" w:fill="FFFFFF"/>
            <w:noWrap/>
            <w:vAlign w:val="bottom"/>
          </w:tcPr>
          <w:p w14:paraId="29FFCB45" w14:textId="26468CF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$1,691</w:t>
            </w:r>
          </w:p>
        </w:tc>
        <w:tc>
          <w:tcPr>
            <w:tcW w:w="728" w:type="dxa"/>
            <w:tcBorders>
              <w:top w:val="nil"/>
              <w:left w:val="nil"/>
              <w:bottom w:val="nil"/>
              <w:right w:val="nil"/>
            </w:tcBorders>
            <w:shd w:val="clear" w:color="000000" w:fill="FFFFFF"/>
            <w:noWrap/>
            <w:vAlign w:val="bottom"/>
          </w:tcPr>
          <w:p w14:paraId="5525DA7A" w14:textId="7B99ECF0"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-34.4%</w:t>
            </w:r>
          </w:p>
        </w:tc>
        <w:tc>
          <w:tcPr>
            <w:tcW w:w="584" w:type="dxa"/>
            <w:gridSpan w:val="2"/>
            <w:tcBorders>
              <w:top w:val="nil"/>
              <w:left w:val="nil"/>
              <w:bottom w:val="nil"/>
              <w:right w:val="nil"/>
            </w:tcBorders>
            <w:shd w:val="clear" w:color="000000" w:fill="FFFFFF"/>
            <w:noWrap/>
            <w:vAlign w:val="bottom"/>
          </w:tcPr>
          <w:p w14:paraId="283B4DF1" w14:textId="5B23A8E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629E54E" w14:textId="0213672F"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04E9125" w14:textId="3D6A319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39.8</w:t>
            </w:r>
          </w:p>
        </w:tc>
        <w:tc>
          <w:tcPr>
            <w:tcW w:w="798" w:type="dxa"/>
            <w:gridSpan w:val="2"/>
            <w:tcBorders>
              <w:top w:val="nil"/>
              <w:left w:val="nil"/>
              <w:bottom w:val="nil"/>
              <w:right w:val="nil"/>
            </w:tcBorders>
            <w:shd w:val="clear" w:color="000000" w:fill="FFFFFF"/>
            <w:noWrap/>
            <w:vAlign w:val="bottom"/>
          </w:tcPr>
          <w:p w14:paraId="3122E793" w14:textId="2DFC6A0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40.6</w:t>
            </w:r>
          </w:p>
        </w:tc>
        <w:tc>
          <w:tcPr>
            <w:tcW w:w="500" w:type="dxa"/>
            <w:tcBorders>
              <w:top w:val="nil"/>
              <w:left w:val="nil"/>
              <w:bottom w:val="nil"/>
              <w:right w:val="nil"/>
            </w:tcBorders>
            <w:shd w:val="clear" w:color="000000" w:fill="FFFFFF"/>
            <w:noWrap/>
            <w:vAlign w:val="bottom"/>
          </w:tcPr>
          <w:p w14:paraId="231AAF8C" w14:textId="477D9EE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50.9</w:t>
            </w:r>
          </w:p>
        </w:tc>
        <w:tc>
          <w:tcPr>
            <w:tcW w:w="757" w:type="dxa"/>
            <w:gridSpan w:val="2"/>
            <w:tcBorders>
              <w:top w:val="nil"/>
              <w:left w:val="nil"/>
              <w:bottom w:val="nil"/>
              <w:right w:val="nil"/>
            </w:tcBorders>
            <w:shd w:val="clear" w:color="000000" w:fill="FFFFFF"/>
            <w:noWrap/>
            <w:vAlign w:val="bottom"/>
          </w:tcPr>
          <w:p w14:paraId="51CD49BA" w14:textId="3945315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47.2</w:t>
            </w:r>
          </w:p>
        </w:tc>
        <w:tc>
          <w:tcPr>
            <w:tcW w:w="728" w:type="dxa"/>
            <w:tcBorders>
              <w:top w:val="nil"/>
              <w:left w:val="nil"/>
              <w:bottom w:val="nil"/>
              <w:right w:val="nil"/>
            </w:tcBorders>
            <w:shd w:val="clear" w:color="000000" w:fill="FFFFFF"/>
            <w:noWrap/>
            <w:vAlign w:val="bottom"/>
          </w:tcPr>
          <w:p w14:paraId="4B92436E" w14:textId="2E82F6BB"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10.1%</w:t>
            </w:r>
          </w:p>
        </w:tc>
        <w:tc>
          <w:tcPr>
            <w:tcW w:w="619" w:type="dxa"/>
            <w:gridSpan w:val="2"/>
            <w:tcBorders>
              <w:top w:val="nil"/>
              <w:left w:val="nil"/>
              <w:bottom w:val="nil"/>
              <w:right w:val="nil"/>
            </w:tcBorders>
            <w:shd w:val="clear" w:color="000000" w:fill="FFFFFF"/>
            <w:noWrap/>
            <w:vAlign w:val="bottom"/>
          </w:tcPr>
          <w:p w14:paraId="4531AB27" w14:textId="71401DC7"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C2204F" w:rsidRPr="00EA3957" w14:paraId="6302DD6D" w14:textId="77777777" w:rsidTr="00C2204F">
        <w:trPr>
          <w:trHeight w:val="288"/>
        </w:trPr>
        <w:tc>
          <w:tcPr>
            <w:tcW w:w="1710" w:type="dxa"/>
            <w:tcBorders>
              <w:top w:val="nil"/>
              <w:left w:val="nil"/>
              <w:bottom w:val="nil"/>
              <w:right w:val="nil"/>
            </w:tcBorders>
            <w:shd w:val="clear" w:color="000000" w:fill="FFFFFF"/>
            <w:noWrap/>
            <w:vAlign w:val="bottom"/>
            <w:hideMark/>
          </w:tcPr>
          <w:p w14:paraId="4A4E793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3F8DDF25" w14:textId="43C33DD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819</w:t>
            </w:r>
          </w:p>
        </w:tc>
        <w:tc>
          <w:tcPr>
            <w:tcW w:w="630" w:type="dxa"/>
            <w:gridSpan w:val="2"/>
            <w:tcBorders>
              <w:top w:val="nil"/>
              <w:left w:val="nil"/>
              <w:bottom w:val="nil"/>
              <w:right w:val="nil"/>
            </w:tcBorders>
            <w:shd w:val="clear" w:color="000000" w:fill="FFFFFF"/>
            <w:noWrap/>
            <w:vAlign w:val="bottom"/>
          </w:tcPr>
          <w:p w14:paraId="40B65AF2" w14:textId="34279C1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1544</w:t>
            </w:r>
          </w:p>
        </w:tc>
        <w:tc>
          <w:tcPr>
            <w:tcW w:w="99" w:type="dxa"/>
            <w:gridSpan w:val="2"/>
            <w:tcBorders>
              <w:top w:val="nil"/>
              <w:left w:val="nil"/>
              <w:bottom w:val="nil"/>
              <w:right w:val="nil"/>
            </w:tcBorders>
            <w:shd w:val="clear" w:color="000000" w:fill="FFFFFF"/>
            <w:noWrap/>
            <w:vAlign w:val="bottom"/>
          </w:tcPr>
          <w:p w14:paraId="2ECBBAD9" w14:textId="6E9C39C1"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58CBF4DE" w14:textId="7A6096A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$408</w:t>
            </w:r>
          </w:p>
        </w:tc>
        <w:tc>
          <w:tcPr>
            <w:tcW w:w="711" w:type="dxa"/>
            <w:gridSpan w:val="2"/>
            <w:tcBorders>
              <w:top w:val="nil"/>
              <w:left w:val="nil"/>
              <w:bottom w:val="nil"/>
              <w:right w:val="nil"/>
            </w:tcBorders>
            <w:shd w:val="clear" w:color="000000" w:fill="FFFFFF"/>
            <w:noWrap/>
            <w:vAlign w:val="bottom"/>
          </w:tcPr>
          <w:p w14:paraId="237DC0EB" w14:textId="6681448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$398</w:t>
            </w:r>
          </w:p>
        </w:tc>
        <w:tc>
          <w:tcPr>
            <w:tcW w:w="662" w:type="dxa"/>
            <w:tcBorders>
              <w:top w:val="nil"/>
              <w:left w:val="nil"/>
              <w:bottom w:val="nil"/>
              <w:right w:val="nil"/>
            </w:tcBorders>
            <w:shd w:val="clear" w:color="000000" w:fill="FFFFFF"/>
            <w:noWrap/>
            <w:vAlign w:val="bottom"/>
          </w:tcPr>
          <w:p w14:paraId="2A5EA9CD" w14:textId="082F25F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$314</w:t>
            </w:r>
          </w:p>
        </w:tc>
        <w:tc>
          <w:tcPr>
            <w:tcW w:w="711" w:type="dxa"/>
            <w:gridSpan w:val="2"/>
            <w:tcBorders>
              <w:top w:val="nil"/>
              <w:left w:val="nil"/>
              <w:bottom w:val="nil"/>
              <w:right w:val="nil"/>
            </w:tcBorders>
            <w:shd w:val="clear" w:color="000000" w:fill="FFFFFF"/>
            <w:noWrap/>
            <w:vAlign w:val="bottom"/>
          </w:tcPr>
          <w:p w14:paraId="0CA4DA51" w14:textId="13CF772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$614</w:t>
            </w:r>
          </w:p>
        </w:tc>
        <w:tc>
          <w:tcPr>
            <w:tcW w:w="728" w:type="dxa"/>
            <w:tcBorders>
              <w:top w:val="nil"/>
              <w:left w:val="nil"/>
              <w:bottom w:val="nil"/>
              <w:right w:val="nil"/>
            </w:tcBorders>
            <w:shd w:val="clear" w:color="000000" w:fill="FFFFFF"/>
            <w:noWrap/>
            <w:vAlign w:val="bottom"/>
          </w:tcPr>
          <w:p w14:paraId="2B581BC9" w14:textId="191ADC8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-50.0%</w:t>
            </w:r>
          </w:p>
        </w:tc>
        <w:tc>
          <w:tcPr>
            <w:tcW w:w="584" w:type="dxa"/>
            <w:gridSpan w:val="2"/>
            <w:tcBorders>
              <w:top w:val="nil"/>
              <w:left w:val="nil"/>
              <w:bottom w:val="nil"/>
              <w:right w:val="nil"/>
            </w:tcBorders>
            <w:shd w:val="clear" w:color="000000" w:fill="FFFFFF"/>
            <w:noWrap/>
            <w:vAlign w:val="bottom"/>
          </w:tcPr>
          <w:p w14:paraId="6E2EB6FF" w14:textId="368AD3DA"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12F51B2" w14:textId="06EE1D8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5F5DD348" w14:textId="77EE800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11.9</w:t>
            </w:r>
          </w:p>
        </w:tc>
        <w:tc>
          <w:tcPr>
            <w:tcW w:w="798" w:type="dxa"/>
            <w:gridSpan w:val="2"/>
            <w:tcBorders>
              <w:top w:val="nil"/>
              <w:left w:val="nil"/>
              <w:bottom w:val="nil"/>
              <w:right w:val="nil"/>
            </w:tcBorders>
            <w:shd w:val="clear" w:color="000000" w:fill="FFFFFF"/>
            <w:noWrap/>
            <w:vAlign w:val="bottom"/>
          </w:tcPr>
          <w:p w14:paraId="2D7F6526" w14:textId="13B2862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11.9</w:t>
            </w:r>
          </w:p>
        </w:tc>
        <w:tc>
          <w:tcPr>
            <w:tcW w:w="500" w:type="dxa"/>
            <w:tcBorders>
              <w:top w:val="nil"/>
              <w:left w:val="nil"/>
              <w:bottom w:val="nil"/>
              <w:right w:val="nil"/>
            </w:tcBorders>
            <w:shd w:val="clear" w:color="000000" w:fill="FFFFFF"/>
            <w:noWrap/>
            <w:vAlign w:val="bottom"/>
          </w:tcPr>
          <w:p w14:paraId="0B581D2D" w14:textId="42D1588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15.0</w:t>
            </w:r>
          </w:p>
        </w:tc>
        <w:tc>
          <w:tcPr>
            <w:tcW w:w="757" w:type="dxa"/>
            <w:gridSpan w:val="2"/>
            <w:tcBorders>
              <w:top w:val="nil"/>
              <w:left w:val="nil"/>
              <w:bottom w:val="nil"/>
              <w:right w:val="nil"/>
            </w:tcBorders>
            <w:shd w:val="clear" w:color="000000" w:fill="FFFFFF"/>
            <w:noWrap/>
            <w:vAlign w:val="bottom"/>
          </w:tcPr>
          <w:p w14:paraId="4E640DEE" w14:textId="743D8B5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13.7</w:t>
            </w:r>
          </w:p>
        </w:tc>
        <w:tc>
          <w:tcPr>
            <w:tcW w:w="728" w:type="dxa"/>
            <w:tcBorders>
              <w:top w:val="nil"/>
              <w:left w:val="nil"/>
              <w:bottom w:val="nil"/>
              <w:right w:val="nil"/>
            </w:tcBorders>
            <w:shd w:val="clear" w:color="000000" w:fill="FFFFFF"/>
            <w:noWrap/>
            <w:vAlign w:val="bottom"/>
          </w:tcPr>
          <w:p w14:paraId="6F774158" w14:textId="78170B60"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10.1%</w:t>
            </w:r>
          </w:p>
        </w:tc>
        <w:tc>
          <w:tcPr>
            <w:tcW w:w="619" w:type="dxa"/>
            <w:gridSpan w:val="2"/>
            <w:tcBorders>
              <w:top w:val="nil"/>
              <w:left w:val="nil"/>
              <w:bottom w:val="nil"/>
              <w:right w:val="nil"/>
            </w:tcBorders>
            <w:shd w:val="clear" w:color="000000" w:fill="FFFFFF"/>
            <w:noWrap/>
            <w:vAlign w:val="bottom"/>
          </w:tcPr>
          <w:p w14:paraId="4D12BDA9" w14:textId="271C577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0.002</w:t>
            </w:r>
          </w:p>
        </w:tc>
      </w:tr>
      <w:tr w:rsidR="00C2204F" w:rsidRPr="00EA3957" w14:paraId="74547412" w14:textId="77777777" w:rsidTr="00C2204F">
        <w:trPr>
          <w:trHeight w:val="288"/>
        </w:trPr>
        <w:tc>
          <w:tcPr>
            <w:tcW w:w="1710" w:type="dxa"/>
            <w:tcBorders>
              <w:top w:val="nil"/>
              <w:left w:val="nil"/>
              <w:bottom w:val="nil"/>
              <w:right w:val="nil"/>
            </w:tcBorders>
            <w:shd w:val="clear" w:color="000000" w:fill="FFFFFF"/>
            <w:noWrap/>
            <w:vAlign w:val="bottom"/>
            <w:hideMark/>
          </w:tcPr>
          <w:p w14:paraId="7FF5810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p>
        </w:tc>
        <w:tc>
          <w:tcPr>
            <w:tcW w:w="450" w:type="dxa"/>
            <w:tcBorders>
              <w:top w:val="nil"/>
              <w:left w:val="nil"/>
              <w:bottom w:val="nil"/>
              <w:right w:val="nil"/>
            </w:tcBorders>
            <w:shd w:val="clear" w:color="000000" w:fill="FFFFFF"/>
            <w:noWrap/>
            <w:vAlign w:val="bottom"/>
          </w:tcPr>
          <w:p w14:paraId="0864C37E" w14:textId="05533D6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304</w:t>
            </w:r>
          </w:p>
        </w:tc>
        <w:tc>
          <w:tcPr>
            <w:tcW w:w="630" w:type="dxa"/>
            <w:gridSpan w:val="2"/>
            <w:tcBorders>
              <w:top w:val="nil"/>
              <w:left w:val="nil"/>
              <w:bottom w:val="nil"/>
              <w:right w:val="nil"/>
            </w:tcBorders>
            <w:shd w:val="clear" w:color="000000" w:fill="FFFFFF"/>
            <w:noWrap/>
            <w:vAlign w:val="bottom"/>
          </w:tcPr>
          <w:p w14:paraId="1CAC5E51" w14:textId="656675F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558</w:t>
            </w:r>
          </w:p>
        </w:tc>
        <w:tc>
          <w:tcPr>
            <w:tcW w:w="99" w:type="dxa"/>
            <w:gridSpan w:val="2"/>
            <w:tcBorders>
              <w:top w:val="nil"/>
              <w:left w:val="nil"/>
              <w:bottom w:val="nil"/>
              <w:right w:val="nil"/>
            </w:tcBorders>
            <w:shd w:val="clear" w:color="000000" w:fill="FFFFFF"/>
            <w:noWrap/>
            <w:vAlign w:val="bottom"/>
          </w:tcPr>
          <w:p w14:paraId="1BAAFCFB" w14:textId="26C8B317"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9B7DB77" w14:textId="7C8B46D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$789</w:t>
            </w:r>
          </w:p>
        </w:tc>
        <w:tc>
          <w:tcPr>
            <w:tcW w:w="711" w:type="dxa"/>
            <w:gridSpan w:val="2"/>
            <w:tcBorders>
              <w:top w:val="nil"/>
              <w:left w:val="nil"/>
              <w:bottom w:val="nil"/>
              <w:right w:val="nil"/>
            </w:tcBorders>
            <w:shd w:val="clear" w:color="000000" w:fill="FFFFFF"/>
            <w:noWrap/>
            <w:vAlign w:val="bottom"/>
          </w:tcPr>
          <w:p w14:paraId="6D6B1322" w14:textId="06292C2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$900</w:t>
            </w:r>
          </w:p>
        </w:tc>
        <w:tc>
          <w:tcPr>
            <w:tcW w:w="662" w:type="dxa"/>
            <w:tcBorders>
              <w:top w:val="nil"/>
              <w:left w:val="nil"/>
              <w:bottom w:val="nil"/>
              <w:right w:val="nil"/>
            </w:tcBorders>
            <w:shd w:val="clear" w:color="000000" w:fill="FFFFFF"/>
            <w:noWrap/>
            <w:vAlign w:val="bottom"/>
          </w:tcPr>
          <w:p w14:paraId="3FC9F451" w14:textId="7490893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$345</w:t>
            </w:r>
          </w:p>
        </w:tc>
        <w:tc>
          <w:tcPr>
            <w:tcW w:w="711" w:type="dxa"/>
            <w:gridSpan w:val="2"/>
            <w:tcBorders>
              <w:top w:val="nil"/>
              <w:left w:val="nil"/>
              <w:bottom w:val="nil"/>
              <w:right w:val="nil"/>
            </w:tcBorders>
            <w:shd w:val="clear" w:color="000000" w:fill="FFFFFF"/>
            <w:noWrap/>
            <w:vAlign w:val="bottom"/>
          </w:tcPr>
          <w:p w14:paraId="41AE8FBB" w14:textId="67EE19F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$1,115</w:t>
            </w:r>
          </w:p>
        </w:tc>
        <w:tc>
          <w:tcPr>
            <w:tcW w:w="728" w:type="dxa"/>
            <w:tcBorders>
              <w:top w:val="nil"/>
              <w:left w:val="nil"/>
              <w:bottom w:val="nil"/>
              <w:right w:val="nil"/>
            </w:tcBorders>
            <w:shd w:val="clear" w:color="000000" w:fill="FFFFFF"/>
            <w:noWrap/>
            <w:vAlign w:val="bottom"/>
          </w:tcPr>
          <w:p w14:paraId="60CCDDA3" w14:textId="3467F28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-64.7%</w:t>
            </w:r>
          </w:p>
        </w:tc>
        <w:tc>
          <w:tcPr>
            <w:tcW w:w="584" w:type="dxa"/>
            <w:gridSpan w:val="2"/>
            <w:tcBorders>
              <w:top w:val="nil"/>
              <w:left w:val="nil"/>
              <w:bottom w:val="nil"/>
              <w:right w:val="nil"/>
            </w:tcBorders>
            <w:shd w:val="clear" w:color="000000" w:fill="FFFFFF"/>
            <w:noWrap/>
            <w:vAlign w:val="bottom"/>
          </w:tcPr>
          <w:p w14:paraId="2E5F94DA" w14:textId="12CFE2F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3DE327C" w14:textId="4C41C60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E4376DF" w14:textId="12563D1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798" w:type="dxa"/>
            <w:gridSpan w:val="2"/>
            <w:tcBorders>
              <w:top w:val="nil"/>
              <w:left w:val="nil"/>
              <w:bottom w:val="nil"/>
              <w:right w:val="nil"/>
            </w:tcBorders>
            <w:shd w:val="clear" w:color="000000" w:fill="FFFFFF"/>
            <w:noWrap/>
            <w:vAlign w:val="bottom"/>
          </w:tcPr>
          <w:p w14:paraId="1D3408DA" w14:textId="1172EA6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10.3</w:t>
            </w:r>
          </w:p>
        </w:tc>
        <w:tc>
          <w:tcPr>
            <w:tcW w:w="500" w:type="dxa"/>
            <w:tcBorders>
              <w:top w:val="nil"/>
              <w:left w:val="nil"/>
              <w:bottom w:val="nil"/>
              <w:right w:val="nil"/>
            </w:tcBorders>
            <w:shd w:val="clear" w:color="000000" w:fill="FFFFFF"/>
            <w:noWrap/>
            <w:vAlign w:val="bottom"/>
          </w:tcPr>
          <w:p w14:paraId="704463BE" w14:textId="0096869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12.8</w:t>
            </w:r>
          </w:p>
        </w:tc>
        <w:tc>
          <w:tcPr>
            <w:tcW w:w="757" w:type="dxa"/>
            <w:gridSpan w:val="2"/>
            <w:tcBorders>
              <w:top w:val="nil"/>
              <w:left w:val="nil"/>
              <w:bottom w:val="nil"/>
              <w:right w:val="nil"/>
            </w:tcBorders>
            <w:shd w:val="clear" w:color="000000" w:fill="FFFFFF"/>
            <w:noWrap/>
            <w:vAlign w:val="bottom"/>
          </w:tcPr>
          <w:p w14:paraId="0AB353FB" w14:textId="29B5682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728" w:type="dxa"/>
            <w:tcBorders>
              <w:top w:val="nil"/>
              <w:left w:val="nil"/>
              <w:bottom w:val="nil"/>
              <w:right w:val="nil"/>
            </w:tcBorders>
            <w:shd w:val="clear" w:color="000000" w:fill="FFFFFF"/>
            <w:noWrap/>
            <w:vAlign w:val="bottom"/>
          </w:tcPr>
          <w:p w14:paraId="1CA983A6" w14:textId="2F6892B5"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12.5%</w:t>
            </w:r>
          </w:p>
        </w:tc>
        <w:tc>
          <w:tcPr>
            <w:tcW w:w="619" w:type="dxa"/>
            <w:gridSpan w:val="2"/>
            <w:tcBorders>
              <w:top w:val="nil"/>
              <w:left w:val="nil"/>
              <w:bottom w:val="nil"/>
              <w:right w:val="nil"/>
            </w:tcBorders>
            <w:shd w:val="clear" w:color="000000" w:fill="FFFFFF"/>
            <w:noWrap/>
            <w:vAlign w:val="bottom"/>
          </w:tcPr>
          <w:p w14:paraId="2E2C4B60" w14:textId="59D0EB2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0.012</w:t>
            </w:r>
          </w:p>
        </w:tc>
      </w:tr>
      <w:tr w:rsidR="00C2204F" w:rsidRPr="00EA3957" w14:paraId="5BD69448" w14:textId="77777777" w:rsidTr="00C2204F">
        <w:trPr>
          <w:trHeight w:val="288"/>
        </w:trPr>
        <w:tc>
          <w:tcPr>
            <w:tcW w:w="1710" w:type="dxa"/>
            <w:tcBorders>
              <w:top w:val="nil"/>
              <w:left w:val="nil"/>
              <w:bottom w:val="nil"/>
              <w:right w:val="nil"/>
            </w:tcBorders>
            <w:shd w:val="clear" w:color="000000" w:fill="FFFFFF"/>
            <w:noWrap/>
            <w:vAlign w:val="bottom"/>
            <w:hideMark/>
          </w:tcPr>
          <w:p w14:paraId="66F5BA57"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7BFA99B5" w14:textId="3ED92A1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482</w:t>
            </w:r>
          </w:p>
        </w:tc>
        <w:tc>
          <w:tcPr>
            <w:tcW w:w="630" w:type="dxa"/>
            <w:gridSpan w:val="2"/>
            <w:tcBorders>
              <w:top w:val="nil"/>
              <w:left w:val="nil"/>
              <w:bottom w:val="nil"/>
              <w:right w:val="nil"/>
            </w:tcBorders>
            <w:shd w:val="clear" w:color="000000" w:fill="FFFFFF"/>
            <w:noWrap/>
            <w:vAlign w:val="bottom"/>
          </w:tcPr>
          <w:p w14:paraId="57E7A97E" w14:textId="2C3189E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959</w:t>
            </w:r>
          </w:p>
        </w:tc>
        <w:tc>
          <w:tcPr>
            <w:tcW w:w="99" w:type="dxa"/>
            <w:gridSpan w:val="2"/>
            <w:tcBorders>
              <w:top w:val="nil"/>
              <w:left w:val="nil"/>
              <w:bottom w:val="nil"/>
              <w:right w:val="nil"/>
            </w:tcBorders>
            <w:shd w:val="clear" w:color="000000" w:fill="FFFFFF"/>
            <w:noWrap/>
            <w:vAlign w:val="bottom"/>
          </w:tcPr>
          <w:p w14:paraId="6D5E209C" w14:textId="0383536F"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F15F8B5" w14:textId="602482D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$193</w:t>
            </w:r>
          </w:p>
        </w:tc>
        <w:tc>
          <w:tcPr>
            <w:tcW w:w="711" w:type="dxa"/>
            <w:gridSpan w:val="2"/>
            <w:tcBorders>
              <w:top w:val="nil"/>
              <w:left w:val="nil"/>
              <w:bottom w:val="nil"/>
              <w:right w:val="nil"/>
            </w:tcBorders>
            <w:shd w:val="clear" w:color="000000" w:fill="FFFFFF"/>
            <w:noWrap/>
            <w:vAlign w:val="bottom"/>
          </w:tcPr>
          <w:p w14:paraId="18F3114C" w14:textId="73BD6BA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$211</w:t>
            </w:r>
          </w:p>
        </w:tc>
        <w:tc>
          <w:tcPr>
            <w:tcW w:w="662" w:type="dxa"/>
            <w:tcBorders>
              <w:top w:val="nil"/>
              <w:left w:val="nil"/>
              <w:bottom w:val="nil"/>
              <w:right w:val="nil"/>
            </w:tcBorders>
            <w:shd w:val="clear" w:color="000000" w:fill="FFFFFF"/>
            <w:noWrap/>
            <w:vAlign w:val="bottom"/>
          </w:tcPr>
          <w:p w14:paraId="3FEB4669" w14:textId="44D863F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$67</w:t>
            </w:r>
          </w:p>
        </w:tc>
        <w:tc>
          <w:tcPr>
            <w:tcW w:w="711" w:type="dxa"/>
            <w:gridSpan w:val="2"/>
            <w:tcBorders>
              <w:top w:val="nil"/>
              <w:left w:val="nil"/>
              <w:bottom w:val="nil"/>
              <w:right w:val="nil"/>
            </w:tcBorders>
            <w:shd w:val="clear" w:color="000000" w:fill="FFFFFF"/>
            <w:noWrap/>
            <w:vAlign w:val="bottom"/>
          </w:tcPr>
          <w:p w14:paraId="3FF8EDA8" w14:textId="3C80342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$170</w:t>
            </w:r>
          </w:p>
        </w:tc>
        <w:tc>
          <w:tcPr>
            <w:tcW w:w="728" w:type="dxa"/>
            <w:tcBorders>
              <w:top w:val="nil"/>
              <w:left w:val="nil"/>
              <w:bottom w:val="nil"/>
              <w:right w:val="nil"/>
            </w:tcBorders>
            <w:shd w:val="clear" w:color="000000" w:fill="FFFFFF"/>
            <w:noWrap/>
            <w:vAlign w:val="bottom"/>
          </w:tcPr>
          <w:p w14:paraId="4BC212C2" w14:textId="1D5E91B2"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-57.0%</w:t>
            </w:r>
          </w:p>
        </w:tc>
        <w:tc>
          <w:tcPr>
            <w:tcW w:w="584" w:type="dxa"/>
            <w:gridSpan w:val="2"/>
            <w:tcBorders>
              <w:top w:val="nil"/>
              <w:left w:val="nil"/>
              <w:bottom w:val="nil"/>
              <w:right w:val="nil"/>
            </w:tcBorders>
            <w:shd w:val="clear" w:color="000000" w:fill="FFFFFF"/>
            <w:noWrap/>
            <w:vAlign w:val="bottom"/>
          </w:tcPr>
          <w:p w14:paraId="6F567650" w14:textId="500809FE"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305D319" w14:textId="5F74352E"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1803F9E" w14:textId="082912B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5.1</w:t>
            </w:r>
          </w:p>
        </w:tc>
        <w:tc>
          <w:tcPr>
            <w:tcW w:w="798" w:type="dxa"/>
            <w:gridSpan w:val="2"/>
            <w:tcBorders>
              <w:top w:val="nil"/>
              <w:left w:val="nil"/>
              <w:bottom w:val="nil"/>
              <w:right w:val="nil"/>
            </w:tcBorders>
            <w:shd w:val="clear" w:color="000000" w:fill="FFFFFF"/>
            <w:noWrap/>
            <w:vAlign w:val="bottom"/>
          </w:tcPr>
          <w:p w14:paraId="601592EC" w14:textId="2AC074C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5.6</w:t>
            </w:r>
          </w:p>
        </w:tc>
        <w:tc>
          <w:tcPr>
            <w:tcW w:w="500" w:type="dxa"/>
            <w:tcBorders>
              <w:top w:val="nil"/>
              <w:left w:val="nil"/>
              <w:bottom w:val="nil"/>
              <w:right w:val="nil"/>
            </w:tcBorders>
            <w:shd w:val="clear" w:color="000000" w:fill="FFFFFF"/>
            <w:noWrap/>
            <w:vAlign w:val="bottom"/>
          </w:tcPr>
          <w:p w14:paraId="36B251C2" w14:textId="344D2F9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57" w:type="dxa"/>
            <w:gridSpan w:val="2"/>
            <w:tcBorders>
              <w:top w:val="nil"/>
              <w:left w:val="nil"/>
              <w:bottom w:val="nil"/>
              <w:right w:val="nil"/>
            </w:tcBorders>
            <w:shd w:val="clear" w:color="000000" w:fill="FFFFFF"/>
            <w:noWrap/>
            <w:vAlign w:val="bottom"/>
          </w:tcPr>
          <w:p w14:paraId="71F75A23" w14:textId="1027954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4.3</w:t>
            </w:r>
          </w:p>
        </w:tc>
        <w:tc>
          <w:tcPr>
            <w:tcW w:w="728" w:type="dxa"/>
            <w:tcBorders>
              <w:top w:val="nil"/>
              <w:left w:val="nil"/>
              <w:bottom w:val="nil"/>
              <w:right w:val="nil"/>
            </w:tcBorders>
            <w:shd w:val="clear" w:color="000000" w:fill="FFFFFF"/>
            <w:noWrap/>
            <w:vAlign w:val="bottom"/>
          </w:tcPr>
          <w:p w14:paraId="3949E8AD" w14:textId="59960A46"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21.4%</w:t>
            </w:r>
          </w:p>
        </w:tc>
        <w:tc>
          <w:tcPr>
            <w:tcW w:w="619" w:type="dxa"/>
            <w:gridSpan w:val="2"/>
            <w:tcBorders>
              <w:top w:val="nil"/>
              <w:left w:val="nil"/>
              <w:bottom w:val="nil"/>
              <w:right w:val="nil"/>
            </w:tcBorders>
            <w:shd w:val="clear" w:color="000000" w:fill="FFFFFF"/>
            <w:noWrap/>
            <w:vAlign w:val="bottom"/>
          </w:tcPr>
          <w:p w14:paraId="63700758" w14:textId="6C14FE9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0.001</w:t>
            </w:r>
          </w:p>
        </w:tc>
      </w:tr>
      <w:tr w:rsidR="00C2204F" w:rsidRPr="00EA3957" w14:paraId="09A8C275" w14:textId="77777777" w:rsidTr="00C2204F">
        <w:trPr>
          <w:trHeight w:val="288"/>
        </w:trPr>
        <w:tc>
          <w:tcPr>
            <w:tcW w:w="1710" w:type="dxa"/>
            <w:tcBorders>
              <w:top w:val="nil"/>
              <w:left w:val="nil"/>
              <w:bottom w:val="nil"/>
              <w:right w:val="nil"/>
            </w:tcBorders>
            <w:shd w:val="clear" w:color="000000" w:fill="FFFFFF"/>
            <w:noWrap/>
            <w:vAlign w:val="bottom"/>
            <w:hideMark/>
          </w:tcPr>
          <w:p w14:paraId="52037BC7"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6AB0512A" w14:textId="7C77B48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745</w:t>
            </w:r>
          </w:p>
        </w:tc>
        <w:tc>
          <w:tcPr>
            <w:tcW w:w="630" w:type="dxa"/>
            <w:gridSpan w:val="2"/>
            <w:tcBorders>
              <w:top w:val="nil"/>
              <w:left w:val="nil"/>
              <w:bottom w:val="nil"/>
              <w:right w:val="nil"/>
            </w:tcBorders>
            <w:shd w:val="clear" w:color="000000" w:fill="FFFFFF"/>
            <w:noWrap/>
            <w:vAlign w:val="bottom"/>
          </w:tcPr>
          <w:p w14:paraId="0926AA3A" w14:textId="1756935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1328</w:t>
            </w:r>
          </w:p>
        </w:tc>
        <w:tc>
          <w:tcPr>
            <w:tcW w:w="99" w:type="dxa"/>
            <w:gridSpan w:val="2"/>
            <w:tcBorders>
              <w:top w:val="nil"/>
              <w:left w:val="nil"/>
              <w:bottom w:val="nil"/>
              <w:right w:val="nil"/>
            </w:tcBorders>
            <w:shd w:val="clear" w:color="000000" w:fill="FFFFFF"/>
            <w:noWrap/>
            <w:vAlign w:val="bottom"/>
          </w:tcPr>
          <w:p w14:paraId="2B5D311D" w14:textId="6F60204A"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131E84C" w14:textId="55C397F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$226</w:t>
            </w:r>
          </w:p>
        </w:tc>
        <w:tc>
          <w:tcPr>
            <w:tcW w:w="711" w:type="dxa"/>
            <w:gridSpan w:val="2"/>
            <w:tcBorders>
              <w:top w:val="nil"/>
              <w:left w:val="nil"/>
              <w:bottom w:val="nil"/>
              <w:right w:val="nil"/>
            </w:tcBorders>
            <w:shd w:val="clear" w:color="000000" w:fill="FFFFFF"/>
            <w:noWrap/>
            <w:vAlign w:val="bottom"/>
          </w:tcPr>
          <w:p w14:paraId="62A97F61" w14:textId="4BAAAE5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$276</w:t>
            </w:r>
          </w:p>
        </w:tc>
        <w:tc>
          <w:tcPr>
            <w:tcW w:w="662" w:type="dxa"/>
            <w:tcBorders>
              <w:top w:val="nil"/>
              <w:left w:val="nil"/>
              <w:bottom w:val="nil"/>
              <w:right w:val="nil"/>
            </w:tcBorders>
            <w:shd w:val="clear" w:color="000000" w:fill="FFFFFF"/>
            <w:noWrap/>
            <w:vAlign w:val="bottom"/>
          </w:tcPr>
          <w:p w14:paraId="1B8888ED" w14:textId="6DEEE28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$126</w:t>
            </w:r>
          </w:p>
        </w:tc>
        <w:tc>
          <w:tcPr>
            <w:tcW w:w="711" w:type="dxa"/>
            <w:gridSpan w:val="2"/>
            <w:tcBorders>
              <w:top w:val="nil"/>
              <w:left w:val="nil"/>
              <w:bottom w:val="nil"/>
              <w:right w:val="nil"/>
            </w:tcBorders>
            <w:shd w:val="clear" w:color="000000" w:fill="FFFFFF"/>
            <w:noWrap/>
            <w:vAlign w:val="bottom"/>
          </w:tcPr>
          <w:p w14:paraId="5FF9BA05" w14:textId="0074FAE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$302</w:t>
            </w:r>
          </w:p>
        </w:tc>
        <w:tc>
          <w:tcPr>
            <w:tcW w:w="728" w:type="dxa"/>
            <w:tcBorders>
              <w:top w:val="nil"/>
              <w:left w:val="nil"/>
              <w:bottom w:val="nil"/>
              <w:right w:val="nil"/>
            </w:tcBorders>
            <w:shd w:val="clear" w:color="000000" w:fill="FFFFFF"/>
            <w:noWrap/>
            <w:vAlign w:val="bottom"/>
          </w:tcPr>
          <w:p w14:paraId="0A624E6D" w14:textId="22C97F9A"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-49.1%</w:t>
            </w:r>
          </w:p>
        </w:tc>
        <w:tc>
          <w:tcPr>
            <w:tcW w:w="584" w:type="dxa"/>
            <w:gridSpan w:val="2"/>
            <w:tcBorders>
              <w:top w:val="nil"/>
              <w:left w:val="nil"/>
              <w:bottom w:val="nil"/>
              <w:right w:val="nil"/>
            </w:tcBorders>
            <w:shd w:val="clear" w:color="000000" w:fill="FFFFFF"/>
            <w:noWrap/>
            <w:vAlign w:val="bottom"/>
          </w:tcPr>
          <w:p w14:paraId="786761B1" w14:textId="2731061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311BC90D" w14:textId="1EC2BEB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1FCB40B" w14:textId="301A357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98" w:type="dxa"/>
            <w:gridSpan w:val="2"/>
            <w:tcBorders>
              <w:top w:val="nil"/>
              <w:left w:val="nil"/>
              <w:bottom w:val="nil"/>
              <w:right w:val="nil"/>
            </w:tcBorders>
            <w:shd w:val="clear" w:color="000000" w:fill="FFFFFF"/>
            <w:noWrap/>
            <w:vAlign w:val="bottom"/>
          </w:tcPr>
          <w:p w14:paraId="2693C5F1" w14:textId="788248B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500" w:type="dxa"/>
            <w:tcBorders>
              <w:top w:val="nil"/>
              <w:left w:val="nil"/>
              <w:bottom w:val="nil"/>
              <w:right w:val="nil"/>
            </w:tcBorders>
            <w:shd w:val="clear" w:color="000000" w:fill="FFFFFF"/>
            <w:noWrap/>
            <w:vAlign w:val="bottom"/>
          </w:tcPr>
          <w:p w14:paraId="0E1D6E05" w14:textId="392DAB2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11.5</w:t>
            </w:r>
          </w:p>
        </w:tc>
        <w:tc>
          <w:tcPr>
            <w:tcW w:w="757" w:type="dxa"/>
            <w:gridSpan w:val="2"/>
            <w:tcBorders>
              <w:top w:val="nil"/>
              <w:left w:val="nil"/>
              <w:bottom w:val="nil"/>
              <w:right w:val="nil"/>
            </w:tcBorders>
            <w:shd w:val="clear" w:color="000000" w:fill="FFFFFF"/>
            <w:noWrap/>
            <w:vAlign w:val="bottom"/>
          </w:tcPr>
          <w:p w14:paraId="1A126386" w14:textId="280BDEA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10.9</w:t>
            </w:r>
          </w:p>
        </w:tc>
        <w:tc>
          <w:tcPr>
            <w:tcW w:w="728" w:type="dxa"/>
            <w:tcBorders>
              <w:top w:val="nil"/>
              <w:left w:val="nil"/>
              <w:bottom w:val="nil"/>
              <w:right w:val="nil"/>
            </w:tcBorders>
            <w:shd w:val="clear" w:color="000000" w:fill="FFFFFF"/>
            <w:noWrap/>
            <w:vAlign w:val="bottom"/>
          </w:tcPr>
          <w:p w14:paraId="4E80DDE0" w14:textId="6A6933DC"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4.8%</w:t>
            </w:r>
          </w:p>
        </w:tc>
        <w:tc>
          <w:tcPr>
            <w:tcW w:w="619" w:type="dxa"/>
            <w:gridSpan w:val="2"/>
            <w:tcBorders>
              <w:top w:val="nil"/>
              <w:left w:val="nil"/>
              <w:bottom w:val="nil"/>
              <w:right w:val="nil"/>
            </w:tcBorders>
            <w:shd w:val="clear" w:color="000000" w:fill="FFFFFF"/>
            <w:noWrap/>
            <w:vAlign w:val="bottom"/>
          </w:tcPr>
          <w:p w14:paraId="40CCBE2E" w14:textId="60F7698B"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0.092</w:t>
            </w:r>
          </w:p>
        </w:tc>
      </w:tr>
      <w:tr w:rsidR="00C2204F" w:rsidRPr="00EA3957" w14:paraId="5D455F22" w14:textId="77777777" w:rsidTr="00C2204F">
        <w:trPr>
          <w:trHeight w:val="288"/>
        </w:trPr>
        <w:tc>
          <w:tcPr>
            <w:tcW w:w="1710" w:type="dxa"/>
            <w:tcBorders>
              <w:top w:val="nil"/>
              <w:left w:val="nil"/>
              <w:bottom w:val="nil"/>
              <w:right w:val="nil"/>
            </w:tcBorders>
            <w:shd w:val="clear" w:color="000000" w:fill="FFFFFF"/>
            <w:noWrap/>
            <w:vAlign w:val="bottom"/>
            <w:hideMark/>
          </w:tcPr>
          <w:p w14:paraId="2A38AA84"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5AF263A4" w14:textId="0E98E58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810</w:t>
            </w:r>
          </w:p>
        </w:tc>
        <w:tc>
          <w:tcPr>
            <w:tcW w:w="630" w:type="dxa"/>
            <w:gridSpan w:val="2"/>
            <w:tcBorders>
              <w:top w:val="nil"/>
              <w:left w:val="nil"/>
              <w:bottom w:val="nil"/>
              <w:right w:val="nil"/>
            </w:tcBorders>
            <w:shd w:val="clear" w:color="000000" w:fill="FFFFFF"/>
            <w:noWrap/>
            <w:vAlign w:val="bottom"/>
          </w:tcPr>
          <w:p w14:paraId="1FE574AE" w14:textId="1AAADC7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1465</w:t>
            </w:r>
          </w:p>
        </w:tc>
        <w:tc>
          <w:tcPr>
            <w:tcW w:w="99" w:type="dxa"/>
            <w:gridSpan w:val="2"/>
            <w:tcBorders>
              <w:top w:val="nil"/>
              <w:left w:val="nil"/>
              <w:bottom w:val="nil"/>
              <w:right w:val="nil"/>
            </w:tcBorders>
            <w:shd w:val="clear" w:color="000000" w:fill="FFFFFF"/>
            <w:noWrap/>
            <w:vAlign w:val="bottom"/>
          </w:tcPr>
          <w:p w14:paraId="40B9F27B" w14:textId="27D97CD5"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8982629" w14:textId="5D96AD8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$143</w:t>
            </w:r>
          </w:p>
        </w:tc>
        <w:tc>
          <w:tcPr>
            <w:tcW w:w="711" w:type="dxa"/>
            <w:gridSpan w:val="2"/>
            <w:tcBorders>
              <w:top w:val="nil"/>
              <w:left w:val="nil"/>
              <w:bottom w:val="nil"/>
              <w:right w:val="nil"/>
            </w:tcBorders>
            <w:shd w:val="clear" w:color="000000" w:fill="FFFFFF"/>
            <w:noWrap/>
            <w:vAlign w:val="bottom"/>
          </w:tcPr>
          <w:p w14:paraId="3FFCC5B1" w14:textId="788CE09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$195</w:t>
            </w:r>
          </w:p>
        </w:tc>
        <w:tc>
          <w:tcPr>
            <w:tcW w:w="662" w:type="dxa"/>
            <w:tcBorders>
              <w:top w:val="nil"/>
              <w:left w:val="nil"/>
              <w:bottom w:val="nil"/>
              <w:right w:val="nil"/>
            </w:tcBorders>
            <w:shd w:val="clear" w:color="000000" w:fill="FFFFFF"/>
            <w:noWrap/>
            <w:vAlign w:val="bottom"/>
          </w:tcPr>
          <w:p w14:paraId="5F38E620" w14:textId="4F9045E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$84</w:t>
            </w:r>
          </w:p>
        </w:tc>
        <w:tc>
          <w:tcPr>
            <w:tcW w:w="711" w:type="dxa"/>
            <w:gridSpan w:val="2"/>
            <w:tcBorders>
              <w:top w:val="nil"/>
              <w:left w:val="nil"/>
              <w:bottom w:val="nil"/>
              <w:right w:val="nil"/>
            </w:tcBorders>
            <w:shd w:val="clear" w:color="000000" w:fill="FFFFFF"/>
            <w:noWrap/>
            <w:vAlign w:val="bottom"/>
          </w:tcPr>
          <w:p w14:paraId="24E136C3" w14:textId="6CD5F14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$207</w:t>
            </w:r>
          </w:p>
        </w:tc>
        <w:tc>
          <w:tcPr>
            <w:tcW w:w="728" w:type="dxa"/>
            <w:tcBorders>
              <w:top w:val="nil"/>
              <w:left w:val="nil"/>
              <w:bottom w:val="nil"/>
              <w:right w:val="nil"/>
            </w:tcBorders>
            <w:shd w:val="clear" w:color="000000" w:fill="FFFFFF"/>
            <w:noWrap/>
            <w:vAlign w:val="bottom"/>
          </w:tcPr>
          <w:p w14:paraId="6EFEA836" w14:textId="669511A5"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-44.6%</w:t>
            </w:r>
          </w:p>
        </w:tc>
        <w:tc>
          <w:tcPr>
            <w:tcW w:w="584" w:type="dxa"/>
            <w:gridSpan w:val="2"/>
            <w:tcBorders>
              <w:top w:val="nil"/>
              <w:left w:val="nil"/>
              <w:bottom w:val="nil"/>
              <w:right w:val="nil"/>
            </w:tcBorders>
            <w:shd w:val="clear" w:color="000000" w:fill="FFFFFF"/>
            <w:noWrap/>
            <w:vAlign w:val="bottom"/>
          </w:tcPr>
          <w:p w14:paraId="3A88037F" w14:textId="7FD2C84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EFAFDED" w14:textId="5459FD6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DEC17F5" w14:textId="1B5AEF2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14.3</w:t>
            </w:r>
          </w:p>
        </w:tc>
        <w:tc>
          <w:tcPr>
            <w:tcW w:w="798" w:type="dxa"/>
            <w:gridSpan w:val="2"/>
            <w:tcBorders>
              <w:top w:val="nil"/>
              <w:left w:val="nil"/>
              <w:bottom w:val="nil"/>
              <w:right w:val="nil"/>
            </w:tcBorders>
            <w:shd w:val="clear" w:color="000000" w:fill="FFFFFF"/>
            <w:noWrap/>
            <w:vAlign w:val="bottom"/>
          </w:tcPr>
          <w:p w14:paraId="755FE7F2" w14:textId="0A94538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14.7</w:t>
            </w:r>
          </w:p>
        </w:tc>
        <w:tc>
          <w:tcPr>
            <w:tcW w:w="500" w:type="dxa"/>
            <w:tcBorders>
              <w:top w:val="nil"/>
              <w:left w:val="nil"/>
              <w:bottom w:val="nil"/>
              <w:right w:val="nil"/>
            </w:tcBorders>
            <w:shd w:val="clear" w:color="000000" w:fill="FFFFFF"/>
            <w:noWrap/>
            <w:vAlign w:val="bottom"/>
          </w:tcPr>
          <w:p w14:paraId="7B5215DD" w14:textId="77551EA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17.1</w:t>
            </w:r>
          </w:p>
        </w:tc>
        <w:tc>
          <w:tcPr>
            <w:tcW w:w="757" w:type="dxa"/>
            <w:gridSpan w:val="2"/>
            <w:tcBorders>
              <w:top w:val="nil"/>
              <w:left w:val="nil"/>
              <w:bottom w:val="nil"/>
              <w:right w:val="nil"/>
            </w:tcBorders>
            <w:shd w:val="clear" w:color="000000" w:fill="FFFFFF"/>
            <w:noWrap/>
            <w:vAlign w:val="bottom"/>
          </w:tcPr>
          <w:p w14:paraId="171DAF4E" w14:textId="1786113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16.3</w:t>
            </w:r>
          </w:p>
        </w:tc>
        <w:tc>
          <w:tcPr>
            <w:tcW w:w="728" w:type="dxa"/>
            <w:tcBorders>
              <w:top w:val="nil"/>
              <w:left w:val="nil"/>
              <w:bottom w:val="nil"/>
              <w:right w:val="nil"/>
            </w:tcBorders>
            <w:shd w:val="clear" w:color="000000" w:fill="FFFFFF"/>
            <w:noWrap/>
            <w:vAlign w:val="bottom"/>
          </w:tcPr>
          <w:p w14:paraId="68DB0C17" w14:textId="0D4F19F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8.1%</w:t>
            </w:r>
          </w:p>
        </w:tc>
        <w:tc>
          <w:tcPr>
            <w:tcW w:w="619" w:type="dxa"/>
            <w:gridSpan w:val="2"/>
            <w:tcBorders>
              <w:top w:val="nil"/>
              <w:left w:val="nil"/>
              <w:bottom w:val="nil"/>
              <w:right w:val="nil"/>
            </w:tcBorders>
            <w:shd w:val="clear" w:color="000000" w:fill="FFFFFF"/>
            <w:noWrap/>
            <w:vAlign w:val="bottom"/>
          </w:tcPr>
          <w:p w14:paraId="366BB682" w14:textId="2EA3C7F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0.004</w:t>
            </w:r>
          </w:p>
        </w:tc>
      </w:tr>
      <w:tr w:rsidR="00C2204F" w:rsidRPr="00EA3957" w14:paraId="7FE3F38A" w14:textId="77777777" w:rsidTr="00C2204F">
        <w:trPr>
          <w:trHeight w:val="288"/>
        </w:trPr>
        <w:tc>
          <w:tcPr>
            <w:tcW w:w="1710" w:type="dxa"/>
            <w:tcBorders>
              <w:top w:val="nil"/>
              <w:left w:val="nil"/>
              <w:bottom w:val="nil"/>
              <w:right w:val="nil"/>
            </w:tcBorders>
            <w:shd w:val="clear" w:color="000000" w:fill="FFFFFF"/>
            <w:noWrap/>
            <w:vAlign w:val="bottom"/>
            <w:hideMark/>
          </w:tcPr>
          <w:p w14:paraId="495F8740"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70D46B4D" w14:textId="5C3A064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61</w:t>
            </w:r>
          </w:p>
        </w:tc>
        <w:tc>
          <w:tcPr>
            <w:tcW w:w="630" w:type="dxa"/>
            <w:gridSpan w:val="2"/>
            <w:tcBorders>
              <w:top w:val="nil"/>
              <w:left w:val="nil"/>
              <w:bottom w:val="nil"/>
              <w:right w:val="nil"/>
            </w:tcBorders>
            <w:shd w:val="clear" w:color="000000" w:fill="FFFFFF"/>
            <w:noWrap/>
            <w:vAlign w:val="bottom"/>
          </w:tcPr>
          <w:p w14:paraId="20256D00" w14:textId="39106FB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145</w:t>
            </w:r>
          </w:p>
        </w:tc>
        <w:tc>
          <w:tcPr>
            <w:tcW w:w="99" w:type="dxa"/>
            <w:gridSpan w:val="2"/>
            <w:tcBorders>
              <w:top w:val="nil"/>
              <w:left w:val="nil"/>
              <w:bottom w:val="nil"/>
              <w:right w:val="nil"/>
            </w:tcBorders>
            <w:shd w:val="clear" w:color="000000" w:fill="FFFFFF"/>
            <w:noWrap/>
            <w:vAlign w:val="bottom"/>
          </w:tcPr>
          <w:p w14:paraId="56D34E93" w14:textId="469AC514"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37A3260" w14:textId="3A8764E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$244</w:t>
            </w:r>
          </w:p>
        </w:tc>
        <w:tc>
          <w:tcPr>
            <w:tcW w:w="711" w:type="dxa"/>
            <w:gridSpan w:val="2"/>
            <w:tcBorders>
              <w:top w:val="nil"/>
              <w:left w:val="nil"/>
              <w:bottom w:val="nil"/>
              <w:right w:val="nil"/>
            </w:tcBorders>
            <w:shd w:val="clear" w:color="000000" w:fill="FFFFFF"/>
            <w:noWrap/>
            <w:vAlign w:val="bottom"/>
          </w:tcPr>
          <w:p w14:paraId="01EB3F9B" w14:textId="7738086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$240</w:t>
            </w:r>
          </w:p>
        </w:tc>
        <w:tc>
          <w:tcPr>
            <w:tcW w:w="662" w:type="dxa"/>
            <w:tcBorders>
              <w:top w:val="nil"/>
              <w:left w:val="nil"/>
              <w:bottom w:val="nil"/>
              <w:right w:val="nil"/>
            </w:tcBorders>
            <w:shd w:val="clear" w:color="000000" w:fill="FFFFFF"/>
            <w:noWrap/>
            <w:vAlign w:val="bottom"/>
          </w:tcPr>
          <w:p w14:paraId="38F3CFA9" w14:textId="3BA7409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$80</w:t>
            </w:r>
          </w:p>
        </w:tc>
        <w:tc>
          <w:tcPr>
            <w:tcW w:w="711" w:type="dxa"/>
            <w:gridSpan w:val="2"/>
            <w:tcBorders>
              <w:top w:val="nil"/>
              <w:left w:val="nil"/>
              <w:bottom w:val="nil"/>
              <w:right w:val="nil"/>
            </w:tcBorders>
            <w:shd w:val="clear" w:color="000000" w:fill="FFFFFF"/>
            <w:noWrap/>
            <w:vAlign w:val="bottom"/>
          </w:tcPr>
          <w:p w14:paraId="7C7262A1" w14:textId="1A66C82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$232</w:t>
            </w:r>
          </w:p>
        </w:tc>
        <w:tc>
          <w:tcPr>
            <w:tcW w:w="728" w:type="dxa"/>
            <w:tcBorders>
              <w:top w:val="nil"/>
              <w:left w:val="nil"/>
              <w:bottom w:val="nil"/>
              <w:right w:val="nil"/>
            </w:tcBorders>
            <w:shd w:val="clear" w:color="000000" w:fill="FFFFFF"/>
            <w:noWrap/>
            <w:vAlign w:val="bottom"/>
          </w:tcPr>
          <w:p w14:paraId="4B3EC255" w14:textId="7418BF4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-66.2%</w:t>
            </w:r>
          </w:p>
        </w:tc>
        <w:tc>
          <w:tcPr>
            <w:tcW w:w="584" w:type="dxa"/>
            <w:gridSpan w:val="2"/>
            <w:tcBorders>
              <w:top w:val="nil"/>
              <w:left w:val="nil"/>
              <w:bottom w:val="nil"/>
              <w:right w:val="nil"/>
            </w:tcBorders>
            <w:shd w:val="clear" w:color="000000" w:fill="FFFFFF"/>
            <w:noWrap/>
            <w:vAlign w:val="bottom"/>
          </w:tcPr>
          <w:p w14:paraId="41B21CDB" w14:textId="746EFB74"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909DF90" w14:textId="60B18A4C"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AD287A1" w14:textId="16137AE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798" w:type="dxa"/>
            <w:gridSpan w:val="2"/>
            <w:tcBorders>
              <w:top w:val="nil"/>
              <w:left w:val="nil"/>
              <w:bottom w:val="nil"/>
              <w:right w:val="nil"/>
            </w:tcBorders>
            <w:shd w:val="clear" w:color="000000" w:fill="FFFFFF"/>
            <w:noWrap/>
            <w:vAlign w:val="bottom"/>
          </w:tcPr>
          <w:p w14:paraId="39AA100B" w14:textId="045DA11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8.1</w:t>
            </w:r>
          </w:p>
        </w:tc>
        <w:tc>
          <w:tcPr>
            <w:tcW w:w="500" w:type="dxa"/>
            <w:tcBorders>
              <w:top w:val="nil"/>
              <w:left w:val="nil"/>
              <w:bottom w:val="nil"/>
              <w:right w:val="nil"/>
            </w:tcBorders>
            <w:shd w:val="clear" w:color="000000" w:fill="FFFFFF"/>
            <w:noWrap/>
            <w:vAlign w:val="bottom"/>
          </w:tcPr>
          <w:p w14:paraId="4C3646B2" w14:textId="16FAC92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10.4</w:t>
            </w:r>
          </w:p>
        </w:tc>
        <w:tc>
          <w:tcPr>
            <w:tcW w:w="757" w:type="dxa"/>
            <w:gridSpan w:val="2"/>
            <w:tcBorders>
              <w:top w:val="nil"/>
              <w:left w:val="nil"/>
              <w:bottom w:val="nil"/>
              <w:right w:val="nil"/>
            </w:tcBorders>
            <w:shd w:val="clear" w:color="000000" w:fill="FFFFFF"/>
            <w:noWrap/>
            <w:vAlign w:val="bottom"/>
          </w:tcPr>
          <w:p w14:paraId="5942E631" w14:textId="2E039B0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7.6</w:t>
            </w:r>
          </w:p>
        </w:tc>
        <w:tc>
          <w:tcPr>
            <w:tcW w:w="728" w:type="dxa"/>
            <w:tcBorders>
              <w:top w:val="nil"/>
              <w:left w:val="nil"/>
              <w:bottom w:val="nil"/>
              <w:right w:val="nil"/>
            </w:tcBorders>
            <w:shd w:val="clear" w:color="000000" w:fill="FFFFFF"/>
            <w:noWrap/>
            <w:vAlign w:val="bottom"/>
          </w:tcPr>
          <w:p w14:paraId="7685C33C" w14:textId="5B6069A3"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18.1%</w:t>
            </w:r>
          </w:p>
        </w:tc>
        <w:tc>
          <w:tcPr>
            <w:tcW w:w="619" w:type="dxa"/>
            <w:gridSpan w:val="2"/>
            <w:tcBorders>
              <w:top w:val="nil"/>
              <w:left w:val="nil"/>
              <w:bottom w:val="nil"/>
              <w:right w:val="nil"/>
            </w:tcBorders>
            <w:shd w:val="clear" w:color="000000" w:fill="FFFFFF"/>
            <w:noWrap/>
            <w:vAlign w:val="bottom"/>
          </w:tcPr>
          <w:p w14:paraId="049FC20C" w14:textId="1CC16E3B"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0.110</w:t>
            </w:r>
          </w:p>
        </w:tc>
      </w:tr>
      <w:tr w:rsidR="00C2204F" w:rsidRPr="00EA3957" w14:paraId="6818686D" w14:textId="77777777" w:rsidTr="00C2204F">
        <w:trPr>
          <w:trHeight w:val="288"/>
        </w:trPr>
        <w:tc>
          <w:tcPr>
            <w:tcW w:w="1710" w:type="dxa"/>
            <w:tcBorders>
              <w:top w:val="nil"/>
              <w:left w:val="nil"/>
              <w:bottom w:val="nil"/>
              <w:right w:val="nil"/>
            </w:tcBorders>
            <w:shd w:val="clear" w:color="000000" w:fill="FFFFFF"/>
            <w:noWrap/>
            <w:vAlign w:val="bottom"/>
            <w:hideMark/>
          </w:tcPr>
          <w:p w14:paraId="6702E346"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74D5F53B" w14:textId="43AE830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135</w:t>
            </w:r>
          </w:p>
        </w:tc>
        <w:tc>
          <w:tcPr>
            <w:tcW w:w="630" w:type="dxa"/>
            <w:gridSpan w:val="2"/>
            <w:tcBorders>
              <w:top w:val="nil"/>
              <w:left w:val="nil"/>
              <w:bottom w:val="nil"/>
              <w:right w:val="nil"/>
            </w:tcBorders>
            <w:shd w:val="clear" w:color="000000" w:fill="FFFFFF"/>
            <w:noWrap/>
            <w:vAlign w:val="bottom"/>
          </w:tcPr>
          <w:p w14:paraId="4F2DBB7D" w14:textId="18E4B8B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237</w:t>
            </w:r>
          </w:p>
        </w:tc>
        <w:tc>
          <w:tcPr>
            <w:tcW w:w="99" w:type="dxa"/>
            <w:gridSpan w:val="2"/>
            <w:tcBorders>
              <w:top w:val="nil"/>
              <w:left w:val="nil"/>
              <w:bottom w:val="nil"/>
              <w:right w:val="nil"/>
            </w:tcBorders>
            <w:shd w:val="clear" w:color="000000" w:fill="FFFFFF"/>
            <w:noWrap/>
            <w:vAlign w:val="bottom"/>
          </w:tcPr>
          <w:p w14:paraId="287E8959" w14:textId="198E5DC2"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1967D421" w14:textId="05AF8DD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$190</w:t>
            </w:r>
          </w:p>
        </w:tc>
        <w:tc>
          <w:tcPr>
            <w:tcW w:w="711" w:type="dxa"/>
            <w:gridSpan w:val="2"/>
            <w:tcBorders>
              <w:top w:val="nil"/>
              <w:left w:val="nil"/>
              <w:bottom w:val="nil"/>
              <w:right w:val="nil"/>
            </w:tcBorders>
            <w:shd w:val="clear" w:color="000000" w:fill="FFFFFF"/>
            <w:noWrap/>
            <w:vAlign w:val="bottom"/>
          </w:tcPr>
          <w:p w14:paraId="3F41C3B0" w14:textId="3AE0DA4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$169</w:t>
            </w:r>
          </w:p>
        </w:tc>
        <w:tc>
          <w:tcPr>
            <w:tcW w:w="662" w:type="dxa"/>
            <w:tcBorders>
              <w:top w:val="nil"/>
              <w:left w:val="nil"/>
              <w:bottom w:val="nil"/>
              <w:right w:val="nil"/>
            </w:tcBorders>
            <w:shd w:val="clear" w:color="000000" w:fill="FFFFFF"/>
            <w:noWrap/>
            <w:vAlign w:val="bottom"/>
          </w:tcPr>
          <w:p w14:paraId="58FD1EA3" w14:textId="5F21BA1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$88</w:t>
            </w:r>
          </w:p>
        </w:tc>
        <w:tc>
          <w:tcPr>
            <w:tcW w:w="711" w:type="dxa"/>
            <w:gridSpan w:val="2"/>
            <w:tcBorders>
              <w:top w:val="nil"/>
              <w:left w:val="nil"/>
              <w:bottom w:val="nil"/>
              <w:right w:val="nil"/>
            </w:tcBorders>
            <w:shd w:val="clear" w:color="000000" w:fill="FFFFFF"/>
            <w:noWrap/>
            <w:vAlign w:val="bottom"/>
          </w:tcPr>
          <w:p w14:paraId="018D3C0B" w14:textId="2BECF35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$149</w:t>
            </w:r>
          </w:p>
        </w:tc>
        <w:tc>
          <w:tcPr>
            <w:tcW w:w="728" w:type="dxa"/>
            <w:tcBorders>
              <w:top w:val="nil"/>
              <w:left w:val="nil"/>
              <w:bottom w:val="nil"/>
              <w:right w:val="nil"/>
            </w:tcBorders>
            <w:shd w:val="clear" w:color="000000" w:fill="FFFFFF"/>
            <w:noWrap/>
            <w:vAlign w:val="bottom"/>
          </w:tcPr>
          <w:p w14:paraId="224529E5" w14:textId="3C3F915E"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-47.7%</w:t>
            </w:r>
          </w:p>
        </w:tc>
        <w:tc>
          <w:tcPr>
            <w:tcW w:w="584" w:type="dxa"/>
            <w:gridSpan w:val="2"/>
            <w:tcBorders>
              <w:top w:val="nil"/>
              <w:left w:val="nil"/>
              <w:bottom w:val="nil"/>
              <w:right w:val="nil"/>
            </w:tcBorders>
            <w:shd w:val="clear" w:color="000000" w:fill="FFFFFF"/>
            <w:noWrap/>
            <w:vAlign w:val="bottom"/>
          </w:tcPr>
          <w:p w14:paraId="5264FD00" w14:textId="6DB8914C"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74AC0EF" w14:textId="5CAAFBC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59D83709" w14:textId="268911B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4.9</w:t>
            </w:r>
          </w:p>
        </w:tc>
        <w:tc>
          <w:tcPr>
            <w:tcW w:w="798" w:type="dxa"/>
            <w:gridSpan w:val="2"/>
            <w:tcBorders>
              <w:top w:val="nil"/>
              <w:left w:val="nil"/>
              <w:bottom w:val="nil"/>
              <w:right w:val="nil"/>
            </w:tcBorders>
            <w:shd w:val="clear" w:color="000000" w:fill="FFFFFF"/>
            <w:noWrap/>
            <w:vAlign w:val="bottom"/>
          </w:tcPr>
          <w:p w14:paraId="56C44689" w14:textId="7379D4A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4.5</w:t>
            </w:r>
          </w:p>
        </w:tc>
        <w:tc>
          <w:tcPr>
            <w:tcW w:w="500" w:type="dxa"/>
            <w:tcBorders>
              <w:top w:val="nil"/>
              <w:left w:val="nil"/>
              <w:bottom w:val="nil"/>
              <w:right w:val="nil"/>
            </w:tcBorders>
            <w:shd w:val="clear" w:color="000000" w:fill="FFFFFF"/>
            <w:noWrap/>
            <w:vAlign w:val="bottom"/>
          </w:tcPr>
          <w:p w14:paraId="42D2CFAF" w14:textId="23DFDA7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4.9</w:t>
            </w:r>
          </w:p>
        </w:tc>
        <w:tc>
          <w:tcPr>
            <w:tcW w:w="757" w:type="dxa"/>
            <w:gridSpan w:val="2"/>
            <w:tcBorders>
              <w:top w:val="nil"/>
              <w:left w:val="nil"/>
              <w:bottom w:val="nil"/>
              <w:right w:val="nil"/>
            </w:tcBorders>
            <w:shd w:val="clear" w:color="000000" w:fill="FFFFFF"/>
            <w:noWrap/>
            <w:vAlign w:val="bottom"/>
          </w:tcPr>
          <w:p w14:paraId="2C764537" w14:textId="5DCCF24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4.0</w:t>
            </w:r>
          </w:p>
        </w:tc>
        <w:tc>
          <w:tcPr>
            <w:tcW w:w="728" w:type="dxa"/>
            <w:tcBorders>
              <w:top w:val="nil"/>
              <w:left w:val="nil"/>
              <w:bottom w:val="nil"/>
              <w:right w:val="nil"/>
            </w:tcBorders>
            <w:shd w:val="clear" w:color="000000" w:fill="FFFFFF"/>
            <w:noWrap/>
            <w:vAlign w:val="bottom"/>
          </w:tcPr>
          <w:p w14:paraId="504A2440" w14:textId="1A786378"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14.0%</w:t>
            </w:r>
          </w:p>
        </w:tc>
        <w:tc>
          <w:tcPr>
            <w:tcW w:w="619" w:type="dxa"/>
            <w:gridSpan w:val="2"/>
            <w:tcBorders>
              <w:top w:val="nil"/>
              <w:left w:val="nil"/>
              <w:bottom w:val="nil"/>
              <w:right w:val="nil"/>
            </w:tcBorders>
            <w:shd w:val="clear" w:color="000000" w:fill="FFFFFF"/>
            <w:noWrap/>
            <w:vAlign w:val="bottom"/>
          </w:tcPr>
          <w:p w14:paraId="475D79DA" w14:textId="178CB0DD"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0.247</w:t>
            </w:r>
          </w:p>
        </w:tc>
      </w:tr>
      <w:tr w:rsidR="00C2204F" w:rsidRPr="00EA3957" w14:paraId="7ECAC01C" w14:textId="77777777" w:rsidTr="00C2204F">
        <w:trPr>
          <w:trHeight w:val="288"/>
        </w:trPr>
        <w:tc>
          <w:tcPr>
            <w:tcW w:w="1710" w:type="dxa"/>
            <w:tcBorders>
              <w:top w:val="nil"/>
              <w:left w:val="nil"/>
              <w:bottom w:val="nil"/>
              <w:right w:val="nil"/>
            </w:tcBorders>
            <w:shd w:val="clear" w:color="000000" w:fill="FFFFFF"/>
            <w:noWrap/>
            <w:vAlign w:val="bottom"/>
            <w:hideMark/>
          </w:tcPr>
          <w:p w14:paraId="0B6AFB56"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2238CEA3" w14:textId="0B69BF9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252</w:t>
            </w:r>
          </w:p>
        </w:tc>
        <w:tc>
          <w:tcPr>
            <w:tcW w:w="630" w:type="dxa"/>
            <w:gridSpan w:val="2"/>
            <w:tcBorders>
              <w:top w:val="nil"/>
              <w:left w:val="nil"/>
              <w:bottom w:val="nil"/>
              <w:right w:val="nil"/>
            </w:tcBorders>
            <w:shd w:val="clear" w:color="000000" w:fill="FFFFFF"/>
            <w:noWrap/>
            <w:vAlign w:val="bottom"/>
          </w:tcPr>
          <w:p w14:paraId="785C061F" w14:textId="72E7CB4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490</w:t>
            </w:r>
          </w:p>
        </w:tc>
        <w:tc>
          <w:tcPr>
            <w:tcW w:w="99" w:type="dxa"/>
            <w:gridSpan w:val="2"/>
            <w:tcBorders>
              <w:top w:val="nil"/>
              <w:left w:val="nil"/>
              <w:bottom w:val="nil"/>
              <w:right w:val="nil"/>
            </w:tcBorders>
            <w:shd w:val="clear" w:color="000000" w:fill="FFFFFF"/>
            <w:noWrap/>
            <w:vAlign w:val="bottom"/>
          </w:tcPr>
          <w:p w14:paraId="7D63DB54" w14:textId="416DA726"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AE22052" w14:textId="26B2468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$154</w:t>
            </w:r>
          </w:p>
        </w:tc>
        <w:tc>
          <w:tcPr>
            <w:tcW w:w="711" w:type="dxa"/>
            <w:gridSpan w:val="2"/>
            <w:tcBorders>
              <w:top w:val="nil"/>
              <w:left w:val="nil"/>
              <w:bottom w:val="nil"/>
              <w:right w:val="nil"/>
            </w:tcBorders>
            <w:shd w:val="clear" w:color="000000" w:fill="FFFFFF"/>
            <w:noWrap/>
            <w:vAlign w:val="bottom"/>
          </w:tcPr>
          <w:p w14:paraId="4FFEDEE7" w14:textId="20488E3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$170</w:t>
            </w:r>
          </w:p>
        </w:tc>
        <w:tc>
          <w:tcPr>
            <w:tcW w:w="662" w:type="dxa"/>
            <w:tcBorders>
              <w:top w:val="nil"/>
              <w:left w:val="nil"/>
              <w:bottom w:val="nil"/>
              <w:right w:val="nil"/>
            </w:tcBorders>
            <w:shd w:val="clear" w:color="000000" w:fill="FFFFFF"/>
            <w:noWrap/>
            <w:vAlign w:val="bottom"/>
          </w:tcPr>
          <w:p w14:paraId="7FBA1A28" w14:textId="1A83F63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$181</w:t>
            </w:r>
          </w:p>
        </w:tc>
        <w:tc>
          <w:tcPr>
            <w:tcW w:w="711" w:type="dxa"/>
            <w:gridSpan w:val="2"/>
            <w:tcBorders>
              <w:top w:val="nil"/>
              <w:left w:val="nil"/>
              <w:bottom w:val="nil"/>
              <w:right w:val="nil"/>
            </w:tcBorders>
            <w:shd w:val="clear" w:color="000000" w:fill="FFFFFF"/>
            <w:noWrap/>
            <w:vAlign w:val="bottom"/>
          </w:tcPr>
          <w:p w14:paraId="218A735C" w14:textId="538A9FC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$175</w:t>
            </w:r>
          </w:p>
        </w:tc>
        <w:tc>
          <w:tcPr>
            <w:tcW w:w="728" w:type="dxa"/>
            <w:tcBorders>
              <w:top w:val="nil"/>
              <w:left w:val="nil"/>
              <w:bottom w:val="nil"/>
              <w:right w:val="nil"/>
            </w:tcBorders>
            <w:shd w:val="clear" w:color="000000" w:fill="FFFFFF"/>
            <w:noWrap/>
            <w:vAlign w:val="bottom"/>
          </w:tcPr>
          <w:p w14:paraId="57784997" w14:textId="0821A8A3"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14.6%</w:t>
            </w:r>
          </w:p>
        </w:tc>
        <w:tc>
          <w:tcPr>
            <w:tcW w:w="584" w:type="dxa"/>
            <w:gridSpan w:val="2"/>
            <w:tcBorders>
              <w:top w:val="nil"/>
              <w:left w:val="nil"/>
              <w:bottom w:val="nil"/>
              <w:right w:val="nil"/>
            </w:tcBorders>
            <w:shd w:val="clear" w:color="000000" w:fill="FFFFFF"/>
            <w:noWrap/>
            <w:vAlign w:val="bottom"/>
          </w:tcPr>
          <w:p w14:paraId="3CAC1666" w14:textId="0E4F1FED"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0.294</w:t>
            </w:r>
          </w:p>
        </w:tc>
        <w:tc>
          <w:tcPr>
            <w:tcW w:w="82" w:type="dxa"/>
            <w:gridSpan w:val="2"/>
            <w:tcBorders>
              <w:top w:val="nil"/>
              <w:left w:val="nil"/>
              <w:bottom w:val="nil"/>
              <w:right w:val="nil"/>
            </w:tcBorders>
            <w:shd w:val="clear" w:color="000000" w:fill="FFFFFF"/>
            <w:noWrap/>
            <w:vAlign w:val="bottom"/>
          </w:tcPr>
          <w:p w14:paraId="30E41A27" w14:textId="0C888F1B"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9CC0E81" w14:textId="6DE6C7A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9.1</w:t>
            </w:r>
          </w:p>
        </w:tc>
        <w:tc>
          <w:tcPr>
            <w:tcW w:w="798" w:type="dxa"/>
            <w:gridSpan w:val="2"/>
            <w:tcBorders>
              <w:top w:val="nil"/>
              <w:left w:val="nil"/>
              <w:bottom w:val="nil"/>
              <w:right w:val="nil"/>
            </w:tcBorders>
            <w:shd w:val="clear" w:color="000000" w:fill="FFFFFF"/>
            <w:noWrap/>
            <w:vAlign w:val="bottom"/>
          </w:tcPr>
          <w:p w14:paraId="64553783" w14:textId="4985A75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500" w:type="dxa"/>
            <w:tcBorders>
              <w:top w:val="nil"/>
              <w:left w:val="nil"/>
              <w:bottom w:val="nil"/>
              <w:right w:val="nil"/>
            </w:tcBorders>
            <w:shd w:val="clear" w:color="000000" w:fill="FFFFFF"/>
            <w:noWrap/>
            <w:vAlign w:val="bottom"/>
          </w:tcPr>
          <w:p w14:paraId="343F95D3" w14:textId="2771501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757" w:type="dxa"/>
            <w:gridSpan w:val="2"/>
            <w:tcBorders>
              <w:top w:val="nil"/>
              <w:left w:val="nil"/>
              <w:bottom w:val="nil"/>
              <w:right w:val="nil"/>
            </w:tcBorders>
            <w:shd w:val="clear" w:color="000000" w:fill="FFFFFF"/>
            <w:noWrap/>
            <w:vAlign w:val="bottom"/>
          </w:tcPr>
          <w:p w14:paraId="06639573" w14:textId="411AE8A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9.2</w:t>
            </w:r>
          </w:p>
        </w:tc>
        <w:tc>
          <w:tcPr>
            <w:tcW w:w="728" w:type="dxa"/>
            <w:tcBorders>
              <w:top w:val="nil"/>
              <w:left w:val="nil"/>
              <w:bottom w:val="nil"/>
              <w:right w:val="nil"/>
            </w:tcBorders>
            <w:shd w:val="clear" w:color="000000" w:fill="FFFFFF"/>
            <w:noWrap/>
            <w:vAlign w:val="bottom"/>
          </w:tcPr>
          <w:p w14:paraId="35690F6E" w14:textId="405D695A"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4.6%</w:t>
            </w:r>
          </w:p>
        </w:tc>
        <w:tc>
          <w:tcPr>
            <w:tcW w:w="619" w:type="dxa"/>
            <w:gridSpan w:val="2"/>
            <w:tcBorders>
              <w:top w:val="nil"/>
              <w:left w:val="nil"/>
              <w:bottom w:val="nil"/>
              <w:right w:val="nil"/>
            </w:tcBorders>
            <w:shd w:val="clear" w:color="000000" w:fill="FFFFFF"/>
            <w:noWrap/>
            <w:vAlign w:val="bottom"/>
          </w:tcPr>
          <w:p w14:paraId="1A81C0B6" w14:textId="5A9F6B20"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0.314</w:t>
            </w:r>
          </w:p>
        </w:tc>
      </w:tr>
      <w:tr w:rsidR="00C2204F" w:rsidRPr="00EA3957" w14:paraId="18B3D999" w14:textId="77777777" w:rsidTr="00C2204F">
        <w:trPr>
          <w:trHeight w:val="288"/>
        </w:trPr>
        <w:tc>
          <w:tcPr>
            <w:tcW w:w="1710" w:type="dxa"/>
            <w:tcBorders>
              <w:top w:val="nil"/>
              <w:left w:val="nil"/>
              <w:bottom w:val="nil"/>
              <w:right w:val="nil"/>
            </w:tcBorders>
            <w:shd w:val="clear" w:color="000000" w:fill="FFFFFF"/>
            <w:noWrap/>
            <w:vAlign w:val="bottom"/>
            <w:hideMark/>
          </w:tcPr>
          <w:p w14:paraId="4338E2A4"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785B79C7" w14:textId="30DD84C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153</w:t>
            </w:r>
          </w:p>
        </w:tc>
        <w:tc>
          <w:tcPr>
            <w:tcW w:w="630" w:type="dxa"/>
            <w:gridSpan w:val="2"/>
            <w:tcBorders>
              <w:top w:val="nil"/>
              <w:left w:val="nil"/>
              <w:bottom w:val="nil"/>
              <w:right w:val="nil"/>
            </w:tcBorders>
            <w:shd w:val="clear" w:color="000000" w:fill="FFFFFF"/>
            <w:noWrap/>
            <w:vAlign w:val="bottom"/>
          </w:tcPr>
          <w:p w14:paraId="685BBD14" w14:textId="3D3B1A6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309</w:t>
            </w:r>
          </w:p>
        </w:tc>
        <w:tc>
          <w:tcPr>
            <w:tcW w:w="99" w:type="dxa"/>
            <w:gridSpan w:val="2"/>
            <w:tcBorders>
              <w:top w:val="nil"/>
              <w:left w:val="nil"/>
              <w:bottom w:val="nil"/>
              <w:right w:val="nil"/>
            </w:tcBorders>
            <w:shd w:val="clear" w:color="000000" w:fill="FFFFFF"/>
            <w:noWrap/>
            <w:vAlign w:val="bottom"/>
          </w:tcPr>
          <w:p w14:paraId="227196C9" w14:textId="1F7010DF"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AB273C9" w14:textId="29440AB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$241</w:t>
            </w:r>
          </w:p>
        </w:tc>
        <w:tc>
          <w:tcPr>
            <w:tcW w:w="711" w:type="dxa"/>
            <w:gridSpan w:val="2"/>
            <w:tcBorders>
              <w:top w:val="nil"/>
              <w:left w:val="nil"/>
              <w:bottom w:val="nil"/>
              <w:right w:val="nil"/>
            </w:tcBorders>
            <w:shd w:val="clear" w:color="000000" w:fill="FFFFFF"/>
            <w:noWrap/>
            <w:vAlign w:val="bottom"/>
          </w:tcPr>
          <w:p w14:paraId="2B10CCE6" w14:textId="325CB25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$143</w:t>
            </w:r>
          </w:p>
        </w:tc>
        <w:tc>
          <w:tcPr>
            <w:tcW w:w="662" w:type="dxa"/>
            <w:tcBorders>
              <w:top w:val="nil"/>
              <w:left w:val="nil"/>
              <w:bottom w:val="nil"/>
              <w:right w:val="nil"/>
            </w:tcBorders>
            <w:shd w:val="clear" w:color="000000" w:fill="FFFFFF"/>
            <w:noWrap/>
            <w:vAlign w:val="bottom"/>
          </w:tcPr>
          <w:p w14:paraId="3E91562B" w14:textId="293206C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$190</w:t>
            </w:r>
          </w:p>
        </w:tc>
        <w:tc>
          <w:tcPr>
            <w:tcW w:w="711" w:type="dxa"/>
            <w:gridSpan w:val="2"/>
            <w:tcBorders>
              <w:top w:val="nil"/>
              <w:left w:val="nil"/>
              <w:bottom w:val="nil"/>
              <w:right w:val="nil"/>
            </w:tcBorders>
            <w:shd w:val="clear" w:color="000000" w:fill="FFFFFF"/>
            <w:noWrap/>
            <w:vAlign w:val="bottom"/>
          </w:tcPr>
          <w:p w14:paraId="68A37574" w14:textId="7F3BA87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$128</w:t>
            </w:r>
          </w:p>
        </w:tc>
        <w:tc>
          <w:tcPr>
            <w:tcW w:w="728" w:type="dxa"/>
            <w:tcBorders>
              <w:top w:val="nil"/>
              <w:left w:val="nil"/>
              <w:bottom w:val="nil"/>
              <w:right w:val="nil"/>
            </w:tcBorders>
            <w:shd w:val="clear" w:color="000000" w:fill="FFFFFF"/>
            <w:noWrap/>
            <w:vAlign w:val="bottom"/>
          </w:tcPr>
          <w:p w14:paraId="61DDC811" w14:textId="2EBB77DD"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-12.1%</w:t>
            </w:r>
          </w:p>
        </w:tc>
        <w:tc>
          <w:tcPr>
            <w:tcW w:w="584" w:type="dxa"/>
            <w:gridSpan w:val="2"/>
            <w:tcBorders>
              <w:top w:val="nil"/>
              <w:left w:val="nil"/>
              <w:bottom w:val="nil"/>
              <w:right w:val="nil"/>
            </w:tcBorders>
            <w:shd w:val="clear" w:color="000000" w:fill="FFFFFF"/>
            <w:noWrap/>
            <w:vAlign w:val="bottom"/>
          </w:tcPr>
          <w:p w14:paraId="145127B8" w14:textId="68F21274"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0.395</w:t>
            </w:r>
          </w:p>
        </w:tc>
        <w:tc>
          <w:tcPr>
            <w:tcW w:w="82" w:type="dxa"/>
            <w:gridSpan w:val="2"/>
            <w:tcBorders>
              <w:top w:val="nil"/>
              <w:left w:val="nil"/>
              <w:bottom w:val="nil"/>
              <w:right w:val="nil"/>
            </w:tcBorders>
            <w:shd w:val="clear" w:color="000000" w:fill="FFFFFF"/>
            <w:noWrap/>
            <w:vAlign w:val="bottom"/>
          </w:tcPr>
          <w:p w14:paraId="086D74C5" w14:textId="29BADCAF"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6A256282" w14:textId="00B0F8A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7.9</w:t>
            </w:r>
          </w:p>
        </w:tc>
        <w:tc>
          <w:tcPr>
            <w:tcW w:w="798" w:type="dxa"/>
            <w:gridSpan w:val="2"/>
            <w:tcBorders>
              <w:top w:val="nil"/>
              <w:left w:val="nil"/>
              <w:bottom w:val="nil"/>
              <w:right w:val="nil"/>
            </w:tcBorders>
            <w:shd w:val="clear" w:color="000000" w:fill="FFFFFF"/>
            <w:noWrap/>
            <w:vAlign w:val="bottom"/>
          </w:tcPr>
          <w:p w14:paraId="3741173A" w14:textId="2040A2D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7.5</w:t>
            </w:r>
          </w:p>
        </w:tc>
        <w:tc>
          <w:tcPr>
            <w:tcW w:w="500" w:type="dxa"/>
            <w:tcBorders>
              <w:top w:val="nil"/>
              <w:left w:val="nil"/>
              <w:bottom w:val="nil"/>
              <w:right w:val="nil"/>
            </w:tcBorders>
            <w:shd w:val="clear" w:color="000000" w:fill="FFFFFF"/>
            <w:noWrap/>
            <w:vAlign w:val="bottom"/>
          </w:tcPr>
          <w:p w14:paraId="5724EB87" w14:textId="6AB31EF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7.7</w:t>
            </w:r>
          </w:p>
        </w:tc>
        <w:tc>
          <w:tcPr>
            <w:tcW w:w="757" w:type="dxa"/>
            <w:gridSpan w:val="2"/>
            <w:tcBorders>
              <w:top w:val="nil"/>
              <w:left w:val="nil"/>
              <w:bottom w:val="nil"/>
              <w:right w:val="nil"/>
            </w:tcBorders>
            <w:shd w:val="clear" w:color="000000" w:fill="FFFFFF"/>
            <w:noWrap/>
            <w:vAlign w:val="bottom"/>
          </w:tcPr>
          <w:p w14:paraId="3E6C839E" w14:textId="74B6E1E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7.1</w:t>
            </w:r>
          </w:p>
        </w:tc>
        <w:tc>
          <w:tcPr>
            <w:tcW w:w="728" w:type="dxa"/>
            <w:tcBorders>
              <w:top w:val="nil"/>
              <w:left w:val="nil"/>
              <w:bottom w:val="nil"/>
              <w:right w:val="nil"/>
            </w:tcBorders>
            <w:shd w:val="clear" w:color="000000" w:fill="FFFFFF"/>
            <w:noWrap/>
            <w:vAlign w:val="bottom"/>
          </w:tcPr>
          <w:p w14:paraId="64021B9D" w14:textId="2705FF24"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1.7%</w:t>
            </w:r>
          </w:p>
        </w:tc>
        <w:tc>
          <w:tcPr>
            <w:tcW w:w="619" w:type="dxa"/>
            <w:gridSpan w:val="2"/>
            <w:tcBorders>
              <w:top w:val="nil"/>
              <w:left w:val="nil"/>
              <w:bottom w:val="nil"/>
              <w:right w:val="nil"/>
            </w:tcBorders>
            <w:shd w:val="clear" w:color="000000" w:fill="FFFFFF"/>
            <w:noWrap/>
            <w:vAlign w:val="bottom"/>
          </w:tcPr>
          <w:p w14:paraId="3FEA405C" w14:textId="2C19CAD7"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0.766</w:t>
            </w:r>
          </w:p>
        </w:tc>
      </w:tr>
      <w:tr w:rsidR="00C2204F" w:rsidRPr="00EA3957" w14:paraId="27741D6D" w14:textId="77777777" w:rsidTr="00C2204F">
        <w:trPr>
          <w:trHeight w:val="288"/>
        </w:trPr>
        <w:tc>
          <w:tcPr>
            <w:tcW w:w="1710" w:type="dxa"/>
            <w:tcBorders>
              <w:top w:val="nil"/>
              <w:left w:val="nil"/>
              <w:bottom w:val="nil"/>
              <w:right w:val="nil"/>
            </w:tcBorders>
            <w:shd w:val="clear" w:color="000000" w:fill="FFFFFF"/>
            <w:noWrap/>
            <w:vAlign w:val="bottom"/>
            <w:hideMark/>
          </w:tcPr>
          <w:p w14:paraId="46AF83B2"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565C1795" w14:textId="74876DD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1114</w:t>
            </w:r>
          </w:p>
        </w:tc>
        <w:tc>
          <w:tcPr>
            <w:tcW w:w="630" w:type="dxa"/>
            <w:gridSpan w:val="2"/>
            <w:tcBorders>
              <w:top w:val="nil"/>
              <w:left w:val="nil"/>
              <w:bottom w:val="nil"/>
              <w:right w:val="nil"/>
            </w:tcBorders>
            <w:shd w:val="clear" w:color="000000" w:fill="FFFFFF"/>
            <w:noWrap/>
            <w:vAlign w:val="bottom"/>
          </w:tcPr>
          <w:p w14:paraId="260199C1" w14:textId="0A8F071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2129</w:t>
            </w:r>
          </w:p>
        </w:tc>
        <w:tc>
          <w:tcPr>
            <w:tcW w:w="99" w:type="dxa"/>
            <w:gridSpan w:val="2"/>
            <w:tcBorders>
              <w:top w:val="nil"/>
              <w:left w:val="nil"/>
              <w:bottom w:val="nil"/>
              <w:right w:val="nil"/>
            </w:tcBorders>
            <w:shd w:val="clear" w:color="000000" w:fill="FFFFFF"/>
            <w:noWrap/>
            <w:vAlign w:val="bottom"/>
          </w:tcPr>
          <w:p w14:paraId="267446CC" w14:textId="2C0EBED0"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55CCD71A" w14:textId="4CBB0EC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$251</w:t>
            </w:r>
          </w:p>
        </w:tc>
        <w:tc>
          <w:tcPr>
            <w:tcW w:w="711" w:type="dxa"/>
            <w:gridSpan w:val="2"/>
            <w:tcBorders>
              <w:top w:val="nil"/>
              <w:left w:val="nil"/>
              <w:bottom w:val="nil"/>
              <w:right w:val="nil"/>
            </w:tcBorders>
            <w:shd w:val="clear" w:color="000000" w:fill="FFFFFF"/>
            <w:noWrap/>
            <w:vAlign w:val="bottom"/>
          </w:tcPr>
          <w:p w14:paraId="2E64D5DD" w14:textId="3F329A4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$245</w:t>
            </w:r>
          </w:p>
        </w:tc>
        <w:tc>
          <w:tcPr>
            <w:tcW w:w="662" w:type="dxa"/>
            <w:tcBorders>
              <w:top w:val="nil"/>
              <w:left w:val="nil"/>
              <w:bottom w:val="nil"/>
              <w:right w:val="nil"/>
            </w:tcBorders>
            <w:shd w:val="clear" w:color="000000" w:fill="FFFFFF"/>
            <w:noWrap/>
            <w:vAlign w:val="bottom"/>
          </w:tcPr>
          <w:p w14:paraId="6D6D5BD2" w14:textId="135528D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$293</w:t>
            </w:r>
          </w:p>
        </w:tc>
        <w:tc>
          <w:tcPr>
            <w:tcW w:w="711" w:type="dxa"/>
            <w:gridSpan w:val="2"/>
            <w:tcBorders>
              <w:top w:val="nil"/>
              <w:left w:val="nil"/>
              <w:bottom w:val="nil"/>
              <w:right w:val="nil"/>
            </w:tcBorders>
            <w:shd w:val="clear" w:color="000000" w:fill="FFFFFF"/>
            <w:noWrap/>
            <w:vAlign w:val="bottom"/>
          </w:tcPr>
          <w:p w14:paraId="17686DA5" w14:textId="450C05B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$304</w:t>
            </w:r>
          </w:p>
        </w:tc>
        <w:tc>
          <w:tcPr>
            <w:tcW w:w="728" w:type="dxa"/>
            <w:tcBorders>
              <w:top w:val="nil"/>
              <w:left w:val="nil"/>
              <w:bottom w:val="nil"/>
              <w:right w:val="nil"/>
            </w:tcBorders>
            <w:shd w:val="clear" w:color="000000" w:fill="FFFFFF"/>
            <w:noWrap/>
            <w:vAlign w:val="bottom"/>
          </w:tcPr>
          <w:p w14:paraId="1C430B37" w14:textId="7944EA64"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-5.9%</w:t>
            </w:r>
          </w:p>
        </w:tc>
        <w:tc>
          <w:tcPr>
            <w:tcW w:w="584" w:type="dxa"/>
            <w:gridSpan w:val="2"/>
            <w:tcBorders>
              <w:top w:val="nil"/>
              <w:left w:val="nil"/>
              <w:bottom w:val="nil"/>
              <w:right w:val="nil"/>
            </w:tcBorders>
            <w:shd w:val="clear" w:color="000000" w:fill="FFFFFF"/>
            <w:noWrap/>
            <w:vAlign w:val="bottom"/>
          </w:tcPr>
          <w:p w14:paraId="53120044" w14:textId="63E0EA2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0.320</w:t>
            </w:r>
          </w:p>
        </w:tc>
        <w:tc>
          <w:tcPr>
            <w:tcW w:w="82" w:type="dxa"/>
            <w:gridSpan w:val="2"/>
            <w:tcBorders>
              <w:top w:val="nil"/>
              <w:left w:val="nil"/>
              <w:bottom w:val="nil"/>
              <w:right w:val="nil"/>
            </w:tcBorders>
            <w:shd w:val="clear" w:color="000000" w:fill="FFFFFF"/>
            <w:noWrap/>
            <w:vAlign w:val="bottom"/>
          </w:tcPr>
          <w:p w14:paraId="74A10EE3" w14:textId="46839C54"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61C500AA" w14:textId="42112B4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98" w:type="dxa"/>
            <w:gridSpan w:val="2"/>
            <w:tcBorders>
              <w:top w:val="nil"/>
              <w:left w:val="nil"/>
              <w:bottom w:val="nil"/>
              <w:right w:val="nil"/>
            </w:tcBorders>
            <w:shd w:val="clear" w:color="000000" w:fill="FFFFFF"/>
            <w:noWrap/>
            <w:vAlign w:val="bottom"/>
          </w:tcPr>
          <w:p w14:paraId="5DB770AB" w14:textId="27B5A6F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10.4</w:t>
            </w:r>
          </w:p>
        </w:tc>
        <w:tc>
          <w:tcPr>
            <w:tcW w:w="500" w:type="dxa"/>
            <w:tcBorders>
              <w:top w:val="nil"/>
              <w:left w:val="nil"/>
              <w:bottom w:val="nil"/>
              <w:right w:val="nil"/>
            </w:tcBorders>
            <w:shd w:val="clear" w:color="000000" w:fill="FFFFFF"/>
            <w:noWrap/>
            <w:vAlign w:val="bottom"/>
          </w:tcPr>
          <w:p w14:paraId="616A3413" w14:textId="7ED44F9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11.8</w:t>
            </w:r>
          </w:p>
        </w:tc>
        <w:tc>
          <w:tcPr>
            <w:tcW w:w="757" w:type="dxa"/>
            <w:gridSpan w:val="2"/>
            <w:tcBorders>
              <w:top w:val="nil"/>
              <w:left w:val="nil"/>
              <w:bottom w:val="nil"/>
              <w:right w:val="nil"/>
            </w:tcBorders>
            <w:shd w:val="clear" w:color="000000" w:fill="FFFFFF"/>
            <w:noWrap/>
            <w:vAlign w:val="bottom"/>
          </w:tcPr>
          <w:p w14:paraId="425CA295" w14:textId="31FD39B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728" w:type="dxa"/>
            <w:tcBorders>
              <w:top w:val="nil"/>
              <w:left w:val="nil"/>
              <w:bottom w:val="nil"/>
              <w:right w:val="nil"/>
            </w:tcBorders>
            <w:shd w:val="clear" w:color="000000" w:fill="FFFFFF"/>
            <w:noWrap/>
            <w:vAlign w:val="bottom"/>
          </w:tcPr>
          <w:p w14:paraId="76D5F442" w14:textId="5A9C7C7F"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10.7%</w:t>
            </w:r>
          </w:p>
        </w:tc>
        <w:tc>
          <w:tcPr>
            <w:tcW w:w="619" w:type="dxa"/>
            <w:gridSpan w:val="2"/>
            <w:tcBorders>
              <w:top w:val="nil"/>
              <w:left w:val="nil"/>
              <w:bottom w:val="nil"/>
              <w:right w:val="nil"/>
            </w:tcBorders>
            <w:shd w:val="clear" w:color="000000" w:fill="FFFFFF"/>
            <w:noWrap/>
            <w:vAlign w:val="bottom"/>
          </w:tcPr>
          <w:p w14:paraId="090888C8" w14:textId="4060EB8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C2204F" w:rsidRPr="00EA3957" w14:paraId="4890CA2F" w14:textId="77777777" w:rsidTr="00C2204F">
        <w:trPr>
          <w:trHeight w:val="288"/>
        </w:trPr>
        <w:tc>
          <w:tcPr>
            <w:tcW w:w="1710" w:type="dxa"/>
            <w:tcBorders>
              <w:top w:val="nil"/>
              <w:left w:val="nil"/>
              <w:bottom w:val="nil"/>
              <w:right w:val="nil"/>
            </w:tcBorders>
            <w:shd w:val="clear" w:color="000000" w:fill="FFFFFF"/>
            <w:noWrap/>
            <w:vAlign w:val="bottom"/>
            <w:hideMark/>
          </w:tcPr>
          <w:p w14:paraId="2C999DFD" w14:textId="6E4C22BD" w:rsidR="00C2204F" w:rsidRPr="00C2204F" w:rsidRDefault="00C2204F" w:rsidP="00C2204F">
            <w:pPr>
              <w:spacing w:after="0" w:line="240" w:lineRule="auto"/>
              <w:rPr>
                <w:rFonts w:ascii="Calibri" w:eastAsia="Times New Roman" w:hAnsi="Calibri"/>
                <w:b/>
                <w:bCs/>
                <w:sz w:val="16"/>
                <w:szCs w:val="16"/>
                <w:u w:val="single"/>
              </w:rPr>
            </w:pPr>
            <w:r>
              <w:rPr>
                <w:rFonts w:ascii="Calibri" w:hAnsi="Calibri"/>
                <w:b/>
                <w:bCs/>
                <w:sz w:val="16"/>
                <w:szCs w:val="16"/>
                <w:u w:val="single"/>
              </w:rPr>
              <w:t>ACG≥3 &amp;&amp;</w:t>
            </w:r>
          </w:p>
        </w:tc>
        <w:tc>
          <w:tcPr>
            <w:tcW w:w="450" w:type="dxa"/>
            <w:tcBorders>
              <w:top w:val="nil"/>
              <w:left w:val="nil"/>
              <w:bottom w:val="nil"/>
              <w:right w:val="nil"/>
            </w:tcBorders>
            <w:shd w:val="clear" w:color="000000" w:fill="FFFFFF"/>
            <w:noWrap/>
            <w:vAlign w:val="bottom"/>
            <w:hideMark/>
          </w:tcPr>
          <w:p w14:paraId="1C4EC004"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30" w:type="dxa"/>
            <w:gridSpan w:val="2"/>
            <w:tcBorders>
              <w:top w:val="nil"/>
              <w:left w:val="nil"/>
              <w:bottom w:val="nil"/>
              <w:right w:val="nil"/>
            </w:tcBorders>
            <w:shd w:val="clear" w:color="000000" w:fill="FFFFFF"/>
            <w:noWrap/>
            <w:vAlign w:val="bottom"/>
            <w:hideMark/>
          </w:tcPr>
          <w:p w14:paraId="14290969"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99" w:type="dxa"/>
            <w:gridSpan w:val="2"/>
            <w:tcBorders>
              <w:top w:val="nil"/>
              <w:left w:val="nil"/>
              <w:bottom w:val="nil"/>
              <w:right w:val="nil"/>
            </w:tcBorders>
            <w:shd w:val="clear" w:color="000000" w:fill="FFFFFF"/>
            <w:noWrap/>
            <w:vAlign w:val="bottom"/>
            <w:hideMark/>
          </w:tcPr>
          <w:p w14:paraId="055ABE37"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053FF8E2"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023BB2B9"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474414A9"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19D96CBE"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452D7B3B"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84" w:type="dxa"/>
            <w:gridSpan w:val="2"/>
            <w:tcBorders>
              <w:top w:val="nil"/>
              <w:left w:val="nil"/>
              <w:bottom w:val="nil"/>
              <w:right w:val="nil"/>
            </w:tcBorders>
            <w:shd w:val="clear" w:color="000000" w:fill="FFFFFF"/>
            <w:noWrap/>
            <w:vAlign w:val="bottom"/>
            <w:hideMark/>
          </w:tcPr>
          <w:p w14:paraId="7CDD67D6"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82" w:type="dxa"/>
            <w:gridSpan w:val="2"/>
            <w:tcBorders>
              <w:top w:val="nil"/>
              <w:left w:val="nil"/>
              <w:bottom w:val="nil"/>
              <w:right w:val="nil"/>
            </w:tcBorders>
            <w:shd w:val="clear" w:color="000000" w:fill="FFFFFF"/>
            <w:noWrap/>
            <w:vAlign w:val="bottom"/>
            <w:hideMark/>
          </w:tcPr>
          <w:p w14:paraId="54E5820A"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03BA98DF"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98" w:type="dxa"/>
            <w:gridSpan w:val="2"/>
            <w:tcBorders>
              <w:top w:val="nil"/>
              <w:left w:val="nil"/>
              <w:bottom w:val="nil"/>
              <w:right w:val="nil"/>
            </w:tcBorders>
            <w:shd w:val="clear" w:color="000000" w:fill="FFFFFF"/>
            <w:noWrap/>
            <w:vAlign w:val="bottom"/>
            <w:hideMark/>
          </w:tcPr>
          <w:p w14:paraId="28875152"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6A477401"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57" w:type="dxa"/>
            <w:gridSpan w:val="2"/>
            <w:tcBorders>
              <w:top w:val="nil"/>
              <w:left w:val="nil"/>
              <w:bottom w:val="nil"/>
              <w:right w:val="nil"/>
            </w:tcBorders>
            <w:shd w:val="clear" w:color="000000" w:fill="FFFFFF"/>
            <w:noWrap/>
            <w:vAlign w:val="bottom"/>
            <w:hideMark/>
          </w:tcPr>
          <w:p w14:paraId="523A3390"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1DD8F60E"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19" w:type="dxa"/>
            <w:gridSpan w:val="2"/>
            <w:tcBorders>
              <w:top w:val="nil"/>
              <w:left w:val="nil"/>
              <w:bottom w:val="nil"/>
              <w:right w:val="nil"/>
            </w:tcBorders>
            <w:shd w:val="clear" w:color="000000" w:fill="FFFFFF"/>
            <w:noWrap/>
            <w:vAlign w:val="bottom"/>
            <w:hideMark/>
          </w:tcPr>
          <w:p w14:paraId="2764294A" w14:textId="77777777" w:rsidR="00C2204F" w:rsidRPr="00EA3957" w:rsidRDefault="00C2204F" w:rsidP="00C2204F">
            <w:pPr>
              <w:spacing w:after="0" w:line="240" w:lineRule="auto"/>
              <w:jc w:val="center"/>
              <w:rPr>
                <w:rFonts w:ascii="Calibri" w:eastAsia="Times New Roman" w:hAnsi="Calibri" w:cs="Times New Roman"/>
                <w:sz w:val="16"/>
                <w:szCs w:val="16"/>
              </w:rPr>
            </w:pPr>
            <w:r w:rsidRPr="00EA3957">
              <w:rPr>
                <w:rFonts w:ascii="Calibri" w:eastAsia="Times New Roman" w:hAnsi="Calibri" w:cs="Times New Roman"/>
                <w:sz w:val="16"/>
                <w:szCs w:val="16"/>
              </w:rPr>
              <w:t> </w:t>
            </w:r>
          </w:p>
        </w:tc>
      </w:tr>
      <w:tr w:rsidR="00C2204F" w:rsidRPr="00EA3957" w14:paraId="55315470" w14:textId="77777777" w:rsidTr="00C2204F">
        <w:trPr>
          <w:trHeight w:val="288"/>
        </w:trPr>
        <w:tc>
          <w:tcPr>
            <w:tcW w:w="1710" w:type="dxa"/>
            <w:tcBorders>
              <w:top w:val="nil"/>
              <w:left w:val="nil"/>
              <w:bottom w:val="nil"/>
              <w:right w:val="nil"/>
            </w:tcBorders>
            <w:shd w:val="clear" w:color="000000" w:fill="FFFFFF"/>
            <w:noWrap/>
            <w:vAlign w:val="bottom"/>
            <w:hideMark/>
          </w:tcPr>
          <w:p w14:paraId="75A93FCB"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79013CF6" w14:textId="1D8E96D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348</w:t>
            </w:r>
          </w:p>
        </w:tc>
        <w:tc>
          <w:tcPr>
            <w:tcW w:w="630" w:type="dxa"/>
            <w:gridSpan w:val="2"/>
            <w:tcBorders>
              <w:top w:val="nil"/>
              <w:left w:val="nil"/>
              <w:bottom w:val="nil"/>
              <w:right w:val="nil"/>
            </w:tcBorders>
            <w:shd w:val="clear" w:color="000000" w:fill="FFFFFF"/>
            <w:noWrap/>
            <w:vAlign w:val="bottom"/>
          </w:tcPr>
          <w:p w14:paraId="3F8CB110" w14:textId="023DFFE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650</w:t>
            </w:r>
          </w:p>
        </w:tc>
        <w:tc>
          <w:tcPr>
            <w:tcW w:w="99" w:type="dxa"/>
            <w:gridSpan w:val="2"/>
            <w:tcBorders>
              <w:top w:val="nil"/>
              <w:left w:val="nil"/>
              <w:bottom w:val="nil"/>
              <w:right w:val="nil"/>
            </w:tcBorders>
            <w:shd w:val="clear" w:color="000000" w:fill="FFFFFF"/>
            <w:noWrap/>
            <w:vAlign w:val="bottom"/>
          </w:tcPr>
          <w:p w14:paraId="13718ADB" w14:textId="1F8E8760"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5E8B773" w14:textId="39EC348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$1,308</w:t>
            </w:r>
          </w:p>
        </w:tc>
        <w:tc>
          <w:tcPr>
            <w:tcW w:w="711" w:type="dxa"/>
            <w:gridSpan w:val="2"/>
            <w:tcBorders>
              <w:top w:val="nil"/>
              <w:left w:val="nil"/>
              <w:bottom w:val="nil"/>
              <w:right w:val="nil"/>
            </w:tcBorders>
            <w:shd w:val="clear" w:color="000000" w:fill="FFFFFF"/>
            <w:noWrap/>
            <w:vAlign w:val="bottom"/>
          </w:tcPr>
          <w:p w14:paraId="4BD2599E" w14:textId="35A8414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$1,386</w:t>
            </w:r>
          </w:p>
        </w:tc>
        <w:tc>
          <w:tcPr>
            <w:tcW w:w="662" w:type="dxa"/>
            <w:tcBorders>
              <w:top w:val="nil"/>
              <w:left w:val="nil"/>
              <w:bottom w:val="nil"/>
              <w:right w:val="nil"/>
            </w:tcBorders>
            <w:shd w:val="clear" w:color="000000" w:fill="FFFFFF"/>
            <w:noWrap/>
            <w:vAlign w:val="bottom"/>
          </w:tcPr>
          <w:p w14:paraId="5FC4EDFE" w14:textId="12DC8AD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$1,260</w:t>
            </w:r>
          </w:p>
        </w:tc>
        <w:tc>
          <w:tcPr>
            <w:tcW w:w="711" w:type="dxa"/>
            <w:gridSpan w:val="2"/>
            <w:tcBorders>
              <w:top w:val="nil"/>
              <w:left w:val="nil"/>
              <w:bottom w:val="nil"/>
              <w:right w:val="nil"/>
            </w:tcBorders>
            <w:shd w:val="clear" w:color="000000" w:fill="FFFFFF"/>
            <w:noWrap/>
            <w:vAlign w:val="bottom"/>
          </w:tcPr>
          <w:p w14:paraId="20EB232F" w14:textId="31C762B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$2,053</w:t>
            </w:r>
          </w:p>
        </w:tc>
        <w:tc>
          <w:tcPr>
            <w:tcW w:w="728" w:type="dxa"/>
            <w:tcBorders>
              <w:top w:val="nil"/>
              <w:left w:val="nil"/>
              <w:bottom w:val="nil"/>
              <w:right w:val="nil"/>
            </w:tcBorders>
            <w:shd w:val="clear" w:color="000000" w:fill="FFFFFF"/>
            <w:noWrap/>
            <w:vAlign w:val="bottom"/>
          </w:tcPr>
          <w:p w14:paraId="77B189DA" w14:textId="49224BE3"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-35.0%</w:t>
            </w:r>
          </w:p>
        </w:tc>
        <w:tc>
          <w:tcPr>
            <w:tcW w:w="584" w:type="dxa"/>
            <w:gridSpan w:val="2"/>
            <w:tcBorders>
              <w:top w:val="nil"/>
              <w:left w:val="nil"/>
              <w:bottom w:val="nil"/>
              <w:right w:val="nil"/>
            </w:tcBorders>
            <w:shd w:val="clear" w:color="000000" w:fill="FFFFFF"/>
            <w:noWrap/>
            <w:vAlign w:val="bottom"/>
          </w:tcPr>
          <w:p w14:paraId="710270D8" w14:textId="43C61BA8"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5B00A08" w14:textId="221FCDDB"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D7D7640" w14:textId="39290B8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69.1</w:t>
            </w:r>
          </w:p>
        </w:tc>
        <w:tc>
          <w:tcPr>
            <w:tcW w:w="798" w:type="dxa"/>
            <w:gridSpan w:val="2"/>
            <w:tcBorders>
              <w:top w:val="nil"/>
              <w:left w:val="nil"/>
              <w:bottom w:val="nil"/>
              <w:right w:val="nil"/>
            </w:tcBorders>
            <w:shd w:val="clear" w:color="000000" w:fill="FFFFFF"/>
            <w:noWrap/>
            <w:vAlign w:val="bottom"/>
          </w:tcPr>
          <w:p w14:paraId="612E4892" w14:textId="76ABD9A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69.4</w:t>
            </w:r>
          </w:p>
        </w:tc>
        <w:tc>
          <w:tcPr>
            <w:tcW w:w="500" w:type="dxa"/>
            <w:tcBorders>
              <w:top w:val="nil"/>
              <w:left w:val="nil"/>
              <w:bottom w:val="nil"/>
              <w:right w:val="nil"/>
            </w:tcBorders>
            <w:shd w:val="clear" w:color="000000" w:fill="FFFFFF"/>
            <w:noWrap/>
            <w:vAlign w:val="bottom"/>
          </w:tcPr>
          <w:p w14:paraId="47A2E247" w14:textId="39CA1B4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79.3</w:t>
            </w:r>
          </w:p>
        </w:tc>
        <w:tc>
          <w:tcPr>
            <w:tcW w:w="757" w:type="dxa"/>
            <w:gridSpan w:val="2"/>
            <w:tcBorders>
              <w:top w:val="nil"/>
              <w:left w:val="nil"/>
              <w:bottom w:val="nil"/>
              <w:right w:val="nil"/>
            </w:tcBorders>
            <w:shd w:val="clear" w:color="000000" w:fill="FFFFFF"/>
            <w:noWrap/>
            <w:vAlign w:val="bottom"/>
          </w:tcPr>
          <w:p w14:paraId="4ECFA472" w14:textId="19849E5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72.6</w:t>
            </w:r>
          </w:p>
        </w:tc>
        <w:tc>
          <w:tcPr>
            <w:tcW w:w="728" w:type="dxa"/>
            <w:tcBorders>
              <w:top w:val="nil"/>
              <w:left w:val="nil"/>
              <w:bottom w:val="nil"/>
              <w:right w:val="nil"/>
            </w:tcBorders>
            <w:shd w:val="clear" w:color="000000" w:fill="FFFFFF"/>
            <w:noWrap/>
            <w:vAlign w:val="bottom"/>
          </w:tcPr>
          <w:p w14:paraId="0EE47D69" w14:textId="0FBBA15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9.7%</w:t>
            </w:r>
          </w:p>
        </w:tc>
        <w:tc>
          <w:tcPr>
            <w:tcW w:w="619" w:type="dxa"/>
            <w:gridSpan w:val="2"/>
            <w:tcBorders>
              <w:top w:val="nil"/>
              <w:left w:val="nil"/>
              <w:bottom w:val="nil"/>
              <w:right w:val="nil"/>
            </w:tcBorders>
            <w:shd w:val="clear" w:color="000000" w:fill="FFFFFF"/>
            <w:noWrap/>
            <w:vAlign w:val="bottom"/>
          </w:tcPr>
          <w:p w14:paraId="6EABF05F" w14:textId="2C29346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0.006</w:t>
            </w:r>
          </w:p>
        </w:tc>
      </w:tr>
      <w:tr w:rsidR="00C2204F" w:rsidRPr="00EA3957" w14:paraId="614E689E" w14:textId="77777777" w:rsidTr="00C2204F">
        <w:trPr>
          <w:trHeight w:val="288"/>
        </w:trPr>
        <w:tc>
          <w:tcPr>
            <w:tcW w:w="1710" w:type="dxa"/>
            <w:tcBorders>
              <w:top w:val="nil"/>
              <w:left w:val="nil"/>
              <w:bottom w:val="nil"/>
              <w:right w:val="nil"/>
            </w:tcBorders>
            <w:shd w:val="clear" w:color="000000" w:fill="FFFFFF"/>
            <w:noWrap/>
            <w:vAlign w:val="bottom"/>
            <w:hideMark/>
          </w:tcPr>
          <w:p w14:paraId="60812421"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5553DEDA" w14:textId="43CB932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216</w:t>
            </w:r>
          </w:p>
        </w:tc>
        <w:tc>
          <w:tcPr>
            <w:tcW w:w="630" w:type="dxa"/>
            <w:gridSpan w:val="2"/>
            <w:tcBorders>
              <w:top w:val="nil"/>
              <w:left w:val="nil"/>
              <w:bottom w:val="nil"/>
              <w:right w:val="nil"/>
            </w:tcBorders>
            <w:shd w:val="clear" w:color="000000" w:fill="FFFFFF"/>
            <w:noWrap/>
            <w:vAlign w:val="bottom"/>
          </w:tcPr>
          <w:p w14:paraId="0D993B5F" w14:textId="73D838A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404</w:t>
            </w:r>
          </w:p>
        </w:tc>
        <w:tc>
          <w:tcPr>
            <w:tcW w:w="99" w:type="dxa"/>
            <w:gridSpan w:val="2"/>
            <w:tcBorders>
              <w:top w:val="nil"/>
              <w:left w:val="nil"/>
              <w:bottom w:val="nil"/>
              <w:right w:val="nil"/>
            </w:tcBorders>
            <w:shd w:val="clear" w:color="000000" w:fill="FFFFFF"/>
            <w:noWrap/>
            <w:vAlign w:val="bottom"/>
          </w:tcPr>
          <w:p w14:paraId="4A876DBF" w14:textId="4902F69A"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88A281B" w14:textId="11BB3CC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$266</w:t>
            </w:r>
          </w:p>
        </w:tc>
        <w:tc>
          <w:tcPr>
            <w:tcW w:w="711" w:type="dxa"/>
            <w:gridSpan w:val="2"/>
            <w:tcBorders>
              <w:top w:val="nil"/>
              <w:left w:val="nil"/>
              <w:bottom w:val="nil"/>
              <w:right w:val="nil"/>
            </w:tcBorders>
            <w:shd w:val="clear" w:color="000000" w:fill="FFFFFF"/>
            <w:noWrap/>
            <w:vAlign w:val="bottom"/>
          </w:tcPr>
          <w:p w14:paraId="773166FA" w14:textId="5718498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$325</w:t>
            </w:r>
          </w:p>
        </w:tc>
        <w:tc>
          <w:tcPr>
            <w:tcW w:w="662" w:type="dxa"/>
            <w:tcBorders>
              <w:top w:val="nil"/>
              <w:left w:val="nil"/>
              <w:bottom w:val="nil"/>
              <w:right w:val="nil"/>
            </w:tcBorders>
            <w:shd w:val="clear" w:color="000000" w:fill="FFFFFF"/>
            <w:noWrap/>
            <w:vAlign w:val="bottom"/>
          </w:tcPr>
          <w:p w14:paraId="3D48767D" w14:textId="59CAB88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$167</w:t>
            </w:r>
          </w:p>
        </w:tc>
        <w:tc>
          <w:tcPr>
            <w:tcW w:w="711" w:type="dxa"/>
            <w:gridSpan w:val="2"/>
            <w:tcBorders>
              <w:top w:val="nil"/>
              <w:left w:val="nil"/>
              <w:bottom w:val="nil"/>
              <w:right w:val="nil"/>
            </w:tcBorders>
            <w:shd w:val="clear" w:color="000000" w:fill="FFFFFF"/>
            <w:noWrap/>
            <w:vAlign w:val="bottom"/>
          </w:tcPr>
          <w:p w14:paraId="1FF66205" w14:textId="511715F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$546</w:t>
            </w:r>
          </w:p>
        </w:tc>
        <w:tc>
          <w:tcPr>
            <w:tcW w:w="728" w:type="dxa"/>
            <w:tcBorders>
              <w:top w:val="nil"/>
              <w:left w:val="nil"/>
              <w:bottom w:val="nil"/>
              <w:right w:val="nil"/>
            </w:tcBorders>
            <w:shd w:val="clear" w:color="000000" w:fill="FFFFFF"/>
            <w:noWrap/>
            <w:vAlign w:val="bottom"/>
          </w:tcPr>
          <w:p w14:paraId="4A1B0DAB" w14:textId="7DB2CAFE"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-62.7%</w:t>
            </w:r>
          </w:p>
        </w:tc>
        <w:tc>
          <w:tcPr>
            <w:tcW w:w="584" w:type="dxa"/>
            <w:gridSpan w:val="2"/>
            <w:tcBorders>
              <w:top w:val="nil"/>
              <w:left w:val="nil"/>
              <w:bottom w:val="nil"/>
              <w:right w:val="nil"/>
            </w:tcBorders>
            <w:shd w:val="clear" w:color="000000" w:fill="FFFFFF"/>
            <w:noWrap/>
            <w:vAlign w:val="bottom"/>
          </w:tcPr>
          <w:p w14:paraId="0AE82746" w14:textId="4F2274CC"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7376D38" w14:textId="77E7A02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465A713" w14:textId="0BF7130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13.1</w:t>
            </w:r>
          </w:p>
        </w:tc>
        <w:tc>
          <w:tcPr>
            <w:tcW w:w="798" w:type="dxa"/>
            <w:gridSpan w:val="2"/>
            <w:tcBorders>
              <w:top w:val="nil"/>
              <w:left w:val="nil"/>
              <w:bottom w:val="nil"/>
              <w:right w:val="nil"/>
            </w:tcBorders>
            <w:shd w:val="clear" w:color="000000" w:fill="FFFFFF"/>
            <w:noWrap/>
            <w:vAlign w:val="bottom"/>
          </w:tcPr>
          <w:p w14:paraId="7AC78AC5" w14:textId="20A1523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13.2</w:t>
            </w:r>
          </w:p>
        </w:tc>
        <w:tc>
          <w:tcPr>
            <w:tcW w:w="500" w:type="dxa"/>
            <w:tcBorders>
              <w:top w:val="nil"/>
              <w:left w:val="nil"/>
              <w:bottom w:val="nil"/>
              <w:right w:val="nil"/>
            </w:tcBorders>
            <w:shd w:val="clear" w:color="000000" w:fill="FFFFFF"/>
            <w:noWrap/>
            <w:vAlign w:val="bottom"/>
          </w:tcPr>
          <w:p w14:paraId="5423A5F8" w14:textId="67DB4EE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14.9</w:t>
            </w:r>
          </w:p>
        </w:tc>
        <w:tc>
          <w:tcPr>
            <w:tcW w:w="757" w:type="dxa"/>
            <w:gridSpan w:val="2"/>
            <w:tcBorders>
              <w:top w:val="nil"/>
              <w:left w:val="nil"/>
              <w:bottom w:val="nil"/>
              <w:right w:val="nil"/>
            </w:tcBorders>
            <w:shd w:val="clear" w:color="000000" w:fill="FFFFFF"/>
            <w:noWrap/>
            <w:vAlign w:val="bottom"/>
          </w:tcPr>
          <w:p w14:paraId="76A3056A" w14:textId="636E249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13.6</w:t>
            </w:r>
          </w:p>
        </w:tc>
        <w:tc>
          <w:tcPr>
            <w:tcW w:w="728" w:type="dxa"/>
            <w:tcBorders>
              <w:top w:val="nil"/>
              <w:left w:val="nil"/>
              <w:bottom w:val="nil"/>
              <w:right w:val="nil"/>
            </w:tcBorders>
            <w:shd w:val="clear" w:color="000000" w:fill="FFFFFF"/>
            <w:noWrap/>
            <w:vAlign w:val="bottom"/>
          </w:tcPr>
          <w:p w14:paraId="6713AA0B" w14:textId="137DC12B"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9.6%</w:t>
            </w:r>
          </w:p>
        </w:tc>
        <w:tc>
          <w:tcPr>
            <w:tcW w:w="619" w:type="dxa"/>
            <w:gridSpan w:val="2"/>
            <w:tcBorders>
              <w:top w:val="nil"/>
              <w:left w:val="nil"/>
              <w:bottom w:val="nil"/>
              <w:right w:val="nil"/>
            </w:tcBorders>
            <w:shd w:val="clear" w:color="000000" w:fill="FFFFFF"/>
            <w:noWrap/>
            <w:vAlign w:val="bottom"/>
          </w:tcPr>
          <w:p w14:paraId="786F4F9E" w14:textId="5A685713"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0.117</w:t>
            </w:r>
          </w:p>
        </w:tc>
      </w:tr>
      <w:tr w:rsidR="00C2204F" w:rsidRPr="00EA3957" w14:paraId="6501314D" w14:textId="77777777" w:rsidTr="00C2204F">
        <w:trPr>
          <w:trHeight w:val="288"/>
        </w:trPr>
        <w:tc>
          <w:tcPr>
            <w:tcW w:w="1710" w:type="dxa"/>
            <w:tcBorders>
              <w:top w:val="nil"/>
              <w:left w:val="nil"/>
              <w:bottom w:val="nil"/>
              <w:right w:val="nil"/>
            </w:tcBorders>
            <w:shd w:val="clear" w:color="000000" w:fill="FFFFFF"/>
            <w:noWrap/>
            <w:vAlign w:val="bottom"/>
            <w:hideMark/>
          </w:tcPr>
          <w:p w14:paraId="181057EF"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p>
        </w:tc>
        <w:tc>
          <w:tcPr>
            <w:tcW w:w="450" w:type="dxa"/>
            <w:tcBorders>
              <w:top w:val="nil"/>
              <w:left w:val="nil"/>
              <w:bottom w:val="nil"/>
              <w:right w:val="nil"/>
            </w:tcBorders>
            <w:shd w:val="clear" w:color="000000" w:fill="FFFFFF"/>
            <w:noWrap/>
            <w:vAlign w:val="bottom"/>
          </w:tcPr>
          <w:p w14:paraId="460A19D5" w14:textId="6FE1668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122</w:t>
            </w:r>
          </w:p>
        </w:tc>
        <w:tc>
          <w:tcPr>
            <w:tcW w:w="630" w:type="dxa"/>
            <w:gridSpan w:val="2"/>
            <w:tcBorders>
              <w:top w:val="nil"/>
              <w:left w:val="nil"/>
              <w:bottom w:val="nil"/>
              <w:right w:val="nil"/>
            </w:tcBorders>
            <w:shd w:val="clear" w:color="000000" w:fill="FFFFFF"/>
            <w:noWrap/>
            <w:vAlign w:val="bottom"/>
          </w:tcPr>
          <w:p w14:paraId="0C8DC817" w14:textId="3527B8E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227</w:t>
            </w:r>
          </w:p>
        </w:tc>
        <w:tc>
          <w:tcPr>
            <w:tcW w:w="99" w:type="dxa"/>
            <w:gridSpan w:val="2"/>
            <w:tcBorders>
              <w:top w:val="nil"/>
              <w:left w:val="nil"/>
              <w:bottom w:val="nil"/>
              <w:right w:val="nil"/>
            </w:tcBorders>
            <w:shd w:val="clear" w:color="000000" w:fill="FFFFFF"/>
            <w:noWrap/>
            <w:vAlign w:val="bottom"/>
          </w:tcPr>
          <w:p w14:paraId="3641C750" w14:textId="4FECC6F0"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1488214E" w14:textId="4998C34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$564</w:t>
            </w:r>
          </w:p>
        </w:tc>
        <w:tc>
          <w:tcPr>
            <w:tcW w:w="711" w:type="dxa"/>
            <w:gridSpan w:val="2"/>
            <w:tcBorders>
              <w:top w:val="nil"/>
              <w:left w:val="nil"/>
              <w:bottom w:val="nil"/>
              <w:right w:val="nil"/>
            </w:tcBorders>
            <w:shd w:val="clear" w:color="000000" w:fill="FFFFFF"/>
            <w:noWrap/>
            <w:vAlign w:val="bottom"/>
          </w:tcPr>
          <w:p w14:paraId="45726DA0" w14:textId="048919D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$542</w:t>
            </w:r>
          </w:p>
        </w:tc>
        <w:tc>
          <w:tcPr>
            <w:tcW w:w="662" w:type="dxa"/>
            <w:tcBorders>
              <w:top w:val="nil"/>
              <w:left w:val="nil"/>
              <w:bottom w:val="nil"/>
              <w:right w:val="nil"/>
            </w:tcBorders>
            <w:shd w:val="clear" w:color="000000" w:fill="FFFFFF"/>
            <w:noWrap/>
            <w:vAlign w:val="bottom"/>
          </w:tcPr>
          <w:p w14:paraId="51E4671E" w14:textId="1AB1482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$217</w:t>
            </w:r>
          </w:p>
        </w:tc>
        <w:tc>
          <w:tcPr>
            <w:tcW w:w="711" w:type="dxa"/>
            <w:gridSpan w:val="2"/>
            <w:tcBorders>
              <w:top w:val="nil"/>
              <w:left w:val="nil"/>
              <w:bottom w:val="nil"/>
              <w:right w:val="nil"/>
            </w:tcBorders>
            <w:shd w:val="clear" w:color="000000" w:fill="FFFFFF"/>
            <w:noWrap/>
            <w:vAlign w:val="bottom"/>
          </w:tcPr>
          <w:p w14:paraId="4254DB7D" w14:textId="1E294A4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$927</w:t>
            </w:r>
          </w:p>
        </w:tc>
        <w:tc>
          <w:tcPr>
            <w:tcW w:w="728" w:type="dxa"/>
            <w:tcBorders>
              <w:top w:val="nil"/>
              <w:left w:val="nil"/>
              <w:bottom w:val="nil"/>
              <w:right w:val="nil"/>
            </w:tcBorders>
            <w:shd w:val="clear" w:color="000000" w:fill="FFFFFF"/>
            <w:noWrap/>
            <w:vAlign w:val="bottom"/>
          </w:tcPr>
          <w:p w14:paraId="4C753256" w14:textId="31140872"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-77.5%</w:t>
            </w:r>
          </w:p>
        </w:tc>
        <w:tc>
          <w:tcPr>
            <w:tcW w:w="584" w:type="dxa"/>
            <w:gridSpan w:val="2"/>
            <w:tcBorders>
              <w:top w:val="nil"/>
              <w:left w:val="nil"/>
              <w:bottom w:val="nil"/>
              <w:right w:val="nil"/>
            </w:tcBorders>
            <w:shd w:val="clear" w:color="000000" w:fill="FFFFFF"/>
            <w:noWrap/>
            <w:vAlign w:val="bottom"/>
          </w:tcPr>
          <w:p w14:paraId="4718E49C" w14:textId="6894D82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1070692" w14:textId="313528BC"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593D6F9" w14:textId="5F68829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798" w:type="dxa"/>
            <w:gridSpan w:val="2"/>
            <w:tcBorders>
              <w:top w:val="nil"/>
              <w:left w:val="nil"/>
              <w:bottom w:val="nil"/>
              <w:right w:val="nil"/>
            </w:tcBorders>
            <w:shd w:val="clear" w:color="000000" w:fill="FFFFFF"/>
            <w:noWrap/>
            <w:vAlign w:val="bottom"/>
          </w:tcPr>
          <w:p w14:paraId="33AAD052" w14:textId="4766FA4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500" w:type="dxa"/>
            <w:tcBorders>
              <w:top w:val="nil"/>
              <w:left w:val="nil"/>
              <w:bottom w:val="nil"/>
              <w:right w:val="nil"/>
            </w:tcBorders>
            <w:shd w:val="clear" w:color="000000" w:fill="FFFFFF"/>
            <w:noWrap/>
            <w:vAlign w:val="bottom"/>
          </w:tcPr>
          <w:p w14:paraId="3B06A6AB" w14:textId="549D4A3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12.0</w:t>
            </w:r>
          </w:p>
        </w:tc>
        <w:tc>
          <w:tcPr>
            <w:tcW w:w="757" w:type="dxa"/>
            <w:gridSpan w:val="2"/>
            <w:tcBorders>
              <w:top w:val="nil"/>
              <w:left w:val="nil"/>
              <w:bottom w:val="nil"/>
              <w:right w:val="nil"/>
            </w:tcBorders>
            <w:shd w:val="clear" w:color="000000" w:fill="FFFFFF"/>
            <w:noWrap/>
            <w:vAlign w:val="bottom"/>
          </w:tcPr>
          <w:p w14:paraId="0934AF8A" w14:textId="31341B0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10.3</w:t>
            </w:r>
          </w:p>
        </w:tc>
        <w:tc>
          <w:tcPr>
            <w:tcW w:w="728" w:type="dxa"/>
            <w:tcBorders>
              <w:top w:val="nil"/>
              <w:left w:val="nil"/>
              <w:bottom w:val="nil"/>
              <w:right w:val="nil"/>
            </w:tcBorders>
            <w:shd w:val="clear" w:color="000000" w:fill="FFFFFF"/>
            <w:noWrap/>
            <w:vAlign w:val="bottom"/>
          </w:tcPr>
          <w:p w14:paraId="453EE433" w14:textId="36FEDF73"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14.3%</w:t>
            </w:r>
          </w:p>
        </w:tc>
        <w:tc>
          <w:tcPr>
            <w:tcW w:w="619" w:type="dxa"/>
            <w:gridSpan w:val="2"/>
            <w:tcBorders>
              <w:top w:val="nil"/>
              <w:left w:val="nil"/>
              <w:bottom w:val="nil"/>
              <w:right w:val="nil"/>
            </w:tcBorders>
            <w:shd w:val="clear" w:color="000000" w:fill="FFFFFF"/>
            <w:noWrap/>
            <w:vAlign w:val="bottom"/>
          </w:tcPr>
          <w:p w14:paraId="18C552AB" w14:textId="6ACEFFD0"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0.081</w:t>
            </w:r>
          </w:p>
        </w:tc>
      </w:tr>
      <w:tr w:rsidR="00C2204F" w:rsidRPr="00EA3957" w14:paraId="0CF3B5E9" w14:textId="77777777" w:rsidTr="00C2204F">
        <w:trPr>
          <w:trHeight w:val="288"/>
        </w:trPr>
        <w:tc>
          <w:tcPr>
            <w:tcW w:w="1710" w:type="dxa"/>
            <w:tcBorders>
              <w:top w:val="nil"/>
              <w:left w:val="nil"/>
              <w:bottom w:val="nil"/>
              <w:right w:val="nil"/>
            </w:tcBorders>
            <w:shd w:val="clear" w:color="000000" w:fill="FFFFFF"/>
            <w:noWrap/>
            <w:vAlign w:val="bottom"/>
            <w:hideMark/>
          </w:tcPr>
          <w:p w14:paraId="79CD463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530C883F" w14:textId="2238C1E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170</w:t>
            </w:r>
          </w:p>
        </w:tc>
        <w:tc>
          <w:tcPr>
            <w:tcW w:w="630" w:type="dxa"/>
            <w:gridSpan w:val="2"/>
            <w:tcBorders>
              <w:top w:val="nil"/>
              <w:left w:val="nil"/>
              <w:bottom w:val="nil"/>
              <w:right w:val="nil"/>
            </w:tcBorders>
            <w:shd w:val="clear" w:color="000000" w:fill="FFFFFF"/>
            <w:noWrap/>
            <w:vAlign w:val="bottom"/>
          </w:tcPr>
          <w:p w14:paraId="22D3BCEB" w14:textId="76729D3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336</w:t>
            </w:r>
          </w:p>
        </w:tc>
        <w:tc>
          <w:tcPr>
            <w:tcW w:w="99" w:type="dxa"/>
            <w:gridSpan w:val="2"/>
            <w:tcBorders>
              <w:top w:val="nil"/>
              <w:left w:val="nil"/>
              <w:bottom w:val="nil"/>
              <w:right w:val="nil"/>
            </w:tcBorders>
            <w:shd w:val="clear" w:color="000000" w:fill="FFFFFF"/>
            <w:noWrap/>
            <w:vAlign w:val="bottom"/>
          </w:tcPr>
          <w:p w14:paraId="300349A8" w14:textId="26055371"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92D740C" w14:textId="355EEC9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$119</w:t>
            </w:r>
          </w:p>
        </w:tc>
        <w:tc>
          <w:tcPr>
            <w:tcW w:w="711" w:type="dxa"/>
            <w:gridSpan w:val="2"/>
            <w:tcBorders>
              <w:top w:val="nil"/>
              <w:left w:val="nil"/>
              <w:bottom w:val="nil"/>
              <w:right w:val="nil"/>
            </w:tcBorders>
            <w:shd w:val="clear" w:color="000000" w:fill="FFFFFF"/>
            <w:noWrap/>
            <w:vAlign w:val="bottom"/>
          </w:tcPr>
          <w:p w14:paraId="2FC9A4CF" w14:textId="15A7553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662" w:type="dxa"/>
            <w:tcBorders>
              <w:top w:val="nil"/>
              <w:left w:val="nil"/>
              <w:bottom w:val="nil"/>
              <w:right w:val="nil"/>
            </w:tcBorders>
            <w:shd w:val="clear" w:color="000000" w:fill="FFFFFF"/>
            <w:noWrap/>
            <w:vAlign w:val="bottom"/>
          </w:tcPr>
          <w:p w14:paraId="65C478BB" w14:textId="4F7C07B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$45</w:t>
            </w:r>
          </w:p>
        </w:tc>
        <w:tc>
          <w:tcPr>
            <w:tcW w:w="711" w:type="dxa"/>
            <w:gridSpan w:val="2"/>
            <w:tcBorders>
              <w:top w:val="nil"/>
              <w:left w:val="nil"/>
              <w:bottom w:val="nil"/>
              <w:right w:val="nil"/>
            </w:tcBorders>
            <w:shd w:val="clear" w:color="000000" w:fill="FFFFFF"/>
            <w:noWrap/>
            <w:vAlign w:val="bottom"/>
          </w:tcPr>
          <w:p w14:paraId="3D588E7A" w14:textId="6440422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28" w:type="dxa"/>
            <w:tcBorders>
              <w:top w:val="nil"/>
              <w:left w:val="nil"/>
              <w:bottom w:val="nil"/>
              <w:right w:val="nil"/>
            </w:tcBorders>
            <w:shd w:val="clear" w:color="000000" w:fill="FFFFFF"/>
            <w:noWrap/>
            <w:vAlign w:val="bottom"/>
          </w:tcPr>
          <w:p w14:paraId="095EB16B" w14:textId="1035DF9B"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-55.1%</w:t>
            </w:r>
          </w:p>
        </w:tc>
        <w:tc>
          <w:tcPr>
            <w:tcW w:w="584" w:type="dxa"/>
            <w:gridSpan w:val="2"/>
            <w:tcBorders>
              <w:top w:val="nil"/>
              <w:left w:val="nil"/>
              <w:bottom w:val="nil"/>
              <w:right w:val="nil"/>
            </w:tcBorders>
            <w:shd w:val="clear" w:color="000000" w:fill="FFFFFF"/>
            <w:noWrap/>
            <w:vAlign w:val="bottom"/>
          </w:tcPr>
          <w:p w14:paraId="10C91A35" w14:textId="7DCFFB32"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DFF2FE9" w14:textId="2EE4AEB7"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1DDAA28" w14:textId="160F7E9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5.5</w:t>
            </w:r>
          </w:p>
        </w:tc>
        <w:tc>
          <w:tcPr>
            <w:tcW w:w="798" w:type="dxa"/>
            <w:gridSpan w:val="2"/>
            <w:tcBorders>
              <w:top w:val="nil"/>
              <w:left w:val="nil"/>
              <w:bottom w:val="nil"/>
              <w:right w:val="nil"/>
            </w:tcBorders>
            <w:shd w:val="clear" w:color="000000" w:fill="FFFFFF"/>
            <w:noWrap/>
            <w:vAlign w:val="bottom"/>
          </w:tcPr>
          <w:p w14:paraId="7FD56FF5" w14:textId="6B77639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6.5</w:t>
            </w:r>
          </w:p>
        </w:tc>
        <w:tc>
          <w:tcPr>
            <w:tcW w:w="500" w:type="dxa"/>
            <w:tcBorders>
              <w:top w:val="nil"/>
              <w:left w:val="nil"/>
              <w:bottom w:val="nil"/>
              <w:right w:val="nil"/>
            </w:tcBorders>
            <w:shd w:val="clear" w:color="000000" w:fill="FFFFFF"/>
            <w:noWrap/>
            <w:vAlign w:val="bottom"/>
          </w:tcPr>
          <w:p w14:paraId="3A350962" w14:textId="5E341BF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5.2</w:t>
            </w:r>
          </w:p>
        </w:tc>
        <w:tc>
          <w:tcPr>
            <w:tcW w:w="757" w:type="dxa"/>
            <w:gridSpan w:val="2"/>
            <w:tcBorders>
              <w:top w:val="nil"/>
              <w:left w:val="nil"/>
              <w:bottom w:val="nil"/>
              <w:right w:val="nil"/>
            </w:tcBorders>
            <w:shd w:val="clear" w:color="000000" w:fill="FFFFFF"/>
            <w:noWrap/>
            <w:vAlign w:val="bottom"/>
          </w:tcPr>
          <w:p w14:paraId="1FB5C65A" w14:textId="10221F5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4.5</w:t>
            </w:r>
          </w:p>
        </w:tc>
        <w:tc>
          <w:tcPr>
            <w:tcW w:w="728" w:type="dxa"/>
            <w:tcBorders>
              <w:top w:val="nil"/>
              <w:left w:val="nil"/>
              <w:bottom w:val="nil"/>
              <w:right w:val="nil"/>
            </w:tcBorders>
            <w:shd w:val="clear" w:color="000000" w:fill="FFFFFF"/>
            <w:noWrap/>
            <w:vAlign w:val="bottom"/>
          </w:tcPr>
          <w:p w14:paraId="1B8724B1" w14:textId="0819E896"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36.6%</w:t>
            </w:r>
          </w:p>
        </w:tc>
        <w:tc>
          <w:tcPr>
            <w:tcW w:w="619" w:type="dxa"/>
            <w:gridSpan w:val="2"/>
            <w:tcBorders>
              <w:top w:val="nil"/>
              <w:left w:val="nil"/>
              <w:bottom w:val="nil"/>
              <w:right w:val="nil"/>
            </w:tcBorders>
            <w:shd w:val="clear" w:color="000000" w:fill="FFFFFF"/>
            <w:noWrap/>
            <w:vAlign w:val="bottom"/>
          </w:tcPr>
          <w:p w14:paraId="2A976468" w14:textId="64FC860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0.006</w:t>
            </w:r>
          </w:p>
        </w:tc>
      </w:tr>
      <w:tr w:rsidR="00C2204F" w:rsidRPr="00EA3957" w14:paraId="5E2238C5" w14:textId="77777777" w:rsidTr="00C2204F">
        <w:trPr>
          <w:trHeight w:val="288"/>
        </w:trPr>
        <w:tc>
          <w:tcPr>
            <w:tcW w:w="1710" w:type="dxa"/>
            <w:tcBorders>
              <w:top w:val="nil"/>
              <w:left w:val="nil"/>
              <w:bottom w:val="nil"/>
              <w:right w:val="nil"/>
            </w:tcBorders>
            <w:shd w:val="clear" w:color="000000" w:fill="FFFFFF"/>
            <w:noWrap/>
            <w:vAlign w:val="bottom"/>
            <w:hideMark/>
          </w:tcPr>
          <w:p w14:paraId="7C967419"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32F0D5B9" w14:textId="46ADA11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210</w:t>
            </w:r>
          </w:p>
        </w:tc>
        <w:tc>
          <w:tcPr>
            <w:tcW w:w="630" w:type="dxa"/>
            <w:gridSpan w:val="2"/>
            <w:tcBorders>
              <w:top w:val="nil"/>
              <w:left w:val="nil"/>
              <w:bottom w:val="nil"/>
              <w:right w:val="nil"/>
            </w:tcBorders>
            <w:shd w:val="clear" w:color="000000" w:fill="FFFFFF"/>
            <w:noWrap/>
            <w:vAlign w:val="bottom"/>
          </w:tcPr>
          <w:p w14:paraId="5C43F0BF" w14:textId="0E09C93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407</w:t>
            </w:r>
          </w:p>
        </w:tc>
        <w:tc>
          <w:tcPr>
            <w:tcW w:w="99" w:type="dxa"/>
            <w:gridSpan w:val="2"/>
            <w:tcBorders>
              <w:top w:val="nil"/>
              <w:left w:val="nil"/>
              <w:bottom w:val="nil"/>
              <w:right w:val="nil"/>
            </w:tcBorders>
            <w:shd w:val="clear" w:color="000000" w:fill="FFFFFF"/>
            <w:noWrap/>
            <w:vAlign w:val="bottom"/>
          </w:tcPr>
          <w:p w14:paraId="3577C7B9" w14:textId="287854D6"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F35D31B" w14:textId="2B5B6F2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$188</w:t>
            </w:r>
          </w:p>
        </w:tc>
        <w:tc>
          <w:tcPr>
            <w:tcW w:w="711" w:type="dxa"/>
            <w:gridSpan w:val="2"/>
            <w:tcBorders>
              <w:top w:val="nil"/>
              <w:left w:val="nil"/>
              <w:bottom w:val="nil"/>
              <w:right w:val="nil"/>
            </w:tcBorders>
            <w:shd w:val="clear" w:color="000000" w:fill="FFFFFF"/>
            <w:noWrap/>
            <w:vAlign w:val="bottom"/>
          </w:tcPr>
          <w:p w14:paraId="5EF096E9" w14:textId="6DC3399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$235</w:t>
            </w:r>
          </w:p>
        </w:tc>
        <w:tc>
          <w:tcPr>
            <w:tcW w:w="662" w:type="dxa"/>
            <w:tcBorders>
              <w:top w:val="nil"/>
              <w:left w:val="nil"/>
              <w:bottom w:val="nil"/>
              <w:right w:val="nil"/>
            </w:tcBorders>
            <w:shd w:val="clear" w:color="000000" w:fill="FFFFFF"/>
            <w:noWrap/>
            <w:vAlign w:val="bottom"/>
          </w:tcPr>
          <w:p w14:paraId="4EDA5C42" w14:textId="7584AE8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$128</w:t>
            </w:r>
          </w:p>
        </w:tc>
        <w:tc>
          <w:tcPr>
            <w:tcW w:w="711" w:type="dxa"/>
            <w:gridSpan w:val="2"/>
            <w:tcBorders>
              <w:top w:val="nil"/>
              <w:left w:val="nil"/>
              <w:bottom w:val="nil"/>
              <w:right w:val="nil"/>
            </w:tcBorders>
            <w:shd w:val="clear" w:color="000000" w:fill="FFFFFF"/>
            <w:noWrap/>
            <w:vAlign w:val="bottom"/>
          </w:tcPr>
          <w:p w14:paraId="2A12343B" w14:textId="7E27F05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$298</w:t>
            </w:r>
          </w:p>
        </w:tc>
        <w:tc>
          <w:tcPr>
            <w:tcW w:w="728" w:type="dxa"/>
            <w:tcBorders>
              <w:top w:val="nil"/>
              <w:left w:val="nil"/>
              <w:bottom w:val="nil"/>
              <w:right w:val="nil"/>
            </w:tcBorders>
            <w:shd w:val="clear" w:color="000000" w:fill="FFFFFF"/>
            <w:noWrap/>
            <w:vAlign w:val="bottom"/>
          </w:tcPr>
          <w:p w14:paraId="176A96A0" w14:textId="5D3D2E13"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-46.4%</w:t>
            </w:r>
          </w:p>
        </w:tc>
        <w:tc>
          <w:tcPr>
            <w:tcW w:w="584" w:type="dxa"/>
            <w:gridSpan w:val="2"/>
            <w:tcBorders>
              <w:top w:val="nil"/>
              <w:left w:val="nil"/>
              <w:bottom w:val="nil"/>
              <w:right w:val="nil"/>
            </w:tcBorders>
            <w:shd w:val="clear" w:color="000000" w:fill="FFFFFF"/>
            <w:noWrap/>
            <w:vAlign w:val="bottom"/>
          </w:tcPr>
          <w:p w14:paraId="6F212DC5" w14:textId="0F1D6659"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6E5E0DD" w14:textId="75EC16D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BF079B2" w14:textId="7D34D38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11.3</w:t>
            </w:r>
          </w:p>
        </w:tc>
        <w:tc>
          <w:tcPr>
            <w:tcW w:w="798" w:type="dxa"/>
            <w:gridSpan w:val="2"/>
            <w:tcBorders>
              <w:top w:val="nil"/>
              <w:left w:val="nil"/>
              <w:bottom w:val="nil"/>
              <w:right w:val="nil"/>
            </w:tcBorders>
            <w:shd w:val="clear" w:color="000000" w:fill="FFFFFF"/>
            <w:noWrap/>
            <w:vAlign w:val="bottom"/>
          </w:tcPr>
          <w:p w14:paraId="73795B5B" w14:textId="6EA4B0E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10.9</w:t>
            </w:r>
          </w:p>
        </w:tc>
        <w:tc>
          <w:tcPr>
            <w:tcW w:w="500" w:type="dxa"/>
            <w:tcBorders>
              <w:top w:val="nil"/>
              <w:left w:val="nil"/>
              <w:bottom w:val="nil"/>
              <w:right w:val="nil"/>
            </w:tcBorders>
            <w:shd w:val="clear" w:color="000000" w:fill="FFFFFF"/>
            <w:noWrap/>
            <w:vAlign w:val="bottom"/>
          </w:tcPr>
          <w:p w14:paraId="11B2AD05" w14:textId="3F2337F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12.9</w:t>
            </w:r>
          </w:p>
        </w:tc>
        <w:tc>
          <w:tcPr>
            <w:tcW w:w="757" w:type="dxa"/>
            <w:gridSpan w:val="2"/>
            <w:tcBorders>
              <w:top w:val="nil"/>
              <w:left w:val="nil"/>
              <w:bottom w:val="nil"/>
              <w:right w:val="nil"/>
            </w:tcBorders>
            <w:shd w:val="clear" w:color="000000" w:fill="FFFFFF"/>
            <w:noWrap/>
            <w:vAlign w:val="bottom"/>
          </w:tcPr>
          <w:p w14:paraId="0EA44F25" w14:textId="452661B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728" w:type="dxa"/>
            <w:tcBorders>
              <w:top w:val="nil"/>
              <w:left w:val="nil"/>
              <w:bottom w:val="nil"/>
              <w:right w:val="nil"/>
            </w:tcBorders>
            <w:shd w:val="clear" w:color="000000" w:fill="FFFFFF"/>
            <w:noWrap/>
            <w:vAlign w:val="bottom"/>
          </w:tcPr>
          <w:p w14:paraId="507CE601" w14:textId="6C8037D2"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8.2%</w:t>
            </w:r>
          </w:p>
        </w:tc>
        <w:tc>
          <w:tcPr>
            <w:tcW w:w="619" w:type="dxa"/>
            <w:gridSpan w:val="2"/>
            <w:tcBorders>
              <w:top w:val="nil"/>
              <w:left w:val="nil"/>
              <w:bottom w:val="nil"/>
              <w:right w:val="nil"/>
            </w:tcBorders>
            <w:shd w:val="clear" w:color="000000" w:fill="FFFFFF"/>
            <w:noWrap/>
            <w:vAlign w:val="bottom"/>
          </w:tcPr>
          <w:p w14:paraId="62908A9B" w14:textId="0DEA5AEB"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0.092</w:t>
            </w:r>
          </w:p>
        </w:tc>
      </w:tr>
      <w:tr w:rsidR="00C2204F" w:rsidRPr="00EA3957" w14:paraId="0FAFDB5F" w14:textId="77777777" w:rsidTr="00C2204F">
        <w:trPr>
          <w:trHeight w:val="288"/>
        </w:trPr>
        <w:tc>
          <w:tcPr>
            <w:tcW w:w="1710" w:type="dxa"/>
            <w:tcBorders>
              <w:top w:val="nil"/>
              <w:left w:val="nil"/>
              <w:bottom w:val="nil"/>
              <w:right w:val="nil"/>
            </w:tcBorders>
            <w:shd w:val="clear" w:color="000000" w:fill="FFFFFF"/>
            <w:noWrap/>
            <w:vAlign w:val="bottom"/>
            <w:hideMark/>
          </w:tcPr>
          <w:p w14:paraId="61E8BCF3"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38A598E2" w14:textId="72AEA4F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259</w:t>
            </w:r>
          </w:p>
        </w:tc>
        <w:tc>
          <w:tcPr>
            <w:tcW w:w="630" w:type="dxa"/>
            <w:gridSpan w:val="2"/>
            <w:tcBorders>
              <w:top w:val="nil"/>
              <w:left w:val="nil"/>
              <w:bottom w:val="nil"/>
              <w:right w:val="nil"/>
            </w:tcBorders>
            <w:shd w:val="clear" w:color="000000" w:fill="FFFFFF"/>
            <w:noWrap/>
            <w:vAlign w:val="bottom"/>
          </w:tcPr>
          <w:p w14:paraId="43E6F170" w14:textId="30FA748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513</w:t>
            </w:r>
          </w:p>
        </w:tc>
        <w:tc>
          <w:tcPr>
            <w:tcW w:w="99" w:type="dxa"/>
            <w:gridSpan w:val="2"/>
            <w:tcBorders>
              <w:top w:val="nil"/>
              <w:left w:val="nil"/>
              <w:bottom w:val="nil"/>
              <w:right w:val="nil"/>
            </w:tcBorders>
            <w:shd w:val="clear" w:color="000000" w:fill="FFFFFF"/>
            <w:noWrap/>
            <w:vAlign w:val="bottom"/>
          </w:tcPr>
          <w:p w14:paraId="0DC93FA4" w14:textId="13559499"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C9B23E8" w14:textId="5532697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711" w:type="dxa"/>
            <w:gridSpan w:val="2"/>
            <w:tcBorders>
              <w:top w:val="nil"/>
              <w:left w:val="nil"/>
              <w:bottom w:val="nil"/>
              <w:right w:val="nil"/>
            </w:tcBorders>
            <w:shd w:val="clear" w:color="000000" w:fill="FFFFFF"/>
            <w:noWrap/>
            <w:vAlign w:val="bottom"/>
          </w:tcPr>
          <w:p w14:paraId="66BD775C" w14:textId="0A055A7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$148</w:t>
            </w:r>
          </w:p>
        </w:tc>
        <w:tc>
          <w:tcPr>
            <w:tcW w:w="662" w:type="dxa"/>
            <w:tcBorders>
              <w:top w:val="nil"/>
              <w:left w:val="nil"/>
              <w:bottom w:val="nil"/>
              <w:right w:val="nil"/>
            </w:tcBorders>
            <w:shd w:val="clear" w:color="000000" w:fill="FFFFFF"/>
            <w:noWrap/>
            <w:vAlign w:val="bottom"/>
          </w:tcPr>
          <w:p w14:paraId="0D98FCD6" w14:textId="0A6D603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$81</w:t>
            </w:r>
          </w:p>
        </w:tc>
        <w:tc>
          <w:tcPr>
            <w:tcW w:w="711" w:type="dxa"/>
            <w:gridSpan w:val="2"/>
            <w:tcBorders>
              <w:top w:val="nil"/>
              <w:left w:val="nil"/>
              <w:bottom w:val="nil"/>
              <w:right w:val="nil"/>
            </w:tcBorders>
            <w:shd w:val="clear" w:color="000000" w:fill="FFFFFF"/>
            <w:noWrap/>
            <w:vAlign w:val="bottom"/>
          </w:tcPr>
          <w:p w14:paraId="41284D3F" w14:textId="211068D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$198</w:t>
            </w:r>
          </w:p>
        </w:tc>
        <w:tc>
          <w:tcPr>
            <w:tcW w:w="728" w:type="dxa"/>
            <w:tcBorders>
              <w:top w:val="nil"/>
              <w:left w:val="nil"/>
              <w:bottom w:val="nil"/>
              <w:right w:val="nil"/>
            </w:tcBorders>
            <w:shd w:val="clear" w:color="000000" w:fill="FFFFFF"/>
            <w:noWrap/>
            <w:vAlign w:val="bottom"/>
          </w:tcPr>
          <w:p w14:paraId="422849DF" w14:textId="0D937BB8"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-43.8%</w:t>
            </w:r>
          </w:p>
        </w:tc>
        <w:tc>
          <w:tcPr>
            <w:tcW w:w="584" w:type="dxa"/>
            <w:gridSpan w:val="2"/>
            <w:tcBorders>
              <w:top w:val="nil"/>
              <w:left w:val="nil"/>
              <w:bottom w:val="nil"/>
              <w:right w:val="nil"/>
            </w:tcBorders>
            <w:shd w:val="clear" w:color="000000" w:fill="FFFFFF"/>
            <w:noWrap/>
            <w:vAlign w:val="bottom"/>
          </w:tcPr>
          <w:p w14:paraId="1EA6BDA4" w14:textId="6DFDF35E"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7DC5F6F2" w14:textId="426E5FD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E9F8EDC" w14:textId="1F5EF31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18.6</w:t>
            </w:r>
          </w:p>
        </w:tc>
        <w:tc>
          <w:tcPr>
            <w:tcW w:w="798" w:type="dxa"/>
            <w:gridSpan w:val="2"/>
            <w:tcBorders>
              <w:top w:val="nil"/>
              <w:left w:val="nil"/>
              <w:bottom w:val="nil"/>
              <w:right w:val="nil"/>
            </w:tcBorders>
            <w:shd w:val="clear" w:color="000000" w:fill="FFFFFF"/>
            <w:noWrap/>
            <w:vAlign w:val="bottom"/>
          </w:tcPr>
          <w:p w14:paraId="3A386BF5" w14:textId="18A0F0E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19.2</w:t>
            </w:r>
          </w:p>
        </w:tc>
        <w:tc>
          <w:tcPr>
            <w:tcW w:w="500" w:type="dxa"/>
            <w:tcBorders>
              <w:top w:val="nil"/>
              <w:left w:val="nil"/>
              <w:bottom w:val="nil"/>
              <w:right w:val="nil"/>
            </w:tcBorders>
            <w:shd w:val="clear" w:color="000000" w:fill="FFFFFF"/>
            <w:noWrap/>
            <w:vAlign w:val="bottom"/>
          </w:tcPr>
          <w:p w14:paraId="21926E46" w14:textId="7147B50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21.9</w:t>
            </w:r>
          </w:p>
        </w:tc>
        <w:tc>
          <w:tcPr>
            <w:tcW w:w="757" w:type="dxa"/>
            <w:gridSpan w:val="2"/>
            <w:tcBorders>
              <w:top w:val="nil"/>
              <w:left w:val="nil"/>
              <w:bottom w:val="nil"/>
              <w:right w:val="nil"/>
            </w:tcBorders>
            <w:shd w:val="clear" w:color="000000" w:fill="FFFFFF"/>
            <w:noWrap/>
            <w:vAlign w:val="bottom"/>
          </w:tcPr>
          <w:p w14:paraId="099D25DC" w14:textId="66F97E5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21.5</w:t>
            </w:r>
          </w:p>
        </w:tc>
        <w:tc>
          <w:tcPr>
            <w:tcW w:w="728" w:type="dxa"/>
            <w:tcBorders>
              <w:top w:val="nil"/>
              <w:left w:val="nil"/>
              <w:bottom w:val="nil"/>
              <w:right w:val="nil"/>
            </w:tcBorders>
            <w:shd w:val="clear" w:color="000000" w:fill="FFFFFF"/>
            <w:noWrap/>
            <w:vAlign w:val="bottom"/>
          </w:tcPr>
          <w:p w14:paraId="6CC225C3" w14:textId="0C71193E"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5.3%</w:t>
            </w:r>
          </w:p>
        </w:tc>
        <w:tc>
          <w:tcPr>
            <w:tcW w:w="619" w:type="dxa"/>
            <w:gridSpan w:val="2"/>
            <w:tcBorders>
              <w:top w:val="nil"/>
              <w:left w:val="nil"/>
              <w:bottom w:val="nil"/>
              <w:right w:val="nil"/>
            </w:tcBorders>
            <w:shd w:val="clear" w:color="000000" w:fill="FFFFFF"/>
            <w:noWrap/>
            <w:vAlign w:val="bottom"/>
          </w:tcPr>
          <w:p w14:paraId="6F2F968F" w14:textId="69E20B21"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0.274</w:t>
            </w:r>
          </w:p>
        </w:tc>
      </w:tr>
      <w:tr w:rsidR="00C2204F" w:rsidRPr="00EA3957" w14:paraId="2FE8FEE1" w14:textId="77777777" w:rsidTr="00C2204F">
        <w:trPr>
          <w:trHeight w:val="288"/>
        </w:trPr>
        <w:tc>
          <w:tcPr>
            <w:tcW w:w="1710" w:type="dxa"/>
            <w:tcBorders>
              <w:top w:val="nil"/>
              <w:left w:val="nil"/>
              <w:bottom w:val="nil"/>
              <w:right w:val="nil"/>
            </w:tcBorders>
            <w:shd w:val="clear" w:color="000000" w:fill="FFFFFF"/>
            <w:noWrap/>
            <w:vAlign w:val="bottom"/>
            <w:hideMark/>
          </w:tcPr>
          <w:p w14:paraId="687F82E2"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7ECCFADB" w14:textId="1FD1E64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82</w:t>
            </w:r>
          </w:p>
        </w:tc>
        <w:tc>
          <w:tcPr>
            <w:tcW w:w="630" w:type="dxa"/>
            <w:gridSpan w:val="2"/>
            <w:tcBorders>
              <w:top w:val="nil"/>
              <w:left w:val="nil"/>
              <w:bottom w:val="nil"/>
              <w:right w:val="nil"/>
            </w:tcBorders>
            <w:shd w:val="clear" w:color="000000" w:fill="FFFFFF"/>
            <w:noWrap/>
            <w:vAlign w:val="bottom"/>
          </w:tcPr>
          <w:p w14:paraId="18C08CD6" w14:textId="527B095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167</w:t>
            </w:r>
          </w:p>
        </w:tc>
        <w:tc>
          <w:tcPr>
            <w:tcW w:w="99" w:type="dxa"/>
            <w:gridSpan w:val="2"/>
            <w:tcBorders>
              <w:top w:val="nil"/>
              <w:left w:val="nil"/>
              <w:bottom w:val="nil"/>
              <w:right w:val="nil"/>
            </w:tcBorders>
            <w:shd w:val="clear" w:color="000000" w:fill="FFFFFF"/>
            <w:noWrap/>
            <w:vAlign w:val="bottom"/>
          </w:tcPr>
          <w:p w14:paraId="2DE7A929" w14:textId="5522B54F"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B51654F" w14:textId="2F927BF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$195</w:t>
            </w:r>
          </w:p>
        </w:tc>
        <w:tc>
          <w:tcPr>
            <w:tcW w:w="711" w:type="dxa"/>
            <w:gridSpan w:val="2"/>
            <w:tcBorders>
              <w:top w:val="nil"/>
              <w:left w:val="nil"/>
              <w:bottom w:val="nil"/>
              <w:right w:val="nil"/>
            </w:tcBorders>
            <w:shd w:val="clear" w:color="000000" w:fill="FFFFFF"/>
            <w:noWrap/>
            <w:vAlign w:val="bottom"/>
          </w:tcPr>
          <w:p w14:paraId="6CA85240" w14:textId="21AA1AD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$184</w:t>
            </w:r>
          </w:p>
        </w:tc>
        <w:tc>
          <w:tcPr>
            <w:tcW w:w="662" w:type="dxa"/>
            <w:tcBorders>
              <w:top w:val="nil"/>
              <w:left w:val="nil"/>
              <w:bottom w:val="nil"/>
              <w:right w:val="nil"/>
            </w:tcBorders>
            <w:shd w:val="clear" w:color="000000" w:fill="FFFFFF"/>
            <w:noWrap/>
            <w:vAlign w:val="bottom"/>
          </w:tcPr>
          <w:p w14:paraId="10685731" w14:textId="15D4130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$124</w:t>
            </w:r>
          </w:p>
        </w:tc>
        <w:tc>
          <w:tcPr>
            <w:tcW w:w="711" w:type="dxa"/>
            <w:gridSpan w:val="2"/>
            <w:tcBorders>
              <w:top w:val="nil"/>
              <w:left w:val="nil"/>
              <w:bottom w:val="nil"/>
              <w:right w:val="nil"/>
            </w:tcBorders>
            <w:shd w:val="clear" w:color="000000" w:fill="FFFFFF"/>
            <w:noWrap/>
            <w:vAlign w:val="bottom"/>
          </w:tcPr>
          <w:p w14:paraId="0DE5A2AF" w14:textId="03EACF7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$202</w:t>
            </w:r>
          </w:p>
        </w:tc>
        <w:tc>
          <w:tcPr>
            <w:tcW w:w="728" w:type="dxa"/>
            <w:tcBorders>
              <w:top w:val="nil"/>
              <w:left w:val="nil"/>
              <w:bottom w:val="nil"/>
              <w:right w:val="nil"/>
            </w:tcBorders>
            <w:shd w:val="clear" w:color="000000" w:fill="FFFFFF"/>
            <w:noWrap/>
            <w:vAlign w:val="bottom"/>
          </w:tcPr>
          <w:p w14:paraId="3D9EC9AC" w14:textId="622676A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-41.9%</w:t>
            </w:r>
          </w:p>
        </w:tc>
        <w:tc>
          <w:tcPr>
            <w:tcW w:w="584" w:type="dxa"/>
            <w:gridSpan w:val="2"/>
            <w:tcBorders>
              <w:top w:val="nil"/>
              <w:left w:val="nil"/>
              <w:bottom w:val="nil"/>
              <w:right w:val="nil"/>
            </w:tcBorders>
            <w:shd w:val="clear" w:color="000000" w:fill="FFFFFF"/>
            <w:noWrap/>
            <w:vAlign w:val="bottom"/>
          </w:tcPr>
          <w:p w14:paraId="0FABAADF" w14:textId="78A2BDC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0.096</w:t>
            </w:r>
          </w:p>
        </w:tc>
        <w:tc>
          <w:tcPr>
            <w:tcW w:w="82" w:type="dxa"/>
            <w:gridSpan w:val="2"/>
            <w:tcBorders>
              <w:top w:val="nil"/>
              <w:left w:val="nil"/>
              <w:bottom w:val="nil"/>
              <w:right w:val="nil"/>
            </w:tcBorders>
            <w:shd w:val="clear" w:color="000000" w:fill="FFFFFF"/>
            <w:noWrap/>
            <w:vAlign w:val="bottom"/>
          </w:tcPr>
          <w:p w14:paraId="47C6E941" w14:textId="16569432"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4EF3DF4" w14:textId="127FF80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98" w:type="dxa"/>
            <w:gridSpan w:val="2"/>
            <w:tcBorders>
              <w:top w:val="nil"/>
              <w:left w:val="nil"/>
              <w:bottom w:val="nil"/>
              <w:right w:val="nil"/>
            </w:tcBorders>
            <w:shd w:val="clear" w:color="000000" w:fill="FFFFFF"/>
            <w:noWrap/>
            <w:vAlign w:val="bottom"/>
          </w:tcPr>
          <w:p w14:paraId="59287D3A" w14:textId="525B621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500" w:type="dxa"/>
            <w:tcBorders>
              <w:top w:val="nil"/>
              <w:left w:val="nil"/>
              <w:bottom w:val="nil"/>
              <w:right w:val="nil"/>
            </w:tcBorders>
            <w:shd w:val="clear" w:color="000000" w:fill="FFFFFF"/>
            <w:noWrap/>
            <w:vAlign w:val="bottom"/>
          </w:tcPr>
          <w:p w14:paraId="0158EDC5" w14:textId="16CFBB2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10.6</w:t>
            </w:r>
          </w:p>
        </w:tc>
        <w:tc>
          <w:tcPr>
            <w:tcW w:w="757" w:type="dxa"/>
            <w:gridSpan w:val="2"/>
            <w:tcBorders>
              <w:top w:val="nil"/>
              <w:left w:val="nil"/>
              <w:bottom w:val="nil"/>
              <w:right w:val="nil"/>
            </w:tcBorders>
            <w:shd w:val="clear" w:color="000000" w:fill="FFFFFF"/>
            <w:noWrap/>
            <w:vAlign w:val="bottom"/>
          </w:tcPr>
          <w:p w14:paraId="4BA64DEC" w14:textId="3A4B2E4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9.3</w:t>
            </w:r>
          </w:p>
        </w:tc>
        <w:tc>
          <w:tcPr>
            <w:tcW w:w="728" w:type="dxa"/>
            <w:tcBorders>
              <w:top w:val="nil"/>
              <w:left w:val="nil"/>
              <w:bottom w:val="nil"/>
              <w:right w:val="nil"/>
            </w:tcBorders>
            <w:shd w:val="clear" w:color="000000" w:fill="FFFFFF"/>
            <w:noWrap/>
            <w:vAlign w:val="bottom"/>
          </w:tcPr>
          <w:p w14:paraId="460828C8" w14:textId="713BC165"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14.2%</w:t>
            </w:r>
          </w:p>
        </w:tc>
        <w:tc>
          <w:tcPr>
            <w:tcW w:w="619" w:type="dxa"/>
            <w:gridSpan w:val="2"/>
            <w:tcBorders>
              <w:top w:val="nil"/>
              <w:left w:val="nil"/>
              <w:bottom w:val="nil"/>
              <w:right w:val="nil"/>
            </w:tcBorders>
            <w:shd w:val="clear" w:color="000000" w:fill="FFFFFF"/>
            <w:noWrap/>
            <w:vAlign w:val="bottom"/>
          </w:tcPr>
          <w:p w14:paraId="421161FD" w14:textId="1C772AD7"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0.246</w:t>
            </w:r>
          </w:p>
        </w:tc>
      </w:tr>
      <w:tr w:rsidR="00C2204F" w:rsidRPr="00EA3957" w14:paraId="6441C144" w14:textId="77777777" w:rsidTr="00C2204F">
        <w:trPr>
          <w:trHeight w:val="288"/>
        </w:trPr>
        <w:tc>
          <w:tcPr>
            <w:tcW w:w="1710" w:type="dxa"/>
            <w:tcBorders>
              <w:top w:val="nil"/>
              <w:left w:val="nil"/>
              <w:bottom w:val="nil"/>
              <w:right w:val="nil"/>
            </w:tcBorders>
            <w:shd w:val="clear" w:color="000000" w:fill="FFFFFF"/>
            <w:noWrap/>
            <w:vAlign w:val="bottom"/>
            <w:hideMark/>
          </w:tcPr>
          <w:p w14:paraId="1886BAA8"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03B38C5C" w14:textId="22B34A5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85</w:t>
            </w:r>
          </w:p>
        </w:tc>
        <w:tc>
          <w:tcPr>
            <w:tcW w:w="630" w:type="dxa"/>
            <w:gridSpan w:val="2"/>
            <w:tcBorders>
              <w:top w:val="nil"/>
              <w:left w:val="nil"/>
              <w:bottom w:val="nil"/>
              <w:right w:val="nil"/>
            </w:tcBorders>
            <w:shd w:val="clear" w:color="000000" w:fill="FFFFFF"/>
            <w:noWrap/>
            <w:vAlign w:val="bottom"/>
          </w:tcPr>
          <w:p w14:paraId="1A1C6A49" w14:textId="53384D2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131</w:t>
            </w:r>
          </w:p>
        </w:tc>
        <w:tc>
          <w:tcPr>
            <w:tcW w:w="99" w:type="dxa"/>
            <w:gridSpan w:val="2"/>
            <w:tcBorders>
              <w:top w:val="nil"/>
              <w:left w:val="nil"/>
              <w:bottom w:val="nil"/>
              <w:right w:val="nil"/>
            </w:tcBorders>
            <w:shd w:val="clear" w:color="000000" w:fill="FFFFFF"/>
            <w:noWrap/>
            <w:vAlign w:val="bottom"/>
          </w:tcPr>
          <w:p w14:paraId="4F262339" w14:textId="31F42DE1"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5221E19" w14:textId="7F90D55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$147</w:t>
            </w:r>
          </w:p>
        </w:tc>
        <w:tc>
          <w:tcPr>
            <w:tcW w:w="711" w:type="dxa"/>
            <w:gridSpan w:val="2"/>
            <w:tcBorders>
              <w:top w:val="nil"/>
              <w:left w:val="nil"/>
              <w:bottom w:val="nil"/>
              <w:right w:val="nil"/>
            </w:tcBorders>
            <w:shd w:val="clear" w:color="000000" w:fill="FFFFFF"/>
            <w:noWrap/>
            <w:vAlign w:val="bottom"/>
          </w:tcPr>
          <w:p w14:paraId="08E95723" w14:textId="7256860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$155</w:t>
            </w:r>
          </w:p>
        </w:tc>
        <w:tc>
          <w:tcPr>
            <w:tcW w:w="662" w:type="dxa"/>
            <w:tcBorders>
              <w:top w:val="nil"/>
              <w:left w:val="nil"/>
              <w:bottom w:val="nil"/>
              <w:right w:val="nil"/>
            </w:tcBorders>
            <w:shd w:val="clear" w:color="000000" w:fill="FFFFFF"/>
            <w:noWrap/>
            <w:vAlign w:val="bottom"/>
          </w:tcPr>
          <w:p w14:paraId="7AC09A13" w14:textId="7C60F01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$90</w:t>
            </w:r>
          </w:p>
        </w:tc>
        <w:tc>
          <w:tcPr>
            <w:tcW w:w="711" w:type="dxa"/>
            <w:gridSpan w:val="2"/>
            <w:tcBorders>
              <w:top w:val="nil"/>
              <w:left w:val="nil"/>
              <w:bottom w:val="nil"/>
              <w:right w:val="nil"/>
            </w:tcBorders>
            <w:shd w:val="clear" w:color="000000" w:fill="FFFFFF"/>
            <w:noWrap/>
            <w:vAlign w:val="bottom"/>
          </w:tcPr>
          <w:p w14:paraId="49E3CC3A" w14:textId="2DE7A70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$160</w:t>
            </w:r>
          </w:p>
        </w:tc>
        <w:tc>
          <w:tcPr>
            <w:tcW w:w="728" w:type="dxa"/>
            <w:tcBorders>
              <w:top w:val="nil"/>
              <w:left w:val="nil"/>
              <w:bottom w:val="nil"/>
              <w:right w:val="nil"/>
            </w:tcBorders>
            <w:shd w:val="clear" w:color="000000" w:fill="FFFFFF"/>
            <w:noWrap/>
            <w:vAlign w:val="bottom"/>
          </w:tcPr>
          <w:p w14:paraId="431EBAB1" w14:textId="2B0091F0"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-40.6%</w:t>
            </w:r>
          </w:p>
        </w:tc>
        <w:tc>
          <w:tcPr>
            <w:tcW w:w="584" w:type="dxa"/>
            <w:gridSpan w:val="2"/>
            <w:tcBorders>
              <w:top w:val="nil"/>
              <w:left w:val="nil"/>
              <w:bottom w:val="nil"/>
              <w:right w:val="nil"/>
            </w:tcBorders>
            <w:shd w:val="clear" w:color="000000" w:fill="FFFFFF"/>
            <w:noWrap/>
            <w:vAlign w:val="bottom"/>
          </w:tcPr>
          <w:p w14:paraId="0CECE82E" w14:textId="4FEB737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0.018</w:t>
            </w:r>
          </w:p>
        </w:tc>
        <w:tc>
          <w:tcPr>
            <w:tcW w:w="82" w:type="dxa"/>
            <w:gridSpan w:val="2"/>
            <w:tcBorders>
              <w:top w:val="nil"/>
              <w:left w:val="nil"/>
              <w:bottom w:val="nil"/>
              <w:right w:val="nil"/>
            </w:tcBorders>
            <w:shd w:val="clear" w:color="000000" w:fill="FFFFFF"/>
            <w:noWrap/>
            <w:vAlign w:val="bottom"/>
          </w:tcPr>
          <w:p w14:paraId="7793D1F2" w14:textId="16B95674"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CEA3BAE" w14:textId="5F3658C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7.9</w:t>
            </w:r>
          </w:p>
        </w:tc>
        <w:tc>
          <w:tcPr>
            <w:tcW w:w="798" w:type="dxa"/>
            <w:gridSpan w:val="2"/>
            <w:tcBorders>
              <w:top w:val="nil"/>
              <w:left w:val="nil"/>
              <w:bottom w:val="nil"/>
              <w:right w:val="nil"/>
            </w:tcBorders>
            <w:shd w:val="clear" w:color="000000" w:fill="FFFFFF"/>
            <w:noWrap/>
            <w:vAlign w:val="bottom"/>
          </w:tcPr>
          <w:p w14:paraId="41006B56" w14:textId="42F8FD2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6.7</w:t>
            </w:r>
          </w:p>
        </w:tc>
        <w:tc>
          <w:tcPr>
            <w:tcW w:w="500" w:type="dxa"/>
            <w:tcBorders>
              <w:top w:val="nil"/>
              <w:left w:val="nil"/>
              <w:bottom w:val="nil"/>
              <w:right w:val="nil"/>
            </w:tcBorders>
            <w:shd w:val="clear" w:color="000000" w:fill="FFFFFF"/>
            <w:noWrap/>
            <w:vAlign w:val="bottom"/>
          </w:tcPr>
          <w:p w14:paraId="48229616" w14:textId="6514646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7.6</w:t>
            </w:r>
          </w:p>
        </w:tc>
        <w:tc>
          <w:tcPr>
            <w:tcW w:w="757" w:type="dxa"/>
            <w:gridSpan w:val="2"/>
            <w:tcBorders>
              <w:top w:val="nil"/>
              <w:left w:val="nil"/>
              <w:bottom w:val="nil"/>
              <w:right w:val="nil"/>
            </w:tcBorders>
            <w:shd w:val="clear" w:color="000000" w:fill="FFFFFF"/>
            <w:noWrap/>
            <w:vAlign w:val="bottom"/>
          </w:tcPr>
          <w:p w14:paraId="71E4ADA5" w14:textId="5A5BEBA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6.0</w:t>
            </w:r>
          </w:p>
        </w:tc>
        <w:tc>
          <w:tcPr>
            <w:tcW w:w="728" w:type="dxa"/>
            <w:tcBorders>
              <w:top w:val="nil"/>
              <w:left w:val="nil"/>
              <w:bottom w:val="nil"/>
              <w:right w:val="nil"/>
            </w:tcBorders>
            <w:shd w:val="clear" w:color="000000" w:fill="FFFFFF"/>
            <w:noWrap/>
            <w:vAlign w:val="bottom"/>
          </w:tcPr>
          <w:p w14:paraId="6CE6831B" w14:textId="136D3127"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8.3%</w:t>
            </w:r>
          </w:p>
        </w:tc>
        <w:tc>
          <w:tcPr>
            <w:tcW w:w="619" w:type="dxa"/>
            <w:gridSpan w:val="2"/>
            <w:tcBorders>
              <w:top w:val="nil"/>
              <w:left w:val="nil"/>
              <w:bottom w:val="nil"/>
              <w:right w:val="nil"/>
            </w:tcBorders>
            <w:shd w:val="clear" w:color="000000" w:fill="FFFFFF"/>
            <w:noWrap/>
            <w:vAlign w:val="bottom"/>
          </w:tcPr>
          <w:p w14:paraId="62409FDD" w14:textId="5F036ED2"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0.583</w:t>
            </w:r>
          </w:p>
        </w:tc>
      </w:tr>
      <w:tr w:rsidR="00C2204F" w:rsidRPr="00EA3957" w14:paraId="4F2DC129" w14:textId="77777777" w:rsidTr="00C2204F">
        <w:trPr>
          <w:trHeight w:val="288"/>
        </w:trPr>
        <w:tc>
          <w:tcPr>
            <w:tcW w:w="1710" w:type="dxa"/>
            <w:tcBorders>
              <w:top w:val="nil"/>
              <w:left w:val="nil"/>
              <w:bottom w:val="nil"/>
              <w:right w:val="nil"/>
            </w:tcBorders>
            <w:shd w:val="clear" w:color="000000" w:fill="FFFFFF"/>
            <w:noWrap/>
            <w:vAlign w:val="bottom"/>
            <w:hideMark/>
          </w:tcPr>
          <w:p w14:paraId="49A041B1"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24050409" w14:textId="21BF5D5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129</w:t>
            </w:r>
          </w:p>
        </w:tc>
        <w:tc>
          <w:tcPr>
            <w:tcW w:w="630" w:type="dxa"/>
            <w:gridSpan w:val="2"/>
            <w:tcBorders>
              <w:top w:val="nil"/>
              <w:left w:val="nil"/>
              <w:bottom w:val="nil"/>
              <w:right w:val="nil"/>
            </w:tcBorders>
            <w:shd w:val="clear" w:color="000000" w:fill="FFFFFF"/>
            <w:noWrap/>
            <w:vAlign w:val="bottom"/>
          </w:tcPr>
          <w:p w14:paraId="6F7893D9" w14:textId="456C671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223</w:t>
            </w:r>
          </w:p>
        </w:tc>
        <w:tc>
          <w:tcPr>
            <w:tcW w:w="99" w:type="dxa"/>
            <w:gridSpan w:val="2"/>
            <w:tcBorders>
              <w:top w:val="nil"/>
              <w:left w:val="nil"/>
              <w:bottom w:val="nil"/>
              <w:right w:val="nil"/>
            </w:tcBorders>
            <w:shd w:val="clear" w:color="000000" w:fill="FFFFFF"/>
            <w:noWrap/>
            <w:vAlign w:val="bottom"/>
          </w:tcPr>
          <w:p w14:paraId="7FCCF014" w14:textId="6ABA9AD7"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4232008" w14:textId="13D315A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$142</w:t>
            </w:r>
          </w:p>
        </w:tc>
        <w:tc>
          <w:tcPr>
            <w:tcW w:w="711" w:type="dxa"/>
            <w:gridSpan w:val="2"/>
            <w:tcBorders>
              <w:top w:val="nil"/>
              <w:left w:val="nil"/>
              <w:bottom w:val="nil"/>
              <w:right w:val="nil"/>
            </w:tcBorders>
            <w:shd w:val="clear" w:color="000000" w:fill="FFFFFF"/>
            <w:noWrap/>
            <w:vAlign w:val="bottom"/>
          </w:tcPr>
          <w:p w14:paraId="0290BAFC" w14:textId="23F18E1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$160</w:t>
            </w:r>
          </w:p>
        </w:tc>
        <w:tc>
          <w:tcPr>
            <w:tcW w:w="662" w:type="dxa"/>
            <w:tcBorders>
              <w:top w:val="nil"/>
              <w:left w:val="nil"/>
              <w:bottom w:val="nil"/>
              <w:right w:val="nil"/>
            </w:tcBorders>
            <w:shd w:val="clear" w:color="000000" w:fill="FFFFFF"/>
            <w:noWrap/>
            <w:vAlign w:val="bottom"/>
          </w:tcPr>
          <w:p w14:paraId="05621491" w14:textId="04E3EE1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$134</w:t>
            </w:r>
          </w:p>
        </w:tc>
        <w:tc>
          <w:tcPr>
            <w:tcW w:w="711" w:type="dxa"/>
            <w:gridSpan w:val="2"/>
            <w:tcBorders>
              <w:top w:val="nil"/>
              <w:left w:val="nil"/>
              <w:bottom w:val="nil"/>
              <w:right w:val="nil"/>
            </w:tcBorders>
            <w:shd w:val="clear" w:color="000000" w:fill="FFFFFF"/>
            <w:noWrap/>
            <w:vAlign w:val="bottom"/>
          </w:tcPr>
          <w:p w14:paraId="1EBBA8F1" w14:textId="37314F2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$176</w:t>
            </w:r>
          </w:p>
        </w:tc>
        <w:tc>
          <w:tcPr>
            <w:tcW w:w="728" w:type="dxa"/>
            <w:tcBorders>
              <w:top w:val="nil"/>
              <w:left w:val="nil"/>
              <w:bottom w:val="nil"/>
              <w:right w:val="nil"/>
            </w:tcBorders>
            <w:shd w:val="clear" w:color="000000" w:fill="FFFFFF"/>
            <w:noWrap/>
            <w:vAlign w:val="bottom"/>
          </w:tcPr>
          <w:p w14:paraId="204CDABE" w14:textId="79B77059"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-14.1%</w:t>
            </w:r>
          </w:p>
        </w:tc>
        <w:tc>
          <w:tcPr>
            <w:tcW w:w="584" w:type="dxa"/>
            <w:gridSpan w:val="2"/>
            <w:tcBorders>
              <w:top w:val="nil"/>
              <w:left w:val="nil"/>
              <w:bottom w:val="nil"/>
              <w:right w:val="nil"/>
            </w:tcBorders>
            <w:shd w:val="clear" w:color="000000" w:fill="FFFFFF"/>
            <w:noWrap/>
            <w:vAlign w:val="bottom"/>
          </w:tcPr>
          <w:p w14:paraId="3F707444" w14:textId="0D5E01F8"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0.439</w:t>
            </w:r>
          </w:p>
        </w:tc>
        <w:tc>
          <w:tcPr>
            <w:tcW w:w="82" w:type="dxa"/>
            <w:gridSpan w:val="2"/>
            <w:tcBorders>
              <w:top w:val="nil"/>
              <w:left w:val="nil"/>
              <w:bottom w:val="nil"/>
              <w:right w:val="nil"/>
            </w:tcBorders>
            <w:shd w:val="clear" w:color="000000" w:fill="FFFFFF"/>
            <w:noWrap/>
            <w:vAlign w:val="bottom"/>
          </w:tcPr>
          <w:p w14:paraId="5829309A" w14:textId="6A7E2F7A"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F3A68A6" w14:textId="05F057D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11.7</w:t>
            </w:r>
          </w:p>
        </w:tc>
        <w:tc>
          <w:tcPr>
            <w:tcW w:w="798" w:type="dxa"/>
            <w:gridSpan w:val="2"/>
            <w:tcBorders>
              <w:top w:val="nil"/>
              <w:left w:val="nil"/>
              <w:bottom w:val="nil"/>
              <w:right w:val="nil"/>
            </w:tcBorders>
            <w:shd w:val="clear" w:color="000000" w:fill="FFFFFF"/>
            <w:noWrap/>
            <w:vAlign w:val="bottom"/>
          </w:tcPr>
          <w:p w14:paraId="3ECD86F1" w14:textId="70671BB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500" w:type="dxa"/>
            <w:tcBorders>
              <w:top w:val="nil"/>
              <w:left w:val="nil"/>
              <w:bottom w:val="nil"/>
              <w:right w:val="nil"/>
            </w:tcBorders>
            <w:shd w:val="clear" w:color="000000" w:fill="FFFFFF"/>
            <w:noWrap/>
            <w:vAlign w:val="bottom"/>
          </w:tcPr>
          <w:p w14:paraId="6DBE8ED5" w14:textId="3E9E127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757" w:type="dxa"/>
            <w:gridSpan w:val="2"/>
            <w:tcBorders>
              <w:top w:val="nil"/>
              <w:left w:val="nil"/>
              <w:bottom w:val="nil"/>
              <w:right w:val="nil"/>
            </w:tcBorders>
            <w:shd w:val="clear" w:color="000000" w:fill="FFFFFF"/>
            <w:noWrap/>
            <w:vAlign w:val="bottom"/>
          </w:tcPr>
          <w:p w14:paraId="427A85ED" w14:textId="51365B4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11.0</w:t>
            </w:r>
          </w:p>
        </w:tc>
        <w:tc>
          <w:tcPr>
            <w:tcW w:w="728" w:type="dxa"/>
            <w:tcBorders>
              <w:top w:val="nil"/>
              <w:left w:val="nil"/>
              <w:bottom w:val="nil"/>
              <w:right w:val="nil"/>
            </w:tcBorders>
            <w:shd w:val="clear" w:color="000000" w:fill="FFFFFF"/>
            <w:noWrap/>
            <w:vAlign w:val="bottom"/>
          </w:tcPr>
          <w:p w14:paraId="7170BB5F" w14:textId="2D58B804"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-9.7%</w:t>
            </w:r>
          </w:p>
        </w:tc>
        <w:tc>
          <w:tcPr>
            <w:tcW w:w="619" w:type="dxa"/>
            <w:gridSpan w:val="2"/>
            <w:tcBorders>
              <w:top w:val="nil"/>
              <w:left w:val="nil"/>
              <w:bottom w:val="nil"/>
              <w:right w:val="nil"/>
            </w:tcBorders>
            <w:shd w:val="clear" w:color="000000" w:fill="FFFFFF"/>
            <w:noWrap/>
            <w:vAlign w:val="bottom"/>
          </w:tcPr>
          <w:p w14:paraId="0CD12965" w14:textId="3F9849A5"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0.080</w:t>
            </w:r>
          </w:p>
        </w:tc>
      </w:tr>
      <w:tr w:rsidR="00C2204F" w:rsidRPr="00EA3957" w14:paraId="38421024" w14:textId="77777777" w:rsidTr="00C2204F">
        <w:trPr>
          <w:trHeight w:val="288"/>
        </w:trPr>
        <w:tc>
          <w:tcPr>
            <w:tcW w:w="1710" w:type="dxa"/>
            <w:tcBorders>
              <w:top w:val="nil"/>
              <w:left w:val="nil"/>
              <w:bottom w:val="nil"/>
              <w:right w:val="nil"/>
            </w:tcBorders>
            <w:shd w:val="clear" w:color="000000" w:fill="FFFFFF"/>
            <w:noWrap/>
            <w:vAlign w:val="bottom"/>
            <w:hideMark/>
          </w:tcPr>
          <w:p w14:paraId="295827F3"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360157E4" w14:textId="504E10C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109</w:t>
            </w:r>
          </w:p>
        </w:tc>
        <w:tc>
          <w:tcPr>
            <w:tcW w:w="630" w:type="dxa"/>
            <w:gridSpan w:val="2"/>
            <w:tcBorders>
              <w:top w:val="nil"/>
              <w:left w:val="nil"/>
              <w:bottom w:val="nil"/>
              <w:right w:val="nil"/>
            </w:tcBorders>
            <w:shd w:val="clear" w:color="000000" w:fill="FFFFFF"/>
            <w:noWrap/>
            <w:vAlign w:val="bottom"/>
          </w:tcPr>
          <w:p w14:paraId="6C958BA9" w14:textId="5DE5F02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193</w:t>
            </w:r>
          </w:p>
        </w:tc>
        <w:tc>
          <w:tcPr>
            <w:tcW w:w="99" w:type="dxa"/>
            <w:gridSpan w:val="2"/>
            <w:tcBorders>
              <w:top w:val="nil"/>
              <w:left w:val="nil"/>
              <w:bottom w:val="nil"/>
              <w:right w:val="nil"/>
            </w:tcBorders>
            <w:shd w:val="clear" w:color="000000" w:fill="FFFFFF"/>
            <w:noWrap/>
            <w:vAlign w:val="bottom"/>
          </w:tcPr>
          <w:p w14:paraId="401BB753" w14:textId="593B679A"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254B868" w14:textId="570271C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$127</w:t>
            </w:r>
          </w:p>
        </w:tc>
        <w:tc>
          <w:tcPr>
            <w:tcW w:w="711" w:type="dxa"/>
            <w:gridSpan w:val="2"/>
            <w:tcBorders>
              <w:top w:val="nil"/>
              <w:left w:val="nil"/>
              <w:bottom w:val="nil"/>
              <w:right w:val="nil"/>
            </w:tcBorders>
            <w:shd w:val="clear" w:color="000000" w:fill="FFFFFF"/>
            <w:noWrap/>
            <w:vAlign w:val="bottom"/>
          </w:tcPr>
          <w:p w14:paraId="07332BAD" w14:textId="13D4FD8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$117</w:t>
            </w:r>
          </w:p>
        </w:tc>
        <w:tc>
          <w:tcPr>
            <w:tcW w:w="662" w:type="dxa"/>
            <w:tcBorders>
              <w:top w:val="nil"/>
              <w:left w:val="nil"/>
              <w:bottom w:val="nil"/>
              <w:right w:val="nil"/>
            </w:tcBorders>
            <w:shd w:val="clear" w:color="000000" w:fill="FFFFFF"/>
            <w:noWrap/>
            <w:vAlign w:val="bottom"/>
          </w:tcPr>
          <w:p w14:paraId="511F40AC" w14:textId="6D0DCF2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711" w:type="dxa"/>
            <w:gridSpan w:val="2"/>
            <w:tcBorders>
              <w:top w:val="nil"/>
              <w:left w:val="nil"/>
              <w:bottom w:val="nil"/>
              <w:right w:val="nil"/>
            </w:tcBorders>
            <w:shd w:val="clear" w:color="000000" w:fill="FFFFFF"/>
            <w:noWrap/>
            <w:vAlign w:val="bottom"/>
          </w:tcPr>
          <w:p w14:paraId="3700F97E" w14:textId="45D1A34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$139</w:t>
            </w:r>
          </w:p>
        </w:tc>
        <w:tc>
          <w:tcPr>
            <w:tcW w:w="728" w:type="dxa"/>
            <w:tcBorders>
              <w:top w:val="nil"/>
              <w:left w:val="nil"/>
              <w:bottom w:val="nil"/>
              <w:right w:val="nil"/>
            </w:tcBorders>
            <w:shd w:val="clear" w:color="000000" w:fill="FFFFFF"/>
            <w:noWrap/>
            <w:vAlign w:val="bottom"/>
          </w:tcPr>
          <w:p w14:paraId="3B701A5C" w14:textId="1670A731"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-26.4%</w:t>
            </w:r>
          </w:p>
        </w:tc>
        <w:tc>
          <w:tcPr>
            <w:tcW w:w="584" w:type="dxa"/>
            <w:gridSpan w:val="2"/>
            <w:tcBorders>
              <w:top w:val="nil"/>
              <w:left w:val="nil"/>
              <w:bottom w:val="nil"/>
              <w:right w:val="nil"/>
            </w:tcBorders>
            <w:shd w:val="clear" w:color="000000" w:fill="FFFFFF"/>
            <w:noWrap/>
            <w:vAlign w:val="bottom"/>
          </w:tcPr>
          <w:p w14:paraId="56B00F1E" w14:textId="7ACACD9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0.188</w:t>
            </w:r>
          </w:p>
        </w:tc>
        <w:tc>
          <w:tcPr>
            <w:tcW w:w="82" w:type="dxa"/>
            <w:gridSpan w:val="2"/>
            <w:tcBorders>
              <w:top w:val="nil"/>
              <w:left w:val="nil"/>
              <w:bottom w:val="nil"/>
              <w:right w:val="nil"/>
            </w:tcBorders>
            <w:shd w:val="clear" w:color="000000" w:fill="FFFFFF"/>
            <w:noWrap/>
            <w:vAlign w:val="bottom"/>
          </w:tcPr>
          <w:p w14:paraId="3B40C79E" w14:textId="513D8B3E"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F36CA72" w14:textId="4113B9B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7.2</w:t>
            </w:r>
          </w:p>
        </w:tc>
        <w:tc>
          <w:tcPr>
            <w:tcW w:w="798" w:type="dxa"/>
            <w:gridSpan w:val="2"/>
            <w:tcBorders>
              <w:top w:val="nil"/>
              <w:left w:val="nil"/>
              <w:bottom w:val="nil"/>
              <w:right w:val="nil"/>
            </w:tcBorders>
            <w:shd w:val="clear" w:color="000000" w:fill="FFFFFF"/>
            <w:noWrap/>
            <w:vAlign w:val="bottom"/>
          </w:tcPr>
          <w:p w14:paraId="34014D48" w14:textId="2CC791E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7.9</w:t>
            </w:r>
          </w:p>
        </w:tc>
        <w:tc>
          <w:tcPr>
            <w:tcW w:w="500" w:type="dxa"/>
            <w:tcBorders>
              <w:top w:val="nil"/>
              <w:left w:val="nil"/>
              <w:bottom w:val="nil"/>
              <w:right w:val="nil"/>
            </w:tcBorders>
            <w:shd w:val="clear" w:color="000000" w:fill="FFFFFF"/>
            <w:noWrap/>
            <w:vAlign w:val="bottom"/>
          </w:tcPr>
          <w:p w14:paraId="30FEA324" w14:textId="7F35BD4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7.2</w:t>
            </w:r>
          </w:p>
        </w:tc>
        <w:tc>
          <w:tcPr>
            <w:tcW w:w="757" w:type="dxa"/>
            <w:gridSpan w:val="2"/>
            <w:tcBorders>
              <w:top w:val="nil"/>
              <w:left w:val="nil"/>
              <w:bottom w:val="nil"/>
              <w:right w:val="nil"/>
            </w:tcBorders>
            <w:shd w:val="clear" w:color="000000" w:fill="FFFFFF"/>
            <w:noWrap/>
            <w:vAlign w:val="bottom"/>
          </w:tcPr>
          <w:p w14:paraId="33C569B4" w14:textId="4BAC70D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7.4</w:t>
            </w:r>
          </w:p>
        </w:tc>
        <w:tc>
          <w:tcPr>
            <w:tcW w:w="728" w:type="dxa"/>
            <w:tcBorders>
              <w:top w:val="nil"/>
              <w:left w:val="nil"/>
              <w:bottom w:val="nil"/>
              <w:right w:val="nil"/>
            </w:tcBorders>
            <w:shd w:val="clear" w:color="000000" w:fill="FFFFFF"/>
            <w:noWrap/>
            <w:vAlign w:val="bottom"/>
          </w:tcPr>
          <w:p w14:paraId="3774FF20" w14:textId="3171CCBC"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6.7%</w:t>
            </w:r>
          </w:p>
        </w:tc>
        <w:tc>
          <w:tcPr>
            <w:tcW w:w="619" w:type="dxa"/>
            <w:gridSpan w:val="2"/>
            <w:tcBorders>
              <w:top w:val="nil"/>
              <w:left w:val="nil"/>
              <w:bottom w:val="nil"/>
              <w:right w:val="nil"/>
            </w:tcBorders>
            <w:shd w:val="clear" w:color="000000" w:fill="FFFFFF"/>
            <w:noWrap/>
            <w:vAlign w:val="bottom"/>
          </w:tcPr>
          <w:p w14:paraId="1E6C3536" w14:textId="75C81FF6"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0.445</w:t>
            </w:r>
          </w:p>
        </w:tc>
      </w:tr>
      <w:tr w:rsidR="00C2204F" w:rsidRPr="00EA3957" w14:paraId="0B2C07CE" w14:textId="77777777" w:rsidTr="00C2204F">
        <w:trPr>
          <w:trHeight w:val="288"/>
        </w:trPr>
        <w:tc>
          <w:tcPr>
            <w:tcW w:w="1710" w:type="dxa"/>
            <w:tcBorders>
              <w:top w:val="nil"/>
              <w:left w:val="nil"/>
              <w:bottom w:val="nil"/>
              <w:right w:val="nil"/>
            </w:tcBorders>
            <w:shd w:val="clear" w:color="000000" w:fill="FFFFFF"/>
            <w:noWrap/>
            <w:vAlign w:val="bottom"/>
            <w:hideMark/>
          </w:tcPr>
          <w:p w14:paraId="5971FF68"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056019D1" w14:textId="197F0E2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339</w:t>
            </w:r>
          </w:p>
        </w:tc>
        <w:tc>
          <w:tcPr>
            <w:tcW w:w="630" w:type="dxa"/>
            <w:gridSpan w:val="2"/>
            <w:tcBorders>
              <w:top w:val="nil"/>
              <w:left w:val="nil"/>
              <w:bottom w:val="nil"/>
              <w:right w:val="nil"/>
            </w:tcBorders>
            <w:shd w:val="clear" w:color="000000" w:fill="FFFFFF"/>
            <w:noWrap/>
            <w:vAlign w:val="bottom"/>
          </w:tcPr>
          <w:p w14:paraId="52CB2304" w14:textId="3A4E329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639</w:t>
            </w:r>
          </w:p>
        </w:tc>
        <w:tc>
          <w:tcPr>
            <w:tcW w:w="99" w:type="dxa"/>
            <w:gridSpan w:val="2"/>
            <w:tcBorders>
              <w:top w:val="nil"/>
              <w:left w:val="nil"/>
              <w:bottom w:val="nil"/>
              <w:right w:val="nil"/>
            </w:tcBorders>
            <w:shd w:val="clear" w:color="000000" w:fill="FFFFFF"/>
            <w:noWrap/>
            <w:vAlign w:val="bottom"/>
          </w:tcPr>
          <w:p w14:paraId="560B4437" w14:textId="64F80846"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944E42D" w14:textId="1A62467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$536</w:t>
            </w:r>
          </w:p>
        </w:tc>
        <w:tc>
          <w:tcPr>
            <w:tcW w:w="711" w:type="dxa"/>
            <w:gridSpan w:val="2"/>
            <w:tcBorders>
              <w:top w:val="nil"/>
              <w:left w:val="nil"/>
              <w:bottom w:val="nil"/>
              <w:right w:val="nil"/>
            </w:tcBorders>
            <w:shd w:val="clear" w:color="000000" w:fill="FFFFFF"/>
            <w:noWrap/>
            <w:vAlign w:val="bottom"/>
          </w:tcPr>
          <w:p w14:paraId="32F23EEE" w14:textId="4735FF5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$506</w:t>
            </w:r>
          </w:p>
        </w:tc>
        <w:tc>
          <w:tcPr>
            <w:tcW w:w="662" w:type="dxa"/>
            <w:tcBorders>
              <w:top w:val="nil"/>
              <w:left w:val="nil"/>
              <w:bottom w:val="nil"/>
              <w:right w:val="nil"/>
            </w:tcBorders>
            <w:shd w:val="clear" w:color="000000" w:fill="FFFFFF"/>
            <w:noWrap/>
            <w:vAlign w:val="bottom"/>
          </w:tcPr>
          <w:p w14:paraId="12650D3A" w14:textId="7D90E08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$657</w:t>
            </w:r>
          </w:p>
        </w:tc>
        <w:tc>
          <w:tcPr>
            <w:tcW w:w="711" w:type="dxa"/>
            <w:gridSpan w:val="2"/>
            <w:tcBorders>
              <w:top w:val="nil"/>
              <w:left w:val="nil"/>
              <w:bottom w:val="nil"/>
              <w:right w:val="nil"/>
            </w:tcBorders>
            <w:shd w:val="clear" w:color="000000" w:fill="FFFFFF"/>
            <w:noWrap/>
            <w:vAlign w:val="bottom"/>
          </w:tcPr>
          <w:p w14:paraId="49B9189A" w14:textId="3A03736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$732</w:t>
            </w:r>
          </w:p>
        </w:tc>
        <w:tc>
          <w:tcPr>
            <w:tcW w:w="728" w:type="dxa"/>
            <w:tcBorders>
              <w:top w:val="nil"/>
              <w:left w:val="nil"/>
              <w:bottom w:val="nil"/>
              <w:right w:val="nil"/>
            </w:tcBorders>
            <w:shd w:val="clear" w:color="000000" w:fill="FFFFFF"/>
            <w:noWrap/>
            <w:vAlign w:val="bottom"/>
          </w:tcPr>
          <w:p w14:paraId="5CF19E11" w14:textId="316F7C74"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-15.2%</w:t>
            </w:r>
          </w:p>
        </w:tc>
        <w:tc>
          <w:tcPr>
            <w:tcW w:w="584" w:type="dxa"/>
            <w:gridSpan w:val="2"/>
            <w:tcBorders>
              <w:top w:val="nil"/>
              <w:left w:val="nil"/>
              <w:bottom w:val="nil"/>
              <w:right w:val="nil"/>
            </w:tcBorders>
            <w:shd w:val="clear" w:color="000000" w:fill="FFFFFF"/>
            <w:noWrap/>
            <w:vAlign w:val="bottom"/>
          </w:tcPr>
          <w:p w14:paraId="3C49CF03" w14:textId="1D064AE8"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0.063</w:t>
            </w:r>
          </w:p>
        </w:tc>
        <w:tc>
          <w:tcPr>
            <w:tcW w:w="82" w:type="dxa"/>
            <w:gridSpan w:val="2"/>
            <w:tcBorders>
              <w:top w:val="nil"/>
              <w:left w:val="nil"/>
              <w:bottom w:val="nil"/>
              <w:right w:val="nil"/>
            </w:tcBorders>
            <w:shd w:val="clear" w:color="000000" w:fill="FFFFFF"/>
            <w:noWrap/>
            <w:vAlign w:val="bottom"/>
          </w:tcPr>
          <w:p w14:paraId="769781F3" w14:textId="157454D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D613BA4" w14:textId="2AE681A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22.8</w:t>
            </w:r>
          </w:p>
        </w:tc>
        <w:tc>
          <w:tcPr>
            <w:tcW w:w="798" w:type="dxa"/>
            <w:gridSpan w:val="2"/>
            <w:tcBorders>
              <w:top w:val="nil"/>
              <w:left w:val="nil"/>
              <w:bottom w:val="nil"/>
              <w:right w:val="nil"/>
            </w:tcBorders>
            <w:shd w:val="clear" w:color="000000" w:fill="FFFFFF"/>
            <w:noWrap/>
            <w:vAlign w:val="bottom"/>
          </w:tcPr>
          <w:p w14:paraId="0639DFDE" w14:textId="6809F36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22.9</w:t>
            </w:r>
          </w:p>
        </w:tc>
        <w:tc>
          <w:tcPr>
            <w:tcW w:w="500" w:type="dxa"/>
            <w:tcBorders>
              <w:top w:val="nil"/>
              <w:left w:val="nil"/>
              <w:bottom w:val="nil"/>
              <w:right w:val="nil"/>
            </w:tcBorders>
            <w:shd w:val="clear" w:color="000000" w:fill="FFFFFF"/>
            <w:noWrap/>
            <w:vAlign w:val="bottom"/>
          </w:tcPr>
          <w:p w14:paraId="754E0097" w14:textId="60CBDF0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24.7</w:t>
            </w:r>
          </w:p>
        </w:tc>
        <w:tc>
          <w:tcPr>
            <w:tcW w:w="757" w:type="dxa"/>
            <w:gridSpan w:val="2"/>
            <w:tcBorders>
              <w:top w:val="nil"/>
              <w:left w:val="nil"/>
              <w:bottom w:val="nil"/>
              <w:right w:val="nil"/>
            </w:tcBorders>
            <w:shd w:val="clear" w:color="000000" w:fill="FFFFFF"/>
            <w:noWrap/>
            <w:vAlign w:val="bottom"/>
          </w:tcPr>
          <w:p w14:paraId="4C79A2DB" w14:textId="08371DB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23.2</w:t>
            </w:r>
          </w:p>
        </w:tc>
        <w:tc>
          <w:tcPr>
            <w:tcW w:w="728" w:type="dxa"/>
            <w:tcBorders>
              <w:top w:val="nil"/>
              <w:left w:val="nil"/>
              <w:bottom w:val="nil"/>
              <w:right w:val="nil"/>
            </w:tcBorders>
            <w:shd w:val="clear" w:color="000000" w:fill="FFFFFF"/>
            <w:noWrap/>
            <w:vAlign w:val="bottom"/>
          </w:tcPr>
          <w:p w14:paraId="71698B17" w14:textId="457C45C8"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6.9%</w:t>
            </w:r>
          </w:p>
        </w:tc>
        <w:tc>
          <w:tcPr>
            <w:tcW w:w="619" w:type="dxa"/>
            <w:gridSpan w:val="2"/>
            <w:tcBorders>
              <w:top w:val="nil"/>
              <w:left w:val="nil"/>
              <w:bottom w:val="nil"/>
              <w:right w:val="nil"/>
            </w:tcBorders>
            <w:shd w:val="clear" w:color="000000" w:fill="FFFFFF"/>
            <w:noWrap/>
            <w:vAlign w:val="bottom"/>
          </w:tcPr>
          <w:p w14:paraId="7909E1E5" w14:textId="4B8DE1FF"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0.102</w:t>
            </w:r>
          </w:p>
        </w:tc>
      </w:tr>
      <w:tr w:rsidR="00C2204F" w:rsidRPr="00EA3957" w14:paraId="617C708F" w14:textId="77777777" w:rsidTr="00C2204F">
        <w:trPr>
          <w:trHeight w:val="288"/>
        </w:trPr>
        <w:tc>
          <w:tcPr>
            <w:tcW w:w="1710" w:type="dxa"/>
            <w:tcBorders>
              <w:top w:val="nil"/>
              <w:left w:val="nil"/>
              <w:bottom w:val="nil"/>
              <w:right w:val="nil"/>
            </w:tcBorders>
            <w:shd w:val="clear" w:color="000000" w:fill="FFFFFF"/>
            <w:noWrap/>
            <w:vAlign w:val="bottom"/>
            <w:hideMark/>
          </w:tcPr>
          <w:p w14:paraId="333415D2" w14:textId="68AE588E" w:rsidR="00C2204F" w:rsidRPr="00C2204F" w:rsidRDefault="00C2204F" w:rsidP="00C2204F">
            <w:pPr>
              <w:spacing w:after="0" w:line="240" w:lineRule="auto"/>
              <w:rPr>
                <w:rFonts w:ascii="Calibri" w:eastAsia="Times New Roman" w:hAnsi="Calibri"/>
                <w:b/>
                <w:bCs/>
                <w:sz w:val="16"/>
                <w:szCs w:val="16"/>
                <w:u w:val="single"/>
              </w:rPr>
            </w:pPr>
            <w:r>
              <w:rPr>
                <w:rFonts w:ascii="Calibri" w:hAnsi="Calibri"/>
                <w:b/>
                <w:bCs/>
                <w:sz w:val="16"/>
                <w:szCs w:val="16"/>
                <w:u w:val="single"/>
              </w:rPr>
              <w:t>Non-severe diabetes &amp;&amp;</w:t>
            </w:r>
          </w:p>
        </w:tc>
        <w:tc>
          <w:tcPr>
            <w:tcW w:w="450" w:type="dxa"/>
            <w:tcBorders>
              <w:top w:val="nil"/>
              <w:left w:val="nil"/>
              <w:bottom w:val="nil"/>
              <w:right w:val="nil"/>
            </w:tcBorders>
            <w:shd w:val="clear" w:color="000000" w:fill="FFFFFF"/>
            <w:noWrap/>
            <w:vAlign w:val="bottom"/>
          </w:tcPr>
          <w:p w14:paraId="7035E4AA" w14:textId="5C37939C" w:rsidR="00C2204F" w:rsidRPr="00EA3957" w:rsidRDefault="00C2204F" w:rsidP="00C2204F">
            <w:pPr>
              <w:spacing w:after="0" w:line="240" w:lineRule="auto"/>
              <w:rPr>
                <w:rFonts w:ascii="Calibri" w:eastAsia="Times New Roman" w:hAnsi="Calibri" w:cs="Times New Roman"/>
                <w:sz w:val="16"/>
                <w:szCs w:val="16"/>
              </w:rPr>
            </w:pPr>
          </w:p>
        </w:tc>
        <w:tc>
          <w:tcPr>
            <w:tcW w:w="630" w:type="dxa"/>
            <w:gridSpan w:val="2"/>
            <w:tcBorders>
              <w:top w:val="nil"/>
              <w:left w:val="nil"/>
              <w:bottom w:val="nil"/>
              <w:right w:val="nil"/>
            </w:tcBorders>
            <w:shd w:val="clear" w:color="000000" w:fill="FFFFFF"/>
            <w:noWrap/>
            <w:vAlign w:val="bottom"/>
          </w:tcPr>
          <w:p w14:paraId="5E92439E" w14:textId="70573275" w:rsidR="00C2204F" w:rsidRPr="00EA3957" w:rsidRDefault="00C2204F" w:rsidP="00C2204F">
            <w:pPr>
              <w:spacing w:after="0" w:line="240" w:lineRule="auto"/>
              <w:rPr>
                <w:rFonts w:ascii="Calibri" w:eastAsia="Times New Roman" w:hAnsi="Calibri" w:cs="Times New Roman"/>
                <w:sz w:val="16"/>
                <w:szCs w:val="16"/>
              </w:rPr>
            </w:pPr>
          </w:p>
        </w:tc>
        <w:tc>
          <w:tcPr>
            <w:tcW w:w="99" w:type="dxa"/>
            <w:gridSpan w:val="2"/>
            <w:tcBorders>
              <w:top w:val="nil"/>
              <w:left w:val="nil"/>
              <w:bottom w:val="nil"/>
              <w:right w:val="nil"/>
            </w:tcBorders>
            <w:shd w:val="clear" w:color="000000" w:fill="FFFFFF"/>
            <w:noWrap/>
            <w:vAlign w:val="bottom"/>
          </w:tcPr>
          <w:p w14:paraId="2C38F9F6" w14:textId="37451584" w:rsidR="00C2204F" w:rsidRPr="00EA3957" w:rsidRDefault="00C2204F" w:rsidP="00C2204F">
            <w:pPr>
              <w:spacing w:after="0" w:line="240" w:lineRule="auto"/>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20DA2BFC" w14:textId="7B5CEEE1" w:rsidR="00C2204F" w:rsidRPr="00EA3957" w:rsidRDefault="00C2204F" w:rsidP="00C2204F">
            <w:pPr>
              <w:spacing w:after="0" w:line="240" w:lineRule="auto"/>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6CD61F50" w14:textId="6CC27705" w:rsidR="00C2204F" w:rsidRPr="00EA3957" w:rsidRDefault="00C2204F" w:rsidP="00C2204F">
            <w:pPr>
              <w:spacing w:after="0" w:line="240" w:lineRule="auto"/>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6D7C25D0" w14:textId="73F72E91" w:rsidR="00C2204F" w:rsidRPr="00EA3957" w:rsidRDefault="00C2204F" w:rsidP="00C2204F">
            <w:pPr>
              <w:spacing w:after="0" w:line="240" w:lineRule="auto"/>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4EC3902D" w14:textId="390E4844" w:rsidR="00C2204F" w:rsidRPr="00EA3957" w:rsidRDefault="00C2204F" w:rsidP="00C2204F">
            <w:pPr>
              <w:spacing w:after="0" w:line="240" w:lineRule="auto"/>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3F7EF2AD" w14:textId="09AC7B99" w:rsidR="00C2204F" w:rsidRPr="00EA3957" w:rsidRDefault="00C2204F" w:rsidP="00C2204F">
            <w:pPr>
              <w:spacing w:after="0" w:line="240" w:lineRule="auto"/>
              <w:rPr>
                <w:rFonts w:ascii="Calibri" w:eastAsia="Times New Roman" w:hAnsi="Calibri" w:cs="Times New Roman"/>
                <w:sz w:val="16"/>
                <w:szCs w:val="16"/>
              </w:rPr>
            </w:pPr>
          </w:p>
        </w:tc>
        <w:tc>
          <w:tcPr>
            <w:tcW w:w="584" w:type="dxa"/>
            <w:gridSpan w:val="2"/>
            <w:tcBorders>
              <w:top w:val="nil"/>
              <w:left w:val="nil"/>
              <w:bottom w:val="nil"/>
              <w:right w:val="nil"/>
            </w:tcBorders>
            <w:shd w:val="clear" w:color="000000" w:fill="FFFFFF"/>
            <w:noWrap/>
            <w:vAlign w:val="bottom"/>
          </w:tcPr>
          <w:p w14:paraId="0430B902" w14:textId="1ADC1F61" w:rsidR="00C2204F" w:rsidRPr="00EA3957" w:rsidRDefault="00C2204F" w:rsidP="00C2204F">
            <w:pPr>
              <w:spacing w:after="0" w:line="240" w:lineRule="auto"/>
              <w:rPr>
                <w:rFonts w:ascii="Calibri" w:eastAsia="Times New Roman" w:hAnsi="Calibri" w:cs="Times New Roman"/>
                <w:sz w:val="16"/>
                <w:szCs w:val="16"/>
              </w:rPr>
            </w:pPr>
          </w:p>
        </w:tc>
        <w:tc>
          <w:tcPr>
            <w:tcW w:w="82" w:type="dxa"/>
            <w:gridSpan w:val="2"/>
            <w:tcBorders>
              <w:top w:val="nil"/>
              <w:left w:val="nil"/>
              <w:bottom w:val="nil"/>
              <w:right w:val="nil"/>
            </w:tcBorders>
            <w:shd w:val="clear" w:color="000000" w:fill="FFFFFF"/>
            <w:noWrap/>
            <w:vAlign w:val="bottom"/>
          </w:tcPr>
          <w:p w14:paraId="5C363341" w14:textId="33A6A386" w:rsidR="00C2204F" w:rsidRPr="00EA3957" w:rsidRDefault="00C2204F" w:rsidP="00C2204F">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265920ED" w14:textId="038580B0" w:rsidR="00C2204F" w:rsidRPr="00EA3957" w:rsidRDefault="00C2204F" w:rsidP="00C2204F">
            <w:pPr>
              <w:spacing w:after="0" w:line="240" w:lineRule="auto"/>
              <w:rPr>
                <w:rFonts w:ascii="Calibri" w:eastAsia="Times New Roman" w:hAnsi="Calibri" w:cs="Times New Roman"/>
                <w:sz w:val="16"/>
                <w:szCs w:val="16"/>
              </w:rPr>
            </w:pPr>
          </w:p>
        </w:tc>
        <w:tc>
          <w:tcPr>
            <w:tcW w:w="798" w:type="dxa"/>
            <w:gridSpan w:val="2"/>
            <w:tcBorders>
              <w:top w:val="nil"/>
              <w:left w:val="nil"/>
              <w:bottom w:val="nil"/>
              <w:right w:val="nil"/>
            </w:tcBorders>
            <w:shd w:val="clear" w:color="000000" w:fill="FFFFFF"/>
            <w:noWrap/>
            <w:vAlign w:val="bottom"/>
          </w:tcPr>
          <w:p w14:paraId="4450F58B" w14:textId="506D132D" w:rsidR="00C2204F" w:rsidRPr="00EA3957" w:rsidRDefault="00C2204F" w:rsidP="00C2204F">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70E8C057" w14:textId="254E85BB" w:rsidR="00C2204F" w:rsidRPr="00EA3957" w:rsidRDefault="00C2204F" w:rsidP="00C2204F">
            <w:pPr>
              <w:spacing w:after="0" w:line="240" w:lineRule="auto"/>
              <w:rPr>
                <w:rFonts w:ascii="Calibri" w:eastAsia="Times New Roman" w:hAnsi="Calibri" w:cs="Times New Roman"/>
                <w:sz w:val="16"/>
                <w:szCs w:val="16"/>
              </w:rPr>
            </w:pPr>
          </w:p>
        </w:tc>
        <w:tc>
          <w:tcPr>
            <w:tcW w:w="757" w:type="dxa"/>
            <w:gridSpan w:val="2"/>
            <w:tcBorders>
              <w:top w:val="nil"/>
              <w:left w:val="nil"/>
              <w:bottom w:val="nil"/>
              <w:right w:val="nil"/>
            </w:tcBorders>
            <w:shd w:val="clear" w:color="000000" w:fill="FFFFFF"/>
            <w:noWrap/>
            <w:vAlign w:val="bottom"/>
          </w:tcPr>
          <w:p w14:paraId="2C27CA8F" w14:textId="38C62A38" w:rsidR="00C2204F" w:rsidRPr="00EA3957" w:rsidRDefault="00C2204F" w:rsidP="00C2204F">
            <w:pPr>
              <w:spacing w:after="0" w:line="240" w:lineRule="auto"/>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0D929AA8" w14:textId="27F9E4AB" w:rsidR="00C2204F" w:rsidRPr="00EA3957" w:rsidRDefault="00C2204F" w:rsidP="00C2204F">
            <w:pPr>
              <w:spacing w:after="0" w:line="240" w:lineRule="auto"/>
              <w:rPr>
                <w:rFonts w:ascii="Calibri" w:eastAsia="Times New Roman" w:hAnsi="Calibri" w:cs="Times New Roman"/>
                <w:sz w:val="16"/>
                <w:szCs w:val="16"/>
              </w:rPr>
            </w:pPr>
          </w:p>
        </w:tc>
        <w:tc>
          <w:tcPr>
            <w:tcW w:w="619" w:type="dxa"/>
            <w:gridSpan w:val="2"/>
            <w:tcBorders>
              <w:top w:val="nil"/>
              <w:left w:val="nil"/>
              <w:bottom w:val="nil"/>
              <w:right w:val="nil"/>
            </w:tcBorders>
            <w:shd w:val="clear" w:color="000000" w:fill="FFFFFF"/>
            <w:noWrap/>
            <w:vAlign w:val="bottom"/>
          </w:tcPr>
          <w:p w14:paraId="4C43D62E" w14:textId="353E095C" w:rsidR="00C2204F" w:rsidRPr="00EA3957" w:rsidRDefault="00C2204F" w:rsidP="00C2204F">
            <w:pPr>
              <w:spacing w:after="0" w:line="240" w:lineRule="auto"/>
              <w:rPr>
                <w:rFonts w:ascii="Calibri" w:eastAsia="Times New Roman" w:hAnsi="Calibri" w:cs="Times New Roman"/>
                <w:sz w:val="16"/>
                <w:szCs w:val="16"/>
              </w:rPr>
            </w:pPr>
          </w:p>
        </w:tc>
      </w:tr>
      <w:tr w:rsidR="00C2204F" w:rsidRPr="00EA3957" w14:paraId="548D8A14" w14:textId="77777777" w:rsidTr="00C2204F">
        <w:trPr>
          <w:trHeight w:val="288"/>
        </w:trPr>
        <w:tc>
          <w:tcPr>
            <w:tcW w:w="1710" w:type="dxa"/>
            <w:tcBorders>
              <w:top w:val="nil"/>
              <w:left w:val="nil"/>
              <w:bottom w:val="nil"/>
              <w:right w:val="nil"/>
            </w:tcBorders>
            <w:shd w:val="clear" w:color="000000" w:fill="FFFFFF"/>
            <w:noWrap/>
            <w:vAlign w:val="bottom"/>
            <w:hideMark/>
          </w:tcPr>
          <w:p w14:paraId="7DF71395"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0AB74214" w14:textId="7B3CB50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1111</w:t>
            </w:r>
          </w:p>
        </w:tc>
        <w:tc>
          <w:tcPr>
            <w:tcW w:w="630" w:type="dxa"/>
            <w:gridSpan w:val="2"/>
            <w:tcBorders>
              <w:top w:val="nil"/>
              <w:left w:val="nil"/>
              <w:bottom w:val="nil"/>
              <w:right w:val="nil"/>
            </w:tcBorders>
            <w:shd w:val="clear" w:color="000000" w:fill="FFFFFF"/>
            <w:noWrap/>
            <w:vAlign w:val="bottom"/>
          </w:tcPr>
          <w:p w14:paraId="336EB1FD" w14:textId="62F9970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2072</w:t>
            </w:r>
          </w:p>
        </w:tc>
        <w:tc>
          <w:tcPr>
            <w:tcW w:w="99" w:type="dxa"/>
            <w:gridSpan w:val="2"/>
            <w:tcBorders>
              <w:top w:val="nil"/>
              <w:left w:val="nil"/>
              <w:bottom w:val="nil"/>
              <w:right w:val="nil"/>
            </w:tcBorders>
            <w:shd w:val="clear" w:color="000000" w:fill="FFFFFF"/>
            <w:noWrap/>
            <w:vAlign w:val="bottom"/>
          </w:tcPr>
          <w:p w14:paraId="38AEFDA5" w14:textId="1C24888B"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C456867" w14:textId="4097068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$1,133</w:t>
            </w:r>
          </w:p>
        </w:tc>
        <w:tc>
          <w:tcPr>
            <w:tcW w:w="711" w:type="dxa"/>
            <w:gridSpan w:val="2"/>
            <w:tcBorders>
              <w:top w:val="nil"/>
              <w:left w:val="nil"/>
              <w:bottom w:val="nil"/>
              <w:right w:val="nil"/>
            </w:tcBorders>
            <w:shd w:val="clear" w:color="000000" w:fill="FFFFFF"/>
            <w:noWrap/>
            <w:vAlign w:val="bottom"/>
          </w:tcPr>
          <w:p w14:paraId="7DC2F980" w14:textId="7CE22E3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$1,191</w:t>
            </w:r>
          </w:p>
        </w:tc>
        <w:tc>
          <w:tcPr>
            <w:tcW w:w="662" w:type="dxa"/>
            <w:tcBorders>
              <w:top w:val="nil"/>
              <w:left w:val="nil"/>
              <w:bottom w:val="nil"/>
              <w:right w:val="nil"/>
            </w:tcBorders>
            <w:shd w:val="clear" w:color="000000" w:fill="FFFFFF"/>
            <w:noWrap/>
            <w:vAlign w:val="bottom"/>
          </w:tcPr>
          <w:p w14:paraId="3BEAABA5" w14:textId="0C134D7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$1,133</w:t>
            </w:r>
          </w:p>
        </w:tc>
        <w:tc>
          <w:tcPr>
            <w:tcW w:w="711" w:type="dxa"/>
            <w:gridSpan w:val="2"/>
            <w:tcBorders>
              <w:top w:val="nil"/>
              <w:left w:val="nil"/>
              <w:bottom w:val="nil"/>
              <w:right w:val="nil"/>
            </w:tcBorders>
            <w:shd w:val="clear" w:color="000000" w:fill="FFFFFF"/>
            <w:noWrap/>
            <w:vAlign w:val="bottom"/>
          </w:tcPr>
          <w:p w14:paraId="34C7B46E" w14:textId="5B8FC0A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$1,598</w:t>
            </w:r>
          </w:p>
        </w:tc>
        <w:tc>
          <w:tcPr>
            <w:tcW w:w="728" w:type="dxa"/>
            <w:tcBorders>
              <w:top w:val="nil"/>
              <w:left w:val="nil"/>
              <w:bottom w:val="nil"/>
              <w:right w:val="nil"/>
            </w:tcBorders>
            <w:shd w:val="clear" w:color="000000" w:fill="FFFFFF"/>
            <w:noWrap/>
            <w:vAlign w:val="bottom"/>
          </w:tcPr>
          <w:p w14:paraId="6C61B17B" w14:textId="34DE61CB"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-25.5%</w:t>
            </w:r>
          </w:p>
        </w:tc>
        <w:tc>
          <w:tcPr>
            <w:tcW w:w="584" w:type="dxa"/>
            <w:gridSpan w:val="2"/>
            <w:tcBorders>
              <w:top w:val="nil"/>
              <w:left w:val="nil"/>
              <w:bottom w:val="nil"/>
              <w:right w:val="nil"/>
            </w:tcBorders>
            <w:shd w:val="clear" w:color="000000" w:fill="FFFFFF"/>
            <w:noWrap/>
            <w:vAlign w:val="bottom"/>
          </w:tcPr>
          <w:p w14:paraId="7AE2AD7F" w14:textId="525A792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526DE0A" w14:textId="73E6567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F211E0B" w14:textId="668FB46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37.3</w:t>
            </w:r>
          </w:p>
        </w:tc>
        <w:tc>
          <w:tcPr>
            <w:tcW w:w="798" w:type="dxa"/>
            <w:gridSpan w:val="2"/>
            <w:tcBorders>
              <w:top w:val="nil"/>
              <w:left w:val="nil"/>
              <w:bottom w:val="nil"/>
              <w:right w:val="nil"/>
            </w:tcBorders>
            <w:shd w:val="clear" w:color="000000" w:fill="FFFFFF"/>
            <w:noWrap/>
            <w:vAlign w:val="bottom"/>
          </w:tcPr>
          <w:p w14:paraId="548A61DD" w14:textId="32097F0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37.3</w:t>
            </w:r>
          </w:p>
        </w:tc>
        <w:tc>
          <w:tcPr>
            <w:tcW w:w="500" w:type="dxa"/>
            <w:tcBorders>
              <w:top w:val="nil"/>
              <w:left w:val="nil"/>
              <w:bottom w:val="nil"/>
              <w:right w:val="nil"/>
            </w:tcBorders>
            <w:shd w:val="clear" w:color="000000" w:fill="FFFFFF"/>
            <w:noWrap/>
            <w:vAlign w:val="bottom"/>
          </w:tcPr>
          <w:p w14:paraId="5BD93B44" w14:textId="315C248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47.6</w:t>
            </w:r>
          </w:p>
        </w:tc>
        <w:tc>
          <w:tcPr>
            <w:tcW w:w="757" w:type="dxa"/>
            <w:gridSpan w:val="2"/>
            <w:tcBorders>
              <w:top w:val="nil"/>
              <w:left w:val="nil"/>
              <w:bottom w:val="nil"/>
              <w:right w:val="nil"/>
            </w:tcBorders>
            <w:shd w:val="clear" w:color="000000" w:fill="FFFFFF"/>
            <w:noWrap/>
            <w:vAlign w:val="bottom"/>
          </w:tcPr>
          <w:p w14:paraId="37C393B1" w14:textId="36F27D8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44.0</w:t>
            </w:r>
          </w:p>
        </w:tc>
        <w:tc>
          <w:tcPr>
            <w:tcW w:w="728" w:type="dxa"/>
            <w:tcBorders>
              <w:top w:val="nil"/>
              <w:left w:val="nil"/>
              <w:bottom w:val="nil"/>
              <w:right w:val="nil"/>
            </w:tcBorders>
            <w:shd w:val="clear" w:color="000000" w:fill="FFFFFF"/>
            <w:noWrap/>
            <w:vAlign w:val="bottom"/>
          </w:tcPr>
          <w:p w14:paraId="6505CE08" w14:textId="0FC765A3"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8.3%</w:t>
            </w:r>
          </w:p>
        </w:tc>
        <w:tc>
          <w:tcPr>
            <w:tcW w:w="619" w:type="dxa"/>
            <w:gridSpan w:val="2"/>
            <w:tcBorders>
              <w:top w:val="nil"/>
              <w:left w:val="nil"/>
              <w:bottom w:val="nil"/>
              <w:right w:val="nil"/>
            </w:tcBorders>
            <w:shd w:val="clear" w:color="000000" w:fill="FFFFFF"/>
            <w:noWrap/>
            <w:vAlign w:val="bottom"/>
          </w:tcPr>
          <w:p w14:paraId="2ABDF5DB" w14:textId="6F92E8C4"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0.001</w:t>
            </w:r>
          </w:p>
        </w:tc>
      </w:tr>
      <w:tr w:rsidR="00C2204F" w:rsidRPr="00EA3957" w14:paraId="12808154" w14:textId="77777777" w:rsidTr="00C2204F">
        <w:trPr>
          <w:trHeight w:val="288"/>
        </w:trPr>
        <w:tc>
          <w:tcPr>
            <w:tcW w:w="1710" w:type="dxa"/>
            <w:tcBorders>
              <w:top w:val="nil"/>
              <w:left w:val="nil"/>
              <w:bottom w:val="nil"/>
              <w:right w:val="nil"/>
            </w:tcBorders>
            <w:shd w:val="clear" w:color="000000" w:fill="FFFFFF"/>
            <w:noWrap/>
            <w:vAlign w:val="bottom"/>
            <w:hideMark/>
          </w:tcPr>
          <w:p w14:paraId="54F711F5"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2578C50A" w14:textId="71F89D2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687</w:t>
            </w:r>
          </w:p>
        </w:tc>
        <w:tc>
          <w:tcPr>
            <w:tcW w:w="630" w:type="dxa"/>
            <w:gridSpan w:val="2"/>
            <w:tcBorders>
              <w:top w:val="nil"/>
              <w:left w:val="nil"/>
              <w:bottom w:val="nil"/>
              <w:right w:val="nil"/>
            </w:tcBorders>
            <w:shd w:val="clear" w:color="000000" w:fill="FFFFFF"/>
            <w:noWrap/>
            <w:vAlign w:val="bottom"/>
          </w:tcPr>
          <w:p w14:paraId="252BCCBA" w14:textId="69B1445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1269</w:t>
            </w:r>
          </w:p>
        </w:tc>
        <w:tc>
          <w:tcPr>
            <w:tcW w:w="99" w:type="dxa"/>
            <w:gridSpan w:val="2"/>
            <w:tcBorders>
              <w:top w:val="nil"/>
              <w:left w:val="nil"/>
              <w:bottom w:val="nil"/>
              <w:right w:val="nil"/>
            </w:tcBorders>
            <w:shd w:val="clear" w:color="000000" w:fill="FFFFFF"/>
            <w:noWrap/>
            <w:vAlign w:val="bottom"/>
          </w:tcPr>
          <w:p w14:paraId="1C59C8F9" w14:textId="5096DA53"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B7FC449" w14:textId="4642888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$225</w:t>
            </w:r>
          </w:p>
        </w:tc>
        <w:tc>
          <w:tcPr>
            <w:tcW w:w="711" w:type="dxa"/>
            <w:gridSpan w:val="2"/>
            <w:tcBorders>
              <w:top w:val="nil"/>
              <w:left w:val="nil"/>
              <w:bottom w:val="nil"/>
              <w:right w:val="nil"/>
            </w:tcBorders>
            <w:shd w:val="clear" w:color="000000" w:fill="FFFFFF"/>
            <w:noWrap/>
            <w:vAlign w:val="bottom"/>
          </w:tcPr>
          <w:p w14:paraId="2F99F777" w14:textId="017B9B5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$203</w:t>
            </w:r>
          </w:p>
        </w:tc>
        <w:tc>
          <w:tcPr>
            <w:tcW w:w="662" w:type="dxa"/>
            <w:tcBorders>
              <w:top w:val="nil"/>
              <w:left w:val="nil"/>
              <w:bottom w:val="nil"/>
              <w:right w:val="nil"/>
            </w:tcBorders>
            <w:shd w:val="clear" w:color="000000" w:fill="FFFFFF"/>
            <w:noWrap/>
            <w:vAlign w:val="bottom"/>
          </w:tcPr>
          <w:p w14:paraId="40B76CFE" w14:textId="7E03810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$164</w:t>
            </w:r>
          </w:p>
        </w:tc>
        <w:tc>
          <w:tcPr>
            <w:tcW w:w="711" w:type="dxa"/>
            <w:gridSpan w:val="2"/>
            <w:tcBorders>
              <w:top w:val="nil"/>
              <w:left w:val="nil"/>
              <w:bottom w:val="nil"/>
              <w:right w:val="nil"/>
            </w:tcBorders>
            <w:shd w:val="clear" w:color="000000" w:fill="FFFFFF"/>
            <w:noWrap/>
            <w:vAlign w:val="bottom"/>
          </w:tcPr>
          <w:p w14:paraId="57DD212B" w14:textId="677A696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$302</w:t>
            </w:r>
          </w:p>
        </w:tc>
        <w:tc>
          <w:tcPr>
            <w:tcW w:w="728" w:type="dxa"/>
            <w:tcBorders>
              <w:top w:val="nil"/>
              <w:left w:val="nil"/>
              <w:bottom w:val="nil"/>
              <w:right w:val="nil"/>
            </w:tcBorders>
            <w:shd w:val="clear" w:color="000000" w:fill="FFFFFF"/>
            <w:noWrap/>
            <w:vAlign w:val="bottom"/>
          </w:tcPr>
          <w:p w14:paraId="594E40BE" w14:textId="5E2B454D"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-50.8%</w:t>
            </w:r>
          </w:p>
        </w:tc>
        <w:tc>
          <w:tcPr>
            <w:tcW w:w="584" w:type="dxa"/>
            <w:gridSpan w:val="2"/>
            <w:tcBorders>
              <w:top w:val="nil"/>
              <w:left w:val="nil"/>
              <w:bottom w:val="nil"/>
              <w:right w:val="nil"/>
            </w:tcBorders>
            <w:shd w:val="clear" w:color="000000" w:fill="FFFFFF"/>
            <w:noWrap/>
            <w:vAlign w:val="bottom"/>
          </w:tcPr>
          <w:p w14:paraId="2A1695DC" w14:textId="3D0E787C"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3F7FF4C9" w14:textId="6F30FAE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ADE9106" w14:textId="451618D4"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9.6</w:t>
            </w:r>
          </w:p>
        </w:tc>
        <w:tc>
          <w:tcPr>
            <w:tcW w:w="798" w:type="dxa"/>
            <w:gridSpan w:val="2"/>
            <w:tcBorders>
              <w:top w:val="nil"/>
              <w:left w:val="nil"/>
              <w:bottom w:val="nil"/>
              <w:right w:val="nil"/>
            </w:tcBorders>
            <w:shd w:val="clear" w:color="000000" w:fill="FFFFFF"/>
            <w:noWrap/>
            <w:vAlign w:val="bottom"/>
          </w:tcPr>
          <w:p w14:paraId="376E4A07" w14:textId="7BC35DB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9.6</w:t>
            </w:r>
          </w:p>
        </w:tc>
        <w:tc>
          <w:tcPr>
            <w:tcW w:w="500" w:type="dxa"/>
            <w:tcBorders>
              <w:top w:val="nil"/>
              <w:left w:val="nil"/>
              <w:bottom w:val="nil"/>
              <w:right w:val="nil"/>
            </w:tcBorders>
            <w:shd w:val="clear" w:color="000000" w:fill="FFFFFF"/>
            <w:noWrap/>
            <w:vAlign w:val="bottom"/>
          </w:tcPr>
          <w:p w14:paraId="1D1AC6E3" w14:textId="10F0555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757" w:type="dxa"/>
            <w:gridSpan w:val="2"/>
            <w:tcBorders>
              <w:top w:val="nil"/>
              <w:left w:val="nil"/>
              <w:bottom w:val="nil"/>
              <w:right w:val="nil"/>
            </w:tcBorders>
            <w:shd w:val="clear" w:color="000000" w:fill="FFFFFF"/>
            <w:noWrap/>
            <w:vAlign w:val="bottom"/>
          </w:tcPr>
          <w:p w14:paraId="274CABDD" w14:textId="6F067BE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728" w:type="dxa"/>
            <w:tcBorders>
              <w:top w:val="nil"/>
              <w:left w:val="nil"/>
              <w:bottom w:val="nil"/>
              <w:right w:val="nil"/>
            </w:tcBorders>
            <w:shd w:val="clear" w:color="000000" w:fill="FFFFFF"/>
            <w:noWrap/>
            <w:vAlign w:val="bottom"/>
          </w:tcPr>
          <w:p w14:paraId="4369F602" w14:textId="66CC9845"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8.4%</w:t>
            </w:r>
          </w:p>
        </w:tc>
        <w:tc>
          <w:tcPr>
            <w:tcW w:w="619" w:type="dxa"/>
            <w:gridSpan w:val="2"/>
            <w:tcBorders>
              <w:top w:val="nil"/>
              <w:left w:val="nil"/>
              <w:bottom w:val="nil"/>
              <w:right w:val="nil"/>
            </w:tcBorders>
            <w:shd w:val="clear" w:color="000000" w:fill="FFFFFF"/>
            <w:noWrap/>
            <w:vAlign w:val="bottom"/>
          </w:tcPr>
          <w:p w14:paraId="530F7175" w14:textId="51FA8E5E"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0.006</w:t>
            </w:r>
          </w:p>
        </w:tc>
      </w:tr>
      <w:tr w:rsidR="00C2204F" w:rsidRPr="00EA3957" w14:paraId="002D91CF" w14:textId="77777777" w:rsidTr="00C2204F">
        <w:trPr>
          <w:trHeight w:val="288"/>
        </w:trPr>
        <w:tc>
          <w:tcPr>
            <w:tcW w:w="1710" w:type="dxa"/>
            <w:tcBorders>
              <w:top w:val="nil"/>
              <w:left w:val="nil"/>
              <w:bottom w:val="nil"/>
              <w:right w:val="nil"/>
            </w:tcBorders>
            <w:shd w:val="clear" w:color="000000" w:fill="FFFFFF"/>
            <w:noWrap/>
            <w:vAlign w:val="bottom"/>
            <w:hideMark/>
          </w:tcPr>
          <w:p w14:paraId="66EE359A" w14:textId="7DF4373B"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r>
              <w:rPr>
                <w:rFonts w:ascii="Calibri" w:eastAsia="Times New Roman" w:hAnsi="Calibri" w:cs="Times New Roman"/>
                <w:sz w:val="16"/>
                <w:szCs w:val="16"/>
              </w:rPr>
              <w:t xml:space="preserve"> **</w:t>
            </w:r>
          </w:p>
        </w:tc>
        <w:tc>
          <w:tcPr>
            <w:tcW w:w="450" w:type="dxa"/>
            <w:tcBorders>
              <w:top w:val="nil"/>
              <w:left w:val="nil"/>
              <w:bottom w:val="nil"/>
              <w:right w:val="nil"/>
            </w:tcBorders>
            <w:shd w:val="clear" w:color="000000" w:fill="FFFFFF"/>
            <w:noWrap/>
            <w:vAlign w:val="bottom"/>
          </w:tcPr>
          <w:p w14:paraId="5B8B36BA" w14:textId="14349D4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630" w:type="dxa"/>
            <w:gridSpan w:val="2"/>
            <w:tcBorders>
              <w:top w:val="nil"/>
              <w:left w:val="nil"/>
              <w:bottom w:val="nil"/>
              <w:right w:val="nil"/>
            </w:tcBorders>
            <w:shd w:val="clear" w:color="000000" w:fill="FFFFFF"/>
            <w:noWrap/>
            <w:vAlign w:val="bottom"/>
          </w:tcPr>
          <w:p w14:paraId="06BF58FD" w14:textId="4183045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99" w:type="dxa"/>
            <w:gridSpan w:val="2"/>
            <w:tcBorders>
              <w:top w:val="nil"/>
              <w:left w:val="nil"/>
              <w:bottom w:val="nil"/>
              <w:right w:val="nil"/>
            </w:tcBorders>
            <w:shd w:val="clear" w:color="000000" w:fill="FFFFFF"/>
            <w:noWrap/>
            <w:vAlign w:val="bottom"/>
          </w:tcPr>
          <w:p w14:paraId="75C58619" w14:textId="5A4B2D83"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5B66305" w14:textId="111DF09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711" w:type="dxa"/>
            <w:gridSpan w:val="2"/>
            <w:tcBorders>
              <w:top w:val="nil"/>
              <w:left w:val="nil"/>
              <w:bottom w:val="nil"/>
              <w:right w:val="nil"/>
            </w:tcBorders>
            <w:shd w:val="clear" w:color="000000" w:fill="FFFFFF"/>
            <w:noWrap/>
            <w:vAlign w:val="bottom"/>
          </w:tcPr>
          <w:p w14:paraId="31018D0F" w14:textId="44A4210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662" w:type="dxa"/>
            <w:tcBorders>
              <w:top w:val="nil"/>
              <w:left w:val="nil"/>
              <w:bottom w:val="nil"/>
              <w:right w:val="nil"/>
            </w:tcBorders>
            <w:shd w:val="clear" w:color="000000" w:fill="FFFFFF"/>
            <w:noWrap/>
            <w:vAlign w:val="bottom"/>
          </w:tcPr>
          <w:p w14:paraId="238D54EA" w14:textId="6793142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711" w:type="dxa"/>
            <w:gridSpan w:val="2"/>
            <w:tcBorders>
              <w:top w:val="nil"/>
              <w:left w:val="nil"/>
              <w:bottom w:val="nil"/>
              <w:right w:val="nil"/>
            </w:tcBorders>
            <w:shd w:val="clear" w:color="000000" w:fill="FFFFFF"/>
            <w:noWrap/>
            <w:vAlign w:val="bottom"/>
          </w:tcPr>
          <w:p w14:paraId="7FFF4E06" w14:textId="10781DF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w:t>
            </w:r>
          </w:p>
        </w:tc>
        <w:tc>
          <w:tcPr>
            <w:tcW w:w="728" w:type="dxa"/>
            <w:tcBorders>
              <w:top w:val="nil"/>
              <w:left w:val="nil"/>
              <w:bottom w:val="nil"/>
              <w:right w:val="nil"/>
            </w:tcBorders>
            <w:shd w:val="clear" w:color="000000" w:fill="FFFFFF"/>
            <w:noWrap/>
            <w:vAlign w:val="bottom"/>
          </w:tcPr>
          <w:p w14:paraId="00614527" w14:textId="6B23513E"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0.0%</w:t>
            </w:r>
          </w:p>
        </w:tc>
        <w:tc>
          <w:tcPr>
            <w:tcW w:w="584" w:type="dxa"/>
            <w:gridSpan w:val="2"/>
            <w:tcBorders>
              <w:top w:val="nil"/>
              <w:left w:val="nil"/>
              <w:bottom w:val="nil"/>
              <w:right w:val="nil"/>
            </w:tcBorders>
            <w:shd w:val="clear" w:color="000000" w:fill="FFFFFF"/>
            <w:noWrap/>
            <w:vAlign w:val="bottom"/>
          </w:tcPr>
          <w:p w14:paraId="2EA69E25" w14:textId="44F0ABAA"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490DB507" w14:textId="5FF6613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DE6AFA0" w14:textId="09FC474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0.0</w:t>
            </w:r>
          </w:p>
        </w:tc>
        <w:tc>
          <w:tcPr>
            <w:tcW w:w="798" w:type="dxa"/>
            <w:gridSpan w:val="2"/>
            <w:tcBorders>
              <w:top w:val="nil"/>
              <w:left w:val="nil"/>
              <w:bottom w:val="nil"/>
              <w:right w:val="nil"/>
            </w:tcBorders>
            <w:shd w:val="clear" w:color="000000" w:fill="FFFFFF"/>
            <w:noWrap/>
            <w:vAlign w:val="bottom"/>
          </w:tcPr>
          <w:p w14:paraId="05EC5E0D" w14:textId="2E46855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0.0</w:t>
            </w:r>
          </w:p>
        </w:tc>
        <w:tc>
          <w:tcPr>
            <w:tcW w:w="500" w:type="dxa"/>
            <w:tcBorders>
              <w:top w:val="nil"/>
              <w:left w:val="nil"/>
              <w:bottom w:val="nil"/>
              <w:right w:val="nil"/>
            </w:tcBorders>
            <w:shd w:val="clear" w:color="000000" w:fill="FFFFFF"/>
            <w:noWrap/>
            <w:vAlign w:val="bottom"/>
          </w:tcPr>
          <w:p w14:paraId="57E0D2CA" w14:textId="6277518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0.0</w:t>
            </w:r>
          </w:p>
        </w:tc>
        <w:tc>
          <w:tcPr>
            <w:tcW w:w="757" w:type="dxa"/>
            <w:gridSpan w:val="2"/>
            <w:tcBorders>
              <w:top w:val="nil"/>
              <w:left w:val="nil"/>
              <w:bottom w:val="nil"/>
              <w:right w:val="nil"/>
            </w:tcBorders>
            <w:shd w:val="clear" w:color="000000" w:fill="FFFFFF"/>
            <w:noWrap/>
            <w:vAlign w:val="bottom"/>
          </w:tcPr>
          <w:p w14:paraId="670386D1" w14:textId="16803F0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0.0</w:t>
            </w:r>
          </w:p>
        </w:tc>
        <w:tc>
          <w:tcPr>
            <w:tcW w:w="728" w:type="dxa"/>
            <w:tcBorders>
              <w:top w:val="nil"/>
              <w:left w:val="nil"/>
              <w:bottom w:val="nil"/>
              <w:right w:val="nil"/>
            </w:tcBorders>
            <w:shd w:val="clear" w:color="000000" w:fill="FFFFFF"/>
            <w:noWrap/>
            <w:vAlign w:val="bottom"/>
          </w:tcPr>
          <w:p w14:paraId="0D57EE4C" w14:textId="50FDC65B"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0.0%</w:t>
            </w:r>
          </w:p>
        </w:tc>
        <w:tc>
          <w:tcPr>
            <w:tcW w:w="619" w:type="dxa"/>
            <w:gridSpan w:val="2"/>
            <w:tcBorders>
              <w:top w:val="nil"/>
              <w:left w:val="nil"/>
              <w:bottom w:val="nil"/>
              <w:right w:val="nil"/>
            </w:tcBorders>
            <w:shd w:val="clear" w:color="000000" w:fill="FFFFFF"/>
            <w:noWrap/>
            <w:vAlign w:val="bottom"/>
          </w:tcPr>
          <w:p w14:paraId="015DA272" w14:textId="32AF655B"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C2204F" w:rsidRPr="00EA3957" w14:paraId="019E3A4C" w14:textId="77777777" w:rsidTr="00C2204F">
        <w:trPr>
          <w:trHeight w:val="288"/>
        </w:trPr>
        <w:tc>
          <w:tcPr>
            <w:tcW w:w="1710" w:type="dxa"/>
            <w:tcBorders>
              <w:top w:val="nil"/>
              <w:left w:val="nil"/>
              <w:bottom w:val="nil"/>
              <w:right w:val="nil"/>
            </w:tcBorders>
            <w:shd w:val="clear" w:color="000000" w:fill="FFFFFF"/>
            <w:noWrap/>
            <w:vAlign w:val="bottom"/>
            <w:hideMark/>
          </w:tcPr>
          <w:p w14:paraId="6F3F73F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70518251" w14:textId="0DD014C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292</w:t>
            </w:r>
          </w:p>
        </w:tc>
        <w:tc>
          <w:tcPr>
            <w:tcW w:w="630" w:type="dxa"/>
            <w:gridSpan w:val="2"/>
            <w:tcBorders>
              <w:top w:val="nil"/>
              <w:left w:val="nil"/>
              <w:bottom w:val="nil"/>
              <w:right w:val="nil"/>
            </w:tcBorders>
            <w:shd w:val="clear" w:color="000000" w:fill="FFFFFF"/>
            <w:noWrap/>
            <w:vAlign w:val="bottom"/>
          </w:tcPr>
          <w:p w14:paraId="020143DB" w14:textId="02BAAD8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585</w:t>
            </w:r>
          </w:p>
        </w:tc>
        <w:tc>
          <w:tcPr>
            <w:tcW w:w="99" w:type="dxa"/>
            <w:gridSpan w:val="2"/>
            <w:tcBorders>
              <w:top w:val="nil"/>
              <w:left w:val="nil"/>
              <w:bottom w:val="nil"/>
              <w:right w:val="nil"/>
            </w:tcBorders>
            <w:shd w:val="clear" w:color="000000" w:fill="FFFFFF"/>
            <w:noWrap/>
            <w:vAlign w:val="bottom"/>
          </w:tcPr>
          <w:p w14:paraId="0594E7BA" w14:textId="4EA0D316"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C8A82C5" w14:textId="0ACEDD2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11" w:type="dxa"/>
            <w:gridSpan w:val="2"/>
            <w:tcBorders>
              <w:top w:val="nil"/>
              <w:left w:val="nil"/>
              <w:bottom w:val="nil"/>
              <w:right w:val="nil"/>
            </w:tcBorders>
            <w:shd w:val="clear" w:color="000000" w:fill="FFFFFF"/>
            <w:noWrap/>
            <w:vAlign w:val="bottom"/>
          </w:tcPr>
          <w:p w14:paraId="28C792E1" w14:textId="3D0793D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$121</w:t>
            </w:r>
          </w:p>
        </w:tc>
        <w:tc>
          <w:tcPr>
            <w:tcW w:w="662" w:type="dxa"/>
            <w:tcBorders>
              <w:top w:val="nil"/>
              <w:left w:val="nil"/>
              <w:bottom w:val="nil"/>
              <w:right w:val="nil"/>
            </w:tcBorders>
            <w:shd w:val="clear" w:color="000000" w:fill="FFFFFF"/>
            <w:noWrap/>
            <w:vAlign w:val="bottom"/>
          </w:tcPr>
          <w:p w14:paraId="0B5A8BB2" w14:textId="66C0459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$25</w:t>
            </w:r>
          </w:p>
        </w:tc>
        <w:tc>
          <w:tcPr>
            <w:tcW w:w="711" w:type="dxa"/>
            <w:gridSpan w:val="2"/>
            <w:tcBorders>
              <w:top w:val="nil"/>
              <w:left w:val="nil"/>
              <w:bottom w:val="nil"/>
              <w:right w:val="nil"/>
            </w:tcBorders>
            <w:shd w:val="clear" w:color="000000" w:fill="FFFFFF"/>
            <w:noWrap/>
            <w:vAlign w:val="bottom"/>
          </w:tcPr>
          <w:p w14:paraId="2BADE9DB" w14:textId="7939EC6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$77</w:t>
            </w:r>
          </w:p>
        </w:tc>
        <w:tc>
          <w:tcPr>
            <w:tcW w:w="728" w:type="dxa"/>
            <w:tcBorders>
              <w:top w:val="nil"/>
              <w:left w:val="nil"/>
              <w:bottom w:val="nil"/>
              <w:right w:val="nil"/>
            </w:tcBorders>
            <w:shd w:val="clear" w:color="000000" w:fill="FFFFFF"/>
            <w:noWrap/>
            <w:vAlign w:val="bottom"/>
          </w:tcPr>
          <w:p w14:paraId="49F14742" w14:textId="3E2ED048"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-60.4%</w:t>
            </w:r>
          </w:p>
        </w:tc>
        <w:tc>
          <w:tcPr>
            <w:tcW w:w="584" w:type="dxa"/>
            <w:gridSpan w:val="2"/>
            <w:tcBorders>
              <w:top w:val="nil"/>
              <w:left w:val="nil"/>
              <w:bottom w:val="nil"/>
              <w:right w:val="nil"/>
            </w:tcBorders>
            <w:shd w:val="clear" w:color="000000" w:fill="FFFFFF"/>
            <w:noWrap/>
            <w:vAlign w:val="bottom"/>
          </w:tcPr>
          <w:p w14:paraId="48477A81" w14:textId="24F9421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7933844C" w14:textId="0968F700"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86744DB" w14:textId="1AD8668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3.5</w:t>
            </w:r>
          </w:p>
        </w:tc>
        <w:tc>
          <w:tcPr>
            <w:tcW w:w="798" w:type="dxa"/>
            <w:gridSpan w:val="2"/>
            <w:tcBorders>
              <w:top w:val="nil"/>
              <w:left w:val="nil"/>
              <w:bottom w:val="nil"/>
              <w:right w:val="nil"/>
            </w:tcBorders>
            <w:shd w:val="clear" w:color="000000" w:fill="FFFFFF"/>
            <w:noWrap/>
            <w:vAlign w:val="bottom"/>
          </w:tcPr>
          <w:p w14:paraId="3CC9591B" w14:textId="7AE25DB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4.2</w:t>
            </w:r>
          </w:p>
        </w:tc>
        <w:tc>
          <w:tcPr>
            <w:tcW w:w="500" w:type="dxa"/>
            <w:tcBorders>
              <w:top w:val="nil"/>
              <w:left w:val="nil"/>
              <w:bottom w:val="nil"/>
              <w:right w:val="nil"/>
            </w:tcBorders>
            <w:shd w:val="clear" w:color="000000" w:fill="FFFFFF"/>
            <w:noWrap/>
            <w:vAlign w:val="bottom"/>
          </w:tcPr>
          <w:p w14:paraId="136C2898" w14:textId="5931844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3.1</w:t>
            </w:r>
          </w:p>
        </w:tc>
        <w:tc>
          <w:tcPr>
            <w:tcW w:w="757" w:type="dxa"/>
            <w:gridSpan w:val="2"/>
            <w:tcBorders>
              <w:top w:val="nil"/>
              <w:left w:val="nil"/>
              <w:bottom w:val="nil"/>
              <w:right w:val="nil"/>
            </w:tcBorders>
            <w:shd w:val="clear" w:color="000000" w:fill="FFFFFF"/>
            <w:noWrap/>
            <w:vAlign w:val="bottom"/>
          </w:tcPr>
          <w:p w14:paraId="375E0325" w14:textId="5BAB7E9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2.7</w:t>
            </w:r>
          </w:p>
        </w:tc>
        <w:tc>
          <w:tcPr>
            <w:tcW w:w="728" w:type="dxa"/>
            <w:tcBorders>
              <w:top w:val="nil"/>
              <w:left w:val="nil"/>
              <w:bottom w:val="nil"/>
              <w:right w:val="nil"/>
            </w:tcBorders>
            <w:shd w:val="clear" w:color="000000" w:fill="FFFFFF"/>
            <w:noWrap/>
            <w:vAlign w:val="bottom"/>
          </w:tcPr>
          <w:p w14:paraId="2CAB7790" w14:textId="5D23490E"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33.2%</w:t>
            </w:r>
          </w:p>
        </w:tc>
        <w:tc>
          <w:tcPr>
            <w:tcW w:w="619" w:type="dxa"/>
            <w:gridSpan w:val="2"/>
            <w:tcBorders>
              <w:top w:val="nil"/>
              <w:left w:val="nil"/>
              <w:bottom w:val="nil"/>
              <w:right w:val="nil"/>
            </w:tcBorders>
            <w:shd w:val="clear" w:color="000000" w:fill="FFFFFF"/>
            <w:noWrap/>
            <w:vAlign w:val="bottom"/>
          </w:tcPr>
          <w:p w14:paraId="49168FFA" w14:textId="2DB689C2"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0.008</w:t>
            </w:r>
          </w:p>
        </w:tc>
      </w:tr>
      <w:tr w:rsidR="00C2204F" w:rsidRPr="00EA3957" w14:paraId="6DDBEFC4" w14:textId="77777777" w:rsidTr="00C2204F">
        <w:trPr>
          <w:trHeight w:val="288"/>
        </w:trPr>
        <w:tc>
          <w:tcPr>
            <w:tcW w:w="1710" w:type="dxa"/>
            <w:tcBorders>
              <w:top w:val="nil"/>
              <w:left w:val="nil"/>
              <w:bottom w:val="nil"/>
              <w:right w:val="nil"/>
            </w:tcBorders>
            <w:shd w:val="clear" w:color="000000" w:fill="FFFFFF"/>
            <w:noWrap/>
            <w:vAlign w:val="bottom"/>
            <w:hideMark/>
          </w:tcPr>
          <w:p w14:paraId="2E2F2C3C"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62C0BD3B" w14:textId="4ECFB1F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593</w:t>
            </w:r>
          </w:p>
        </w:tc>
        <w:tc>
          <w:tcPr>
            <w:tcW w:w="630" w:type="dxa"/>
            <w:gridSpan w:val="2"/>
            <w:tcBorders>
              <w:top w:val="nil"/>
              <w:left w:val="nil"/>
              <w:bottom w:val="nil"/>
              <w:right w:val="nil"/>
            </w:tcBorders>
            <w:shd w:val="clear" w:color="000000" w:fill="FFFFFF"/>
            <w:noWrap/>
            <w:vAlign w:val="bottom"/>
          </w:tcPr>
          <w:p w14:paraId="1728780F" w14:textId="10EC20F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1093</w:t>
            </w:r>
          </w:p>
        </w:tc>
        <w:tc>
          <w:tcPr>
            <w:tcW w:w="99" w:type="dxa"/>
            <w:gridSpan w:val="2"/>
            <w:tcBorders>
              <w:top w:val="nil"/>
              <w:left w:val="nil"/>
              <w:bottom w:val="nil"/>
              <w:right w:val="nil"/>
            </w:tcBorders>
            <w:shd w:val="clear" w:color="000000" w:fill="FFFFFF"/>
            <w:noWrap/>
            <w:vAlign w:val="bottom"/>
          </w:tcPr>
          <w:p w14:paraId="06929DBC" w14:textId="4DB84B7D"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1B9F74F" w14:textId="3234CC0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$242</w:t>
            </w:r>
          </w:p>
        </w:tc>
        <w:tc>
          <w:tcPr>
            <w:tcW w:w="711" w:type="dxa"/>
            <w:gridSpan w:val="2"/>
            <w:tcBorders>
              <w:top w:val="nil"/>
              <w:left w:val="nil"/>
              <w:bottom w:val="nil"/>
              <w:right w:val="nil"/>
            </w:tcBorders>
            <w:shd w:val="clear" w:color="000000" w:fill="FFFFFF"/>
            <w:noWrap/>
            <w:vAlign w:val="bottom"/>
          </w:tcPr>
          <w:p w14:paraId="16516C84" w14:textId="2E833B2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$291</w:t>
            </w:r>
          </w:p>
        </w:tc>
        <w:tc>
          <w:tcPr>
            <w:tcW w:w="662" w:type="dxa"/>
            <w:tcBorders>
              <w:top w:val="nil"/>
              <w:left w:val="nil"/>
              <w:bottom w:val="nil"/>
              <w:right w:val="nil"/>
            </w:tcBorders>
            <w:shd w:val="clear" w:color="000000" w:fill="FFFFFF"/>
            <w:noWrap/>
            <w:vAlign w:val="bottom"/>
          </w:tcPr>
          <w:p w14:paraId="4CBCBD1F" w14:textId="7B80F32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$143</w:t>
            </w:r>
          </w:p>
        </w:tc>
        <w:tc>
          <w:tcPr>
            <w:tcW w:w="711" w:type="dxa"/>
            <w:gridSpan w:val="2"/>
            <w:tcBorders>
              <w:top w:val="nil"/>
              <w:left w:val="nil"/>
              <w:bottom w:val="nil"/>
              <w:right w:val="nil"/>
            </w:tcBorders>
            <w:shd w:val="clear" w:color="000000" w:fill="FFFFFF"/>
            <w:noWrap/>
            <w:vAlign w:val="bottom"/>
          </w:tcPr>
          <w:p w14:paraId="7FB03ECD" w14:textId="1CFCEA8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$303</w:t>
            </w:r>
          </w:p>
        </w:tc>
        <w:tc>
          <w:tcPr>
            <w:tcW w:w="728" w:type="dxa"/>
            <w:tcBorders>
              <w:top w:val="nil"/>
              <w:left w:val="nil"/>
              <w:bottom w:val="nil"/>
              <w:right w:val="nil"/>
            </w:tcBorders>
            <w:shd w:val="clear" w:color="000000" w:fill="FFFFFF"/>
            <w:noWrap/>
            <w:vAlign w:val="bottom"/>
          </w:tcPr>
          <w:p w14:paraId="276637EF" w14:textId="2DBECC82"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-43.4%</w:t>
            </w:r>
          </w:p>
        </w:tc>
        <w:tc>
          <w:tcPr>
            <w:tcW w:w="584" w:type="dxa"/>
            <w:gridSpan w:val="2"/>
            <w:tcBorders>
              <w:top w:val="nil"/>
              <w:left w:val="nil"/>
              <w:bottom w:val="nil"/>
              <w:right w:val="nil"/>
            </w:tcBorders>
            <w:shd w:val="clear" w:color="000000" w:fill="FFFFFF"/>
            <w:noWrap/>
            <w:vAlign w:val="bottom"/>
          </w:tcPr>
          <w:p w14:paraId="177C903D" w14:textId="0BB8744B"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0B6216B" w14:textId="3E520549"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62CD4A0" w14:textId="6BA1A98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9.8</w:t>
            </w:r>
          </w:p>
        </w:tc>
        <w:tc>
          <w:tcPr>
            <w:tcW w:w="798" w:type="dxa"/>
            <w:gridSpan w:val="2"/>
            <w:tcBorders>
              <w:top w:val="nil"/>
              <w:left w:val="nil"/>
              <w:bottom w:val="nil"/>
              <w:right w:val="nil"/>
            </w:tcBorders>
            <w:shd w:val="clear" w:color="000000" w:fill="FFFFFF"/>
            <w:noWrap/>
            <w:vAlign w:val="bottom"/>
          </w:tcPr>
          <w:p w14:paraId="00E5ADEF" w14:textId="33F131A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500" w:type="dxa"/>
            <w:tcBorders>
              <w:top w:val="nil"/>
              <w:left w:val="nil"/>
              <w:bottom w:val="nil"/>
              <w:right w:val="nil"/>
            </w:tcBorders>
            <w:shd w:val="clear" w:color="000000" w:fill="FFFFFF"/>
            <w:noWrap/>
            <w:vAlign w:val="bottom"/>
          </w:tcPr>
          <w:p w14:paraId="064E58F5" w14:textId="470AA185"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757" w:type="dxa"/>
            <w:gridSpan w:val="2"/>
            <w:tcBorders>
              <w:top w:val="nil"/>
              <w:left w:val="nil"/>
              <w:bottom w:val="nil"/>
              <w:right w:val="nil"/>
            </w:tcBorders>
            <w:shd w:val="clear" w:color="000000" w:fill="FFFFFF"/>
            <w:noWrap/>
            <w:vAlign w:val="bottom"/>
          </w:tcPr>
          <w:p w14:paraId="06B76C26" w14:textId="7DE33A9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728" w:type="dxa"/>
            <w:tcBorders>
              <w:top w:val="nil"/>
              <w:left w:val="nil"/>
              <w:bottom w:val="nil"/>
              <w:right w:val="nil"/>
            </w:tcBorders>
            <w:shd w:val="clear" w:color="000000" w:fill="FFFFFF"/>
            <w:noWrap/>
            <w:vAlign w:val="bottom"/>
          </w:tcPr>
          <w:p w14:paraId="45BCB52B" w14:textId="114B9371"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7.5%</w:t>
            </w:r>
          </w:p>
        </w:tc>
        <w:tc>
          <w:tcPr>
            <w:tcW w:w="619" w:type="dxa"/>
            <w:gridSpan w:val="2"/>
            <w:tcBorders>
              <w:top w:val="nil"/>
              <w:left w:val="nil"/>
              <w:bottom w:val="nil"/>
              <w:right w:val="nil"/>
            </w:tcBorders>
            <w:shd w:val="clear" w:color="000000" w:fill="FFFFFF"/>
            <w:noWrap/>
            <w:vAlign w:val="bottom"/>
          </w:tcPr>
          <w:p w14:paraId="737F1881" w14:textId="1B640EC6"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0.021</w:t>
            </w:r>
          </w:p>
        </w:tc>
      </w:tr>
      <w:tr w:rsidR="00C2204F" w:rsidRPr="00EA3957" w14:paraId="5B9A1BD8" w14:textId="77777777" w:rsidTr="00C2204F">
        <w:trPr>
          <w:trHeight w:val="288"/>
        </w:trPr>
        <w:tc>
          <w:tcPr>
            <w:tcW w:w="1710" w:type="dxa"/>
            <w:tcBorders>
              <w:top w:val="nil"/>
              <w:left w:val="nil"/>
              <w:bottom w:val="nil"/>
              <w:right w:val="nil"/>
            </w:tcBorders>
            <w:shd w:val="clear" w:color="000000" w:fill="FFFFFF"/>
            <w:noWrap/>
            <w:vAlign w:val="bottom"/>
            <w:hideMark/>
          </w:tcPr>
          <w:p w14:paraId="298A296A"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3463A10C" w14:textId="689788A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674</w:t>
            </w:r>
          </w:p>
        </w:tc>
        <w:tc>
          <w:tcPr>
            <w:tcW w:w="630" w:type="dxa"/>
            <w:gridSpan w:val="2"/>
            <w:tcBorders>
              <w:top w:val="nil"/>
              <w:left w:val="nil"/>
              <w:bottom w:val="nil"/>
              <w:right w:val="nil"/>
            </w:tcBorders>
            <w:shd w:val="clear" w:color="000000" w:fill="FFFFFF"/>
            <w:noWrap/>
            <w:vAlign w:val="bottom"/>
          </w:tcPr>
          <w:p w14:paraId="6D262585" w14:textId="1862A73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1292</w:t>
            </w:r>
          </w:p>
        </w:tc>
        <w:tc>
          <w:tcPr>
            <w:tcW w:w="99" w:type="dxa"/>
            <w:gridSpan w:val="2"/>
            <w:tcBorders>
              <w:top w:val="nil"/>
              <w:left w:val="nil"/>
              <w:bottom w:val="nil"/>
              <w:right w:val="nil"/>
            </w:tcBorders>
            <w:shd w:val="clear" w:color="000000" w:fill="FFFFFF"/>
            <w:noWrap/>
            <w:vAlign w:val="bottom"/>
          </w:tcPr>
          <w:p w14:paraId="6B7A4930" w14:textId="1BB5D16F"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D56A99A" w14:textId="29304AB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$144</w:t>
            </w:r>
          </w:p>
        </w:tc>
        <w:tc>
          <w:tcPr>
            <w:tcW w:w="711" w:type="dxa"/>
            <w:gridSpan w:val="2"/>
            <w:tcBorders>
              <w:top w:val="nil"/>
              <w:left w:val="nil"/>
              <w:bottom w:val="nil"/>
              <w:right w:val="nil"/>
            </w:tcBorders>
            <w:shd w:val="clear" w:color="000000" w:fill="FFFFFF"/>
            <w:noWrap/>
            <w:vAlign w:val="bottom"/>
          </w:tcPr>
          <w:p w14:paraId="10B559D5" w14:textId="3CB0367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$204</w:t>
            </w:r>
          </w:p>
        </w:tc>
        <w:tc>
          <w:tcPr>
            <w:tcW w:w="662" w:type="dxa"/>
            <w:tcBorders>
              <w:top w:val="nil"/>
              <w:left w:val="nil"/>
              <w:bottom w:val="nil"/>
              <w:right w:val="nil"/>
            </w:tcBorders>
            <w:shd w:val="clear" w:color="000000" w:fill="FFFFFF"/>
            <w:noWrap/>
            <w:vAlign w:val="bottom"/>
          </w:tcPr>
          <w:p w14:paraId="1843EE8A" w14:textId="4F25313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$88</w:t>
            </w:r>
          </w:p>
        </w:tc>
        <w:tc>
          <w:tcPr>
            <w:tcW w:w="711" w:type="dxa"/>
            <w:gridSpan w:val="2"/>
            <w:tcBorders>
              <w:top w:val="nil"/>
              <w:left w:val="nil"/>
              <w:bottom w:val="nil"/>
              <w:right w:val="nil"/>
            </w:tcBorders>
            <w:shd w:val="clear" w:color="000000" w:fill="FFFFFF"/>
            <w:noWrap/>
            <w:vAlign w:val="bottom"/>
          </w:tcPr>
          <w:p w14:paraId="0122D36B" w14:textId="60DEE71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$234</w:t>
            </w:r>
          </w:p>
        </w:tc>
        <w:tc>
          <w:tcPr>
            <w:tcW w:w="728" w:type="dxa"/>
            <w:tcBorders>
              <w:top w:val="nil"/>
              <w:left w:val="nil"/>
              <w:bottom w:val="nil"/>
              <w:right w:val="nil"/>
            </w:tcBorders>
            <w:shd w:val="clear" w:color="000000" w:fill="FFFFFF"/>
            <w:noWrap/>
            <w:vAlign w:val="bottom"/>
          </w:tcPr>
          <w:p w14:paraId="30155496" w14:textId="6254802C"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-47.0%</w:t>
            </w:r>
          </w:p>
        </w:tc>
        <w:tc>
          <w:tcPr>
            <w:tcW w:w="584" w:type="dxa"/>
            <w:gridSpan w:val="2"/>
            <w:tcBorders>
              <w:top w:val="nil"/>
              <w:left w:val="nil"/>
              <w:bottom w:val="nil"/>
              <w:right w:val="nil"/>
            </w:tcBorders>
            <w:shd w:val="clear" w:color="000000" w:fill="FFFFFF"/>
            <w:noWrap/>
            <w:vAlign w:val="bottom"/>
          </w:tcPr>
          <w:p w14:paraId="3D5AD87C" w14:textId="5EC60CDF"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12FD1CB" w14:textId="6EE8AEA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2903882" w14:textId="6F80851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14.6</w:t>
            </w:r>
          </w:p>
        </w:tc>
        <w:tc>
          <w:tcPr>
            <w:tcW w:w="798" w:type="dxa"/>
            <w:gridSpan w:val="2"/>
            <w:tcBorders>
              <w:top w:val="nil"/>
              <w:left w:val="nil"/>
              <w:bottom w:val="nil"/>
              <w:right w:val="nil"/>
            </w:tcBorders>
            <w:shd w:val="clear" w:color="000000" w:fill="FFFFFF"/>
            <w:noWrap/>
            <w:vAlign w:val="bottom"/>
          </w:tcPr>
          <w:p w14:paraId="71D48BF2" w14:textId="307DE61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14.9</w:t>
            </w:r>
          </w:p>
        </w:tc>
        <w:tc>
          <w:tcPr>
            <w:tcW w:w="500" w:type="dxa"/>
            <w:tcBorders>
              <w:top w:val="nil"/>
              <w:left w:val="nil"/>
              <w:bottom w:val="nil"/>
              <w:right w:val="nil"/>
            </w:tcBorders>
            <w:shd w:val="clear" w:color="000000" w:fill="FFFFFF"/>
            <w:noWrap/>
            <w:vAlign w:val="bottom"/>
          </w:tcPr>
          <w:p w14:paraId="0209B004" w14:textId="68F014F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17.6</w:t>
            </w:r>
          </w:p>
        </w:tc>
        <w:tc>
          <w:tcPr>
            <w:tcW w:w="757" w:type="dxa"/>
            <w:gridSpan w:val="2"/>
            <w:tcBorders>
              <w:top w:val="nil"/>
              <w:left w:val="nil"/>
              <w:bottom w:val="nil"/>
              <w:right w:val="nil"/>
            </w:tcBorders>
            <w:shd w:val="clear" w:color="000000" w:fill="FFFFFF"/>
            <w:noWrap/>
            <w:vAlign w:val="bottom"/>
          </w:tcPr>
          <w:p w14:paraId="48B23FA0" w14:textId="5D61D63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17.5</w:t>
            </w:r>
          </w:p>
        </w:tc>
        <w:tc>
          <w:tcPr>
            <w:tcW w:w="728" w:type="dxa"/>
            <w:tcBorders>
              <w:top w:val="nil"/>
              <w:left w:val="nil"/>
              <w:bottom w:val="nil"/>
              <w:right w:val="nil"/>
            </w:tcBorders>
            <w:shd w:val="clear" w:color="000000" w:fill="FFFFFF"/>
            <w:noWrap/>
            <w:vAlign w:val="bottom"/>
          </w:tcPr>
          <w:p w14:paraId="793FC37A" w14:textId="0D6417E9"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2.8%</w:t>
            </w:r>
          </w:p>
        </w:tc>
        <w:tc>
          <w:tcPr>
            <w:tcW w:w="619" w:type="dxa"/>
            <w:gridSpan w:val="2"/>
            <w:tcBorders>
              <w:top w:val="nil"/>
              <w:left w:val="nil"/>
              <w:bottom w:val="nil"/>
              <w:right w:val="nil"/>
            </w:tcBorders>
            <w:shd w:val="clear" w:color="000000" w:fill="FFFFFF"/>
            <w:noWrap/>
            <w:vAlign w:val="bottom"/>
          </w:tcPr>
          <w:p w14:paraId="1E3B14CF" w14:textId="53F5F8E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0.368</w:t>
            </w:r>
          </w:p>
        </w:tc>
      </w:tr>
      <w:tr w:rsidR="00C2204F" w:rsidRPr="00EA3957" w14:paraId="3B75E9B6" w14:textId="77777777" w:rsidTr="00C2204F">
        <w:trPr>
          <w:trHeight w:val="288"/>
        </w:trPr>
        <w:tc>
          <w:tcPr>
            <w:tcW w:w="1710" w:type="dxa"/>
            <w:tcBorders>
              <w:top w:val="nil"/>
              <w:left w:val="nil"/>
              <w:bottom w:val="nil"/>
              <w:right w:val="nil"/>
            </w:tcBorders>
            <w:shd w:val="clear" w:color="000000" w:fill="FFFFFF"/>
            <w:noWrap/>
            <w:vAlign w:val="bottom"/>
            <w:hideMark/>
          </w:tcPr>
          <w:p w14:paraId="422B14B8"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09C6BC3A" w14:textId="1E5A4C5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73</w:t>
            </w:r>
          </w:p>
        </w:tc>
        <w:tc>
          <w:tcPr>
            <w:tcW w:w="630" w:type="dxa"/>
            <w:gridSpan w:val="2"/>
            <w:tcBorders>
              <w:top w:val="nil"/>
              <w:left w:val="nil"/>
              <w:bottom w:val="nil"/>
              <w:right w:val="nil"/>
            </w:tcBorders>
            <w:shd w:val="clear" w:color="000000" w:fill="FFFFFF"/>
            <w:noWrap/>
            <w:vAlign w:val="bottom"/>
          </w:tcPr>
          <w:p w14:paraId="282FA755" w14:textId="092ECB8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175</w:t>
            </w:r>
          </w:p>
        </w:tc>
        <w:tc>
          <w:tcPr>
            <w:tcW w:w="99" w:type="dxa"/>
            <w:gridSpan w:val="2"/>
            <w:tcBorders>
              <w:top w:val="nil"/>
              <w:left w:val="nil"/>
              <w:bottom w:val="nil"/>
              <w:right w:val="nil"/>
            </w:tcBorders>
            <w:shd w:val="clear" w:color="000000" w:fill="FFFFFF"/>
            <w:noWrap/>
            <w:vAlign w:val="bottom"/>
          </w:tcPr>
          <w:p w14:paraId="47332C70" w14:textId="63436098"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113CA63F" w14:textId="2ADDA3E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$230</w:t>
            </w:r>
          </w:p>
        </w:tc>
        <w:tc>
          <w:tcPr>
            <w:tcW w:w="711" w:type="dxa"/>
            <w:gridSpan w:val="2"/>
            <w:tcBorders>
              <w:top w:val="nil"/>
              <w:left w:val="nil"/>
              <w:bottom w:val="nil"/>
              <w:right w:val="nil"/>
            </w:tcBorders>
            <w:shd w:val="clear" w:color="000000" w:fill="FFFFFF"/>
            <w:noWrap/>
            <w:vAlign w:val="bottom"/>
          </w:tcPr>
          <w:p w14:paraId="5EC28565" w14:textId="13E591FD"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$225</w:t>
            </w:r>
          </w:p>
        </w:tc>
        <w:tc>
          <w:tcPr>
            <w:tcW w:w="662" w:type="dxa"/>
            <w:tcBorders>
              <w:top w:val="nil"/>
              <w:left w:val="nil"/>
              <w:bottom w:val="nil"/>
              <w:right w:val="nil"/>
            </w:tcBorders>
            <w:shd w:val="clear" w:color="000000" w:fill="FFFFFF"/>
            <w:noWrap/>
            <w:vAlign w:val="bottom"/>
          </w:tcPr>
          <w:p w14:paraId="67844A9B" w14:textId="691E4BC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$69</w:t>
            </w:r>
          </w:p>
        </w:tc>
        <w:tc>
          <w:tcPr>
            <w:tcW w:w="711" w:type="dxa"/>
            <w:gridSpan w:val="2"/>
            <w:tcBorders>
              <w:top w:val="nil"/>
              <w:left w:val="nil"/>
              <w:bottom w:val="nil"/>
              <w:right w:val="nil"/>
            </w:tcBorders>
            <w:shd w:val="clear" w:color="000000" w:fill="FFFFFF"/>
            <w:noWrap/>
            <w:vAlign w:val="bottom"/>
          </w:tcPr>
          <w:p w14:paraId="592F111F" w14:textId="4A4F272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$141</w:t>
            </w:r>
          </w:p>
        </w:tc>
        <w:tc>
          <w:tcPr>
            <w:tcW w:w="728" w:type="dxa"/>
            <w:tcBorders>
              <w:top w:val="nil"/>
              <w:left w:val="nil"/>
              <w:bottom w:val="nil"/>
              <w:right w:val="nil"/>
            </w:tcBorders>
            <w:shd w:val="clear" w:color="000000" w:fill="FFFFFF"/>
            <w:noWrap/>
            <w:vAlign w:val="bottom"/>
          </w:tcPr>
          <w:p w14:paraId="7DB0B2EA" w14:textId="599EE787"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-52.0%</w:t>
            </w:r>
          </w:p>
        </w:tc>
        <w:tc>
          <w:tcPr>
            <w:tcW w:w="584" w:type="dxa"/>
            <w:gridSpan w:val="2"/>
            <w:tcBorders>
              <w:top w:val="nil"/>
              <w:left w:val="nil"/>
              <w:bottom w:val="nil"/>
              <w:right w:val="nil"/>
            </w:tcBorders>
            <w:shd w:val="clear" w:color="000000" w:fill="FFFFFF"/>
            <w:noWrap/>
            <w:vAlign w:val="bottom"/>
          </w:tcPr>
          <w:p w14:paraId="7ECCC758" w14:textId="4024FB63"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108836B" w14:textId="65CCDA88"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EA64A82" w14:textId="7EE87DE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9.3</w:t>
            </w:r>
          </w:p>
        </w:tc>
        <w:tc>
          <w:tcPr>
            <w:tcW w:w="798" w:type="dxa"/>
            <w:gridSpan w:val="2"/>
            <w:tcBorders>
              <w:top w:val="nil"/>
              <w:left w:val="nil"/>
              <w:bottom w:val="nil"/>
              <w:right w:val="nil"/>
            </w:tcBorders>
            <w:shd w:val="clear" w:color="000000" w:fill="FFFFFF"/>
            <w:noWrap/>
            <w:vAlign w:val="bottom"/>
          </w:tcPr>
          <w:p w14:paraId="1C851E44" w14:textId="3831FED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9.1</w:t>
            </w:r>
          </w:p>
        </w:tc>
        <w:tc>
          <w:tcPr>
            <w:tcW w:w="500" w:type="dxa"/>
            <w:tcBorders>
              <w:top w:val="nil"/>
              <w:left w:val="nil"/>
              <w:bottom w:val="nil"/>
              <w:right w:val="nil"/>
            </w:tcBorders>
            <w:shd w:val="clear" w:color="000000" w:fill="FFFFFF"/>
            <w:noWrap/>
            <w:vAlign w:val="bottom"/>
          </w:tcPr>
          <w:p w14:paraId="39E6E3A8" w14:textId="710AAA1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9.3</w:t>
            </w:r>
          </w:p>
        </w:tc>
        <w:tc>
          <w:tcPr>
            <w:tcW w:w="757" w:type="dxa"/>
            <w:gridSpan w:val="2"/>
            <w:tcBorders>
              <w:top w:val="nil"/>
              <w:left w:val="nil"/>
              <w:bottom w:val="nil"/>
              <w:right w:val="nil"/>
            </w:tcBorders>
            <w:shd w:val="clear" w:color="000000" w:fill="FFFFFF"/>
            <w:noWrap/>
            <w:vAlign w:val="bottom"/>
          </w:tcPr>
          <w:p w14:paraId="69B86C69" w14:textId="412B22D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8.4</w:t>
            </w:r>
          </w:p>
        </w:tc>
        <w:tc>
          <w:tcPr>
            <w:tcW w:w="728" w:type="dxa"/>
            <w:tcBorders>
              <w:top w:val="nil"/>
              <w:left w:val="nil"/>
              <w:bottom w:val="nil"/>
              <w:right w:val="nil"/>
            </w:tcBorders>
            <w:shd w:val="clear" w:color="000000" w:fill="FFFFFF"/>
            <w:noWrap/>
            <w:vAlign w:val="bottom"/>
          </w:tcPr>
          <w:p w14:paraId="6323E3D1" w14:textId="2EE49C33"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9.4%</w:t>
            </w:r>
          </w:p>
        </w:tc>
        <w:tc>
          <w:tcPr>
            <w:tcW w:w="619" w:type="dxa"/>
            <w:gridSpan w:val="2"/>
            <w:tcBorders>
              <w:top w:val="nil"/>
              <w:left w:val="nil"/>
              <w:bottom w:val="nil"/>
              <w:right w:val="nil"/>
            </w:tcBorders>
            <w:shd w:val="clear" w:color="000000" w:fill="FFFFFF"/>
            <w:noWrap/>
            <w:vAlign w:val="bottom"/>
          </w:tcPr>
          <w:p w14:paraId="72E7A370" w14:textId="1349214E"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0.434</w:t>
            </w:r>
          </w:p>
        </w:tc>
      </w:tr>
      <w:tr w:rsidR="00C2204F" w:rsidRPr="00EA3957" w14:paraId="6CE13689" w14:textId="77777777" w:rsidTr="00C2204F">
        <w:trPr>
          <w:trHeight w:val="288"/>
        </w:trPr>
        <w:tc>
          <w:tcPr>
            <w:tcW w:w="1710" w:type="dxa"/>
            <w:tcBorders>
              <w:top w:val="nil"/>
              <w:left w:val="nil"/>
              <w:bottom w:val="nil"/>
              <w:right w:val="nil"/>
            </w:tcBorders>
            <w:shd w:val="clear" w:color="000000" w:fill="FFFFFF"/>
            <w:noWrap/>
            <w:vAlign w:val="bottom"/>
            <w:hideMark/>
          </w:tcPr>
          <w:p w14:paraId="3593C5DB"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011A3B21" w14:textId="778F597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153</w:t>
            </w:r>
          </w:p>
        </w:tc>
        <w:tc>
          <w:tcPr>
            <w:tcW w:w="630" w:type="dxa"/>
            <w:gridSpan w:val="2"/>
            <w:tcBorders>
              <w:top w:val="nil"/>
              <w:left w:val="nil"/>
              <w:bottom w:val="nil"/>
              <w:right w:val="nil"/>
            </w:tcBorders>
            <w:shd w:val="clear" w:color="000000" w:fill="FFFFFF"/>
            <w:noWrap/>
            <w:vAlign w:val="bottom"/>
          </w:tcPr>
          <w:p w14:paraId="665B08EC" w14:textId="516829E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220</w:t>
            </w:r>
          </w:p>
        </w:tc>
        <w:tc>
          <w:tcPr>
            <w:tcW w:w="99" w:type="dxa"/>
            <w:gridSpan w:val="2"/>
            <w:tcBorders>
              <w:top w:val="nil"/>
              <w:left w:val="nil"/>
              <w:bottom w:val="nil"/>
              <w:right w:val="nil"/>
            </w:tcBorders>
            <w:shd w:val="clear" w:color="000000" w:fill="FFFFFF"/>
            <w:noWrap/>
            <w:vAlign w:val="bottom"/>
          </w:tcPr>
          <w:p w14:paraId="4D723ED2" w14:textId="241C96E7"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2E0D19C" w14:textId="77D5EBC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$172</w:t>
            </w:r>
          </w:p>
        </w:tc>
        <w:tc>
          <w:tcPr>
            <w:tcW w:w="711" w:type="dxa"/>
            <w:gridSpan w:val="2"/>
            <w:tcBorders>
              <w:top w:val="nil"/>
              <w:left w:val="nil"/>
              <w:bottom w:val="nil"/>
              <w:right w:val="nil"/>
            </w:tcBorders>
            <w:shd w:val="clear" w:color="000000" w:fill="FFFFFF"/>
            <w:noWrap/>
            <w:vAlign w:val="bottom"/>
          </w:tcPr>
          <w:p w14:paraId="75D626E9" w14:textId="64C3965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$217</w:t>
            </w:r>
          </w:p>
        </w:tc>
        <w:tc>
          <w:tcPr>
            <w:tcW w:w="662" w:type="dxa"/>
            <w:tcBorders>
              <w:top w:val="nil"/>
              <w:left w:val="nil"/>
              <w:bottom w:val="nil"/>
              <w:right w:val="nil"/>
            </w:tcBorders>
            <w:shd w:val="clear" w:color="000000" w:fill="FFFFFF"/>
            <w:noWrap/>
            <w:vAlign w:val="bottom"/>
          </w:tcPr>
          <w:p w14:paraId="339F9F4C" w14:textId="3E6BB8D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$82</w:t>
            </w:r>
          </w:p>
        </w:tc>
        <w:tc>
          <w:tcPr>
            <w:tcW w:w="711" w:type="dxa"/>
            <w:gridSpan w:val="2"/>
            <w:tcBorders>
              <w:top w:val="nil"/>
              <w:left w:val="nil"/>
              <w:bottom w:val="nil"/>
              <w:right w:val="nil"/>
            </w:tcBorders>
            <w:shd w:val="clear" w:color="000000" w:fill="FFFFFF"/>
            <w:noWrap/>
            <w:vAlign w:val="bottom"/>
          </w:tcPr>
          <w:p w14:paraId="0DAEFAC2" w14:textId="459DCD4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$231</w:t>
            </w:r>
          </w:p>
        </w:tc>
        <w:tc>
          <w:tcPr>
            <w:tcW w:w="728" w:type="dxa"/>
            <w:tcBorders>
              <w:top w:val="nil"/>
              <w:left w:val="nil"/>
              <w:bottom w:val="nil"/>
              <w:right w:val="nil"/>
            </w:tcBorders>
            <w:shd w:val="clear" w:color="000000" w:fill="FFFFFF"/>
            <w:noWrap/>
            <w:vAlign w:val="bottom"/>
          </w:tcPr>
          <w:p w14:paraId="0CD69748" w14:textId="51D985E5"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-55.0%</w:t>
            </w:r>
          </w:p>
        </w:tc>
        <w:tc>
          <w:tcPr>
            <w:tcW w:w="584" w:type="dxa"/>
            <w:gridSpan w:val="2"/>
            <w:tcBorders>
              <w:top w:val="nil"/>
              <w:left w:val="nil"/>
              <w:bottom w:val="nil"/>
              <w:right w:val="nil"/>
            </w:tcBorders>
            <w:shd w:val="clear" w:color="000000" w:fill="FFFFFF"/>
            <w:noWrap/>
            <w:vAlign w:val="bottom"/>
          </w:tcPr>
          <w:p w14:paraId="1F765E7B" w14:textId="20F27F4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B134670" w14:textId="1208AB05"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D82018A" w14:textId="7195A07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5.3</w:t>
            </w:r>
          </w:p>
        </w:tc>
        <w:tc>
          <w:tcPr>
            <w:tcW w:w="798" w:type="dxa"/>
            <w:gridSpan w:val="2"/>
            <w:tcBorders>
              <w:top w:val="nil"/>
              <w:left w:val="nil"/>
              <w:bottom w:val="nil"/>
              <w:right w:val="nil"/>
            </w:tcBorders>
            <w:shd w:val="clear" w:color="000000" w:fill="FFFFFF"/>
            <w:noWrap/>
            <w:vAlign w:val="bottom"/>
          </w:tcPr>
          <w:p w14:paraId="0F81F695" w14:textId="1439607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5.5</w:t>
            </w:r>
          </w:p>
        </w:tc>
        <w:tc>
          <w:tcPr>
            <w:tcW w:w="500" w:type="dxa"/>
            <w:tcBorders>
              <w:top w:val="nil"/>
              <w:left w:val="nil"/>
              <w:bottom w:val="nil"/>
              <w:right w:val="nil"/>
            </w:tcBorders>
            <w:shd w:val="clear" w:color="000000" w:fill="FFFFFF"/>
            <w:noWrap/>
            <w:vAlign w:val="bottom"/>
          </w:tcPr>
          <w:p w14:paraId="07DD77BE" w14:textId="7836F62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5.5</w:t>
            </w:r>
          </w:p>
        </w:tc>
        <w:tc>
          <w:tcPr>
            <w:tcW w:w="757" w:type="dxa"/>
            <w:gridSpan w:val="2"/>
            <w:tcBorders>
              <w:top w:val="nil"/>
              <w:left w:val="nil"/>
              <w:bottom w:val="nil"/>
              <w:right w:val="nil"/>
            </w:tcBorders>
            <w:shd w:val="clear" w:color="000000" w:fill="FFFFFF"/>
            <w:noWrap/>
            <w:vAlign w:val="bottom"/>
          </w:tcPr>
          <w:p w14:paraId="56475DAF" w14:textId="6F8EC54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4.9</w:t>
            </w:r>
          </w:p>
        </w:tc>
        <w:tc>
          <w:tcPr>
            <w:tcW w:w="728" w:type="dxa"/>
            <w:tcBorders>
              <w:top w:val="nil"/>
              <w:left w:val="nil"/>
              <w:bottom w:val="nil"/>
              <w:right w:val="nil"/>
            </w:tcBorders>
            <w:shd w:val="clear" w:color="000000" w:fill="FFFFFF"/>
            <w:noWrap/>
            <w:vAlign w:val="bottom"/>
          </w:tcPr>
          <w:p w14:paraId="0AE1DC1E" w14:textId="533255B5"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19.1%</w:t>
            </w:r>
          </w:p>
        </w:tc>
        <w:tc>
          <w:tcPr>
            <w:tcW w:w="619" w:type="dxa"/>
            <w:gridSpan w:val="2"/>
            <w:tcBorders>
              <w:top w:val="nil"/>
              <w:left w:val="nil"/>
              <w:bottom w:val="nil"/>
              <w:right w:val="nil"/>
            </w:tcBorders>
            <w:shd w:val="clear" w:color="000000" w:fill="FFFFFF"/>
            <w:noWrap/>
            <w:vAlign w:val="bottom"/>
          </w:tcPr>
          <w:p w14:paraId="15C620B3" w14:textId="4D0EEDC6"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0.131</w:t>
            </w:r>
          </w:p>
        </w:tc>
      </w:tr>
      <w:tr w:rsidR="00C2204F" w:rsidRPr="00EA3957" w14:paraId="5C2B1706" w14:textId="77777777" w:rsidTr="00C2204F">
        <w:trPr>
          <w:trHeight w:val="288"/>
        </w:trPr>
        <w:tc>
          <w:tcPr>
            <w:tcW w:w="1710" w:type="dxa"/>
            <w:tcBorders>
              <w:top w:val="nil"/>
              <w:left w:val="nil"/>
              <w:bottom w:val="nil"/>
              <w:right w:val="nil"/>
            </w:tcBorders>
            <w:shd w:val="clear" w:color="000000" w:fill="FFFFFF"/>
            <w:noWrap/>
            <w:vAlign w:val="bottom"/>
            <w:hideMark/>
          </w:tcPr>
          <w:p w14:paraId="16F618DD"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7A2489C2" w14:textId="50C4A9C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231</w:t>
            </w:r>
          </w:p>
        </w:tc>
        <w:tc>
          <w:tcPr>
            <w:tcW w:w="630" w:type="dxa"/>
            <w:gridSpan w:val="2"/>
            <w:tcBorders>
              <w:top w:val="nil"/>
              <w:left w:val="nil"/>
              <w:bottom w:val="nil"/>
              <w:right w:val="nil"/>
            </w:tcBorders>
            <w:shd w:val="clear" w:color="000000" w:fill="FFFFFF"/>
            <w:noWrap/>
            <w:vAlign w:val="bottom"/>
          </w:tcPr>
          <w:p w14:paraId="66C5CF82" w14:textId="23B24A3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439</w:t>
            </w:r>
          </w:p>
        </w:tc>
        <w:tc>
          <w:tcPr>
            <w:tcW w:w="99" w:type="dxa"/>
            <w:gridSpan w:val="2"/>
            <w:tcBorders>
              <w:top w:val="nil"/>
              <w:left w:val="nil"/>
              <w:bottom w:val="nil"/>
              <w:right w:val="nil"/>
            </w:tcBorders>
            <w:shd w:val="clear" w:color="000000" w:fill="FFFFFF"/>
            <w:noWrap/>
            <w:vAlign w:val="bottom"/>
          </w:tcPr>
          <w:p w14:paraId="4DB6AE21" w14:textId="09D6747B"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4430426" w14:textId="033F4B42"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$188</w:t>
            </w:r>
          </w:p>
        </w:tc>
        <w:tc>
          <w:tcPr>
            <w:tcW w:w="711" w:type="dxa"/>
            <w:gridSpan w:val="2"/>
            <w:tcBorders>
              <w:top w:val="nil"/>
              <w:left w:val="nil"/>
              <w:bottom w:val="nil"/>
              <w:right w:val="nil"/>
            </w:tcBorders>
            <w:shd w:val="clear" w:color="000000" w:fill="FFFFFF"/>
            <w:noWrap/>
            <w:vAlign w:val="bottom"/>
          </w:tcPr>
          <w:p w14:paraId="4A030FAE" w14:textId="2E36DBC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$166</w:t>
            </w:r>
          </w:p>
        </w:tc>
        <w:tc>
          <w:tcPr>
            <w:tcW w:w="662" w:type="dxa"/>
            <w:tcBorders>
              <w:top w:val="nil"/>
              <w:left w:val="nil"/>
              <w:bottom w:val="nil"/>
              <w:right w:val="nil"/>
            </w:tcBorders>
            <w:shd w:val="clear" w:color="000000" w:fill="FFFFFF"/>
            <w:noWrap/>
            <w:vAlign w:val="bottom"/>
          </w:tcPr>
          <w:p w14:paraId="727D5302" w14:textId="099A08A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$220</w:t>
            </w:r>
          </w:p>
        </w:tc>
        <w:tc>
          <w:tcPr>
            <w:tcW w:w="711" w:type="dxa"/>
            <w:gridSpan w:val="2"/>
            <w:tcBorders>
              <w:top w:val="nil"/>
              <w:left w:val="nil"/>
              <w:bottom w:val="nil"/>
              <w:right w:val="nil"/>
            </w:tcBorders>
            <w:shd w:val="clear" w:color="000000" w:fill="FFFFFF"/>
            <w:noWrap/>
            <w:vAlign w:val="bottom"/>
          </w:tcPr>
          <w:p w14:paraId="4CE67AE6" w14:textId="754A073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$165</w:t>
            </w:r>
          </w:p>
        </w:tc>
        <w:tc>
          <w:tcPr>
            <w:tcW w:w="728" w:type="dxa"/>
            <w:tcBorders>
              <w:top w:val="nil"/>
              <w:left w:val="nil"/>
              <w:bottom w:val="nil"/>
              <w:right w:val="nil"/>
            </w:tcBorders>
            <w:shd w:val="clear" w:color="000000" w:fill="FFFFFF"/>
            <w:noWrap/>
            <w:vAlign w:val="bottom"/>
          </w:tcPr>
          <w:p w14:paraId="4105971B" w14:textId="3402C28F"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17.2%</w:t>
            </w:r>
          </w:p>
        </w:tc>
        <w:tc>
          <w:tcPr>
            <w:tcW w:w="584" w:type="dxa"/>
            <w:gridSpan w:val="2"/>
            <w:tcBorders>
              <w:top w:val="nil"/>
              <w:left w:val="nil"/>
              <w:bottom w:val="nil"/>
              <w:right w:val="nil"/>
            </w:tcBorders>
            <w:shd w:val="clear" w:color="000000" w:fill="FFFFFF"/>
            <w:noWrap/>
            <w:vAlign w:val="bottom"/>
          </w:tcPr>
          <w:p w14:paraId="0E82C093" w14:textId="68EEC72E"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0.252</w:t>
            </w:r>
          </w:p>
        </w:tc>
        <w:tc>
          <w:tcPr>
            <w:tcW w:w="82" w:type="dxa"/>
            <w:gridSpan w:val="2"/>
            <w:tcBorders>
              <w:top w:val="nil"/>
              <w:left w:val="nil"/>
              <w:bottom w:val="nil"/>
              <w:right w:val="nil"/>
            </w:tcBorders>
            <w:shd w:val="clear" w:color="000000" w:fill="FFFFFF"/>
            <w:noWrap/>
            <w:vAlign w:val="bottom"/>
          </w:tcPr>
          <w:p w14:paraId="4922921B" w14:textId="2B5C2ABF"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E4BF352" w14:textId="09E09E9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9.8</w:t>
            </w:r>
          </w:p>
        </w:tc>
        <w:tc>
          <w:tcPr>
            <w:tcW w:w="798" w:type="dxa"/>
            <w:gridSpan w:val="2"/>
            <w:tcBorders>
              <w:top w:val="nil"/>
              <w:left w:val="nil"/>
              <w:bottom w:val="nil"/>
              <w:right w:val="nil"/>
            </w:tcBorders>
            <w:shd w:val="clear" w:color="000000" w:fill="FFFFFF"/>
            <w:noWrap/>
            <w:vAlign w:val="bottom"/>
          </w:tcPr>
          <w:p w14:paraId="52C25EA4" w14:textId="0931632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9.3</w:t>
            </w:r>
          </w:p>
        </w:tc>
        <w:tc>
          <w:tcPr>
            <w:tcW w:w="500" w:type="dxa"/>
            <w:tcBorders>
              <w:top w:val="nil"/>
              <w:left w:val="nil"/>
              <w:bottom w:val="nil"/>
              <w:right w:val="nil"/>
            </w:tcBorders>
            <w:shd w:val="clear" w:color="000000" w:fill="FFFFFF"/>
            <w:noWrap/>
            <w:vAlign w:val="bottom"/>
          </w:tcPr>
          <w:p w14:paraId="05B588DB" w14:textId="46B55D2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9.6</w:t>
            </w:r>
          </w:p>
        </w:tc>
        <w:tc>
          <w:tcPr>
            <w:tcW w:w="757" w:type="dxa"/>
            <w:gridSpan w:val="2"/>
            <w:tcBorders>
              <w:top w:val="nil"/>
              <w:left w:val="nil"/>
              <w:bottom w:val="nil"/>
              <w:right w:val="nil"/>
            </w:tcBorders>
            <w:shd w:val="clear" w:color="000000" w:fill="FFFFFF"/>
            <w:noWrap/>
            <w:vAlign w:val="bottom"/>
          </w:tcPr>
          <w:p w14:paraId="204FF3C8" w14:textId="36C4864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9.0</w:t>
            </w:r>
          </w:p>
        </w:tc>
        <w:tc>
          <w:tcPr>
            <w:tcW w:w="728" w:type="dxa"/>
            <w:tcBorders>
              <w:top w:val="nil"/>
              <w:left w:val="nil"/>
              <w:bottom w:val="nil"/>
              <w:right w:val="nil"/>
            </w:tcBorders>
            <w:shd w:val="clear" w:color="000000" w:fill="FFFFFF"/>
            <w:noWrap/>
            <w:vAlign w:val="bottom"/>
          </w:tcPr>
          <w:p w14:paraId="3647F84E" w14:textId="2C602018"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0.8%</w:t>
            </w:r>
          </w:p>
        </w:tc>
        <w:tc>
          <w:tcPr>
            <w:tcW w:w="619" w:type="dxa"/>
            <w:gridSpan w:val="2"/>
            <w:tcBorders>
              <w:top w:val="nil"/>
              <w:left w:val="nil"/>
              <w:bottom w:val="nil"/>
              <w:right w:val="nil"/>
            </w:tcBorders>
            <w:shd w:val="clear" w:color="000000" w:fill="FFFFFF"/>
            <w:noWrap/>
            <w:vAlign w:val="bottom"/>
          </w:tcPr>
          <w:p w14:paraId="020D881B" w14:textId="7EBC0B70"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0.869</w:t>
            </w:r>
          </w:p>
        </w:tc>
      </w:tr>
      <w:tr w:rsidR="00C2204F" w:rsidRPr="00EA3957" w14:paraId="46486673" w14:textId="77777777" w:rsidTr="00C2204F">
        <w:trPr>
          <w:trHeight w:val="288"/>
        </w:trPr>
        <w:tc>
          <w:tcPr>
            <w:tcW w:w="1710" w:type="dxa"/>
            <w:tcBorders>
              <w:top w:val="nil"/>
              <w:left w:val="nil"/>
              <w:bottom w:val="nil"/>
              <w:right w:val="nil"/>
            </w:tcBorders>
            <w:shd w:val="clear" w:color="000000" w:fill="FFFFFF"/>
            <w:noWrap/>
            <w:vAlign w:val="bottom"/>
            <w:hideMark/>
          </w:tcPr>
          <w:p w14:paraId="7C1F2941"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527E9EEB" w14:textId="0F0FB5E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168</w:t>
            </w:r>
          </w:p>
        </w:tc>
        <w:tc>
          <w:tcPr>
            <w:tcW w:w="630" w:type="dxa"/>
            <w:gridSpan w:val="2"/>
            <w:tcBorders>
              <w:top w:val="nil"/>
              <w:left w:val="nil"/>
              <w:bottom w:val="nil"/>
              <w:right w:val="nil"/>
            </w:tcBorders>
            <w:shd w:val="clear" w:color="000000" w:fill="FFFFFF"/>
            <w:noWrap/>
            <w:vAlign w:val="bottom"/>
          </w:tcPr>
          <w:p w14:paraId="5EA38465" w14:textId="68C2669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315</w:t>
            </w:r>
          </w:p>
        </w:tc>
        <w:tc>
          <w:tcPr>
            <w:tcW w:w="99" w:type="dxa"/>
            <w:gridSpan w:val="2"/>
            <w:tcBorders>
              <w:top w:val="nil"/>
              <w:left w:val="nil"/>
              <w:bottom w:val="nil"/>
              <w:right w:val="nil"/>
            </w:tcBorders>
            <w:shd w:val="clear" w:color="000000" w:fill="FFFFFF"/>
            <w:noWrap/>
            <w:vAlign w:val="bottom"/>
          </w:tcPr>
          <w:p w14:paraId="421B0D87" w14:textId="04E76D01"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2E2D108" w14:textId="3D4D7C4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$176</w:t>
            </w:r>
          </w:p>
        </w:tc>
        <w:tc>
          <w:tcPr>
            <w:tcW w:w="711" w:type="dxa"/>
            <w:gridSpan w:val="2"/>
            <w:tcBorders>
              <w:top w:val="nil"/>
              <w:left w:val="nil"/>
              <w:bottom w:val="nil"/>
              <w:right w:val="nil"/>
            </w:tcBorders>
            <w:shd w:val="clear" w:color="000000" w:fill="FFFFFF"/>
            <w:noWrap/>
            <w:vAlign w:val="bottom"/>
          </w:tcPr>
          <w:p w14:paraId="7279E357" w14:textId="60A5A37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$146</w:t>
            </w:r>
          </w:p>
        </w:tc>
        <w:tc>
          <w:tcPr>
            <w:tcW w:w="662" w:type="dxa"/>
            <w:tcBorders>
              <w:top w:val="nil"/>
              <w:left w:val="nil"/>
              <w:bottom w:val="nil"/>
              <w:right w:val="nil"/>
            </w:tcBorders>
            <w:shd w:val="clear" w:color="000000" w:fill="FFFFFF"/>
            <w:noWrap/>
            <w:vAlign w:val="bottom"/>
          </w:tcPr>
          <w:p w14:paraId="49136CBA" w14:textId="4D7D90E8"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$153</w:t>
            </w:r>
          </w:p>
        </w:tc>
        <w:tc>
          <w:tcPr>
            <w:tcW w:w="711" w:type="dxa"/>
            <w:gridSpan w:val="2"/>
            <w:tcBorders>
              <w:top w:val="nil"/>
              <w:left w:val="nil"/>
              <w:bottom w:val="nil"/>
              <w:right w:val="nil"/>
            </w:tcBorders>
            <w:shd w:val="clear" w:color="000000" w:fill="FFFFFF"/>
            <w:noWrap/>
            <w:vAlign w:val="bottom"/>
          </w:tcPr>
          <w:p w14:paraId="093EF99C" w14:textId="652CEB59"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$161</w:t>
            </w:r>
          </w:p>
        </w:tc>
        <w:tc>
          <w:tcPr>
            <w:tcW w:w="728" w:type="dxa"/>
            <w:tcBorders>
              <w:top w:val="nil"/>
              <w:left w:val="nil"/>
              <w:bottom w:val="nil"/>
              <w:right w:val="nil"/>
            </w:tcBorders>
            <w:shd w:val="clear" w:color="000000" w:fill="FFFFFF"/>
            <w:noWrap/>
            <w:vAlign w:val="bottom"/>
          </w:tcPr>
          <w:p w14:paraId="4FFA8793" w14:textId="074D91B9"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-21.1%</w:t>
            </w:r>
          </w:p>
        </w:tc>
        <w:tc>
          <w:tcPr>
            <w:tcW w:w="584" w:type="dxa"/>
            <w:gridSpan w:val="2"/>
            <w:tcBorders>
              <w:top w:val="nil"/>
              <w:left w:val="nil"/>
              <w:bottom w:val="nil"/>
              <w:right w:val="nil"/>
            </w:tcBorders>
            <w:shd w:val="clear" w:color="000000" w:fill="FFFFFF"/>
            <w:noWrap/>
            <w:vAlign w:val="bottom"/>
          </w:tcPr>
          <w:p w14:paraId="592FEB31" w14:textId="45DC1842"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0.158</w:t>
            </w:r>
          </w:p>
        </w:tc>
        <w:tc>
          <w:tcPr>
            <w:tcW w:w="82" w:type="dxa"/>
            <w:gridSpan w:val="2"/>
            <w:tcBorders>
              <w:top w:val="nil"/>
              <w:left w:val="nil"/>
              <w:bottom w:val="nil"/>
              <w:right w:val="nil"/>
            </w:tcBorders>
            <w:shd w:val="clear" w:color="000000" w:fill="FFFFFF"/>
            <w:noWrap/>
            <w:vAlign w:val="bottom"/>
          </w:tcPr>
          <w:p w14:paraId="1E5E9A02" w14:textId="279B82B4"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E470516" w14:textId="13F20E5B"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7.0</w:t>
            </w:r>
          </w:p>
        </w:tc>
        <w:tc>
          <w:tcPr>
            <w:tcW w:w="798" w:type="dxa"/>
            <w:gridSpan w:val="2"/>
            <w:tcBorders>
              <w:top w:val="nil"/>
              <w:left w:val="nil"/>
              <w:bottom w:val="nil"/>
              <w:right w:val="nil"/>
            </w:tcBorders>
            <w:shd w:val="clear" w:color="000000" w:fill="FFFFFF"/>
            <w:noWrap/>
            <w:vAlign w:val="bottom"/>
          </w:tcPr>
          <w:p w14:paraId="759AE5F8" w14:textId="481D802A"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7.8</w:t>
            </w:r>
          </w:p>
        </w:tc>
        <w:tc>
          <w:tcPr>
            <w:tcW w:w="500" w:type="dxa"/>
            <w:tcBorders>
              <w:top w:val="nil"/>
              <w:left w:val="nil"/>
              <w:bottom w:val="nil"/>
              <w:right w:val="nil"/>
            </w:tcBorders>
            <w:shd w:val="clear" w:color="000000" w:fill="FFFFFF"/>
            <w:noWrap/>
            <w:vAlign w:val="bottom"/>
          </w:tcPr>
          <w:p w14:paraId="52755826" w14:textId="2ECAB38F"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7.0</w:t>
            </w:r>
          </w:p>
        </w:tc>
        <w:tc>
          <w:tcPr>
            <w:tcW w:w="757" w:type="dxa"/>
            <w:gridSpan w:val="2"/>
            <w:tcBorders>
              <w:top w:val="nil"/>
              <w:left w:val="nil"/>
              <w:bottom w:val="nil"/>
              <w:right w:val="nil"/>
            </w:tcBorders>
            <w:shd w:val="clear" w:color="000000" w:fill="FFFFFF"/>
            <w:noWrap/>
            <w:vAlign w:val="bottom"/>
          </w:tcPr>
          <w:p w14:paraId="7AC389C9" w14:textId="315748C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7.8</w:t>
            </w:r>
          </w:p>
        </w:tc>
        <w:tc>
          <w:tcPr>
            <w:tcW w:w="728" w:type="dxa"/>
            <w:tcBorders>
              <w:top w:val="nil"/>
              <w:left w:val="nil"/>
              <w:bottom w:val="nil"/>
              <w:right w:val="nil"/>
            </w:tcBorders>
            <w:shd w:val="clear" w:color="000000" w:fill="FFFFFF"/>
            <w:noWrap/>
            <w:vAlign w:val="bottom"/>
          </w:tcPr>
          <w:p w14:paraId="3A89D802" w14:textId="7C907766"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0.1%</w:t>
            </w:r>
          </w:p>
        </w:tc>
        <w:tc>
          <w:tcPr>
            <w:tcW w:w="619" w:type="dxa"/>
            <w:gridSpan w:val="2"/>
            <w:tcBorders>
              <w:top w:val="nil"/>
              <w:left w:val="nil"/>
              <w:bottom w:val="nil"/>
              <w:right w:val="nil"/>
            </w:tcBorders>
            <w:shd w:val="clear" w:color="000000" w:fill="FFFFFF"/>
            <w:noWrap/>
            <w:vAlign w:val="bottom"/>
          </w:tcPr>
          <w:p w14:paraId="5530A575" w14:textId="4D417439"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0.991</w:t>
            </w:r>
          </w:p>
        </w:tc>
      </w:tr>
      <w:tr w:rsidR="00C2204F" w:rsidRPr="00EA3957" w14:paraId="6E7E64DC" w14:textId="77777777" w:rsidTr="00C2204F">
        <w:trPr>
          <w:trHeight w:val="288"/>
        </w:trPr>
        <w:tc>
          <w:tcPr>
            <w:tcW w:w="1710" w:type="dxa"/>
            <w:tcBorders>
              <w:top w:val="nil"/>
              <w:left w:val="nil"/>
              <w:bottom w:val="nil"/>
              <w:right w:val="nil"/>
            </w:tcBorders>
            <w:shd w:val="clear" w:color="000000" w:fill="FFFFFF"/>
            <w:noWrap/>
            <w:vAlign w:val="bottom"/>
            <w:hideMark/>
          </w:tcPr>
          <w:p w14:paraId="628F27A9" w14:textId="77777777" w:rsidR="00C2204F" w:rsidRPr="00EA3957" w:rsidRDefault="00C2204F" w:rsidP="00C2204F">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28F16F17" w14:textId="63148566"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951</w:t>
            </w:r>
          </w:p>
        </w:tc>
        <w:tc>
          <w:tcPr>
            <w:tcW w:w="630" w:type="dxa"/>
            <w:gridSpan w:val="2"/>
            <w:tcBorders>
              <w:top w:val="nil"/>
              <w:left w:val="nil"/>
              <w:bottom w:val="nil"/>
              <w:right w:val="nil"/>
            </w:tcBorders>
            <w:shd w:val="clear" w:color="000000" w:fill="FFFFFF"/>
            <w:noWrap/>
            <w:vAlign w:val="bottom"/>
          </w:tcPr>
          <w:p w14:paraId="513F8006" w14:textId="254E79F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1778</w:t>
            </w:r>
          </w:p>
        </w:tc>
        <w:tc>
          <w:tcPr>
            <w:tcW w:w="99" w:type="dxa"/>
            <w:gridSpan w:val="2"/>
            <w:tcBorders>
              <w:top w:val="nil"/>
              <w:left w:val="nil"/>
              <w:bottom w:val="nil"/>
              <w:right w:val="nil"/>
            </w:tcBorders>
            <w:shd w:val="clear" w:color="000000" w:fill="FFFFFF"/>
            <w:noWrap/>
            <w:vAlign w:val="bottom"/>
          </w:tcPr>
          <w:p w14:paraId="0C1F48A4" w14:textId="4EA9BF63" w:rsidR="00C2204F" w:rsidRPr="00EA3957" w:rsidRDefault="00C2204F" w:rsidP="00C2204F">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732629E" w14:textId="61201DD1"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$452</w:t>
            </w:r>
          </w:p>
        </w:tc>
        <w:tc>
          <w:tcPr>
            <w:tcW w:w="711" w:type="dxa"/>
            <w:gridSpan w:val="2"/>
            <w:tcBorders>
              <w:top w:val="nil"/>
              <w:left w:val="nil"/>
              <w:bottom w:val="nil"/>
              <w:right w:val="nil"/>
            </w:tcBorders>
            <w:shd w:val="clear" w:color="000000" w:fill="FFFFFF"/>
            <w:noWrap/>
            <w:vAlign w:val="bottom"/>
          </w:tcPr>
          <w:p w14:paraId="52FE133A" w14:textId="2824C78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$423</w:t>
            </w:r>
          </w:p>
        </w:tc>
        <w:tc>
          <w:tcPr>
            <w:tcW w:w="662" w:type="dxa"/>
            <w:tcBorders>
              <w:top w:val="nil"/>
              <w:left w:val="nil"/>
              <w:bottom w:val="nil"/>
              <w:right w:val="nil"/>
            </w:tcBorders>
            <w:shd w:val="clear" w:color="000000" w:fill="FFFFFF"/>
            <w:noWrap/>
            <w:vAlign w:val="bottom"/>
          </w:tcPr>
          <w:p w14:paraId="78346B03" w14:textId="2606348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$553</w:t>
            </w:r>
          </w:p>
        </w:tc>
        <w:tc>
          <w:tcPr>
            <w:tcW w:w="711" w:type="dxa"/>
            <w:gridSpan w:val="2"/>
            <w:tcBorders>
              <w:top w:val="nil"/>
              <w:left w:val="nil"/>
              <w:bottom w:val="nil"/>
              <w:right w:val="nil"/>
            </w:tcBorders>
            <w:shd w:val="clear" w:color="000000" w:fill="FFFFFF"/>
            <w:noWrap/>
            <w:vAlign w:val="bottom"/>
          </w:tcPr>
          <w:p w14:paraId="0DFA5538" w14:textId="571A976E"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$531</w:t>
            </w:r>
          </w:p>
        </w:tc>
        <w:tc>
          <w:tcPr>
            <w:tcW w:w="728" w:type="dxa"/>
            <w:tcBorders>
              <w:top w:val="nil"/>
              <w:left w:val="nil"/>
              <w:bottom w:val="nil"/>
              <w:right w:val="nil"/>
            </w:tcBorders>
            <w:shd w:val="clear" w:color="000000" w:fill="FFFFFF"/>
            <w:noWrap/>
            <w:vAlign w:val="bottom"/>
          </w:tcPr>
          <w:p w14:paraId="57A3F406" w14:textId="3230361F" w:rsidR="00C2204F" w:rsidRPr="00EA3957" w:rsidRDefault="00C2204F" w:rsidP="00C2204F">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-2.6%</w:t>
            </w:r>
          </w:p>
        </w:tc>
        <w:tc>
          <w:tcPr>
            <w:tcW w:w="584" w:type="dxa"/>
            <w:gridSpan w:val="2"/>
            <w:tcBorders>
              <w:top w:val="nil"/>
              <w:left w:val="nil"/>
              <w:bottom w:val="nil"/>
              <w:right w:val="nil"/>
            </w:tcBorders>
            <w:shd w:val="clear" w:color="000000" w:fill="FFFFFF"/>
            <w:noWrap/>
            <w:vAlign w:val="bottom"/>
          </w:tcPr>
          <w:p w14:paraId="47D56A3D" w14:textId="7E9910F5" w:rsidR="00C2204F" w:rsidRPr="00EA3957" w:rsidRDefault="00C2204F" w:rsidP="00C2204F">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0.720</w:t>
            </w:r>
          </w:p>
        </w:tc>
        <w:tc>
          <w:tcPr>
            <w:tcW w:w="82" w:type="dxa"/>
            <w:gridSpan w:val="2"/>
            <w:tcBorders>
              <w:top w:val="nil"/>
              <w:left w:val="nil"/>
              <w:bottom w:val="nil"/>
              <w:right w:val="nil"/>
            </w:tcBorders>
            <w:shd w:val="clear" w:color="000000" w:fill="FFFFFF"/>
            <w:noWrap/>
            <w:vAlign w:val="bottom"/>
          </w:tcPr>
          <w:p w14:paraId="61597AC1" w14:textId="512C9511"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0C71ABA" w14:textId="365F9600"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12.5</w:t>
            </w:r>
          </w:p>
        </w:tc>
        <w:tc>
          <w:tcPr>
            <w:tcW w:w="798" w:type="dxa"/>
            <w:gridSpan w:val="2"/>
            <w:tcBorders>
              <w:top w:val="nil"/>
              <w:left w:val="nil"/>
              <w:bottom w:val="nil"/>
              <w:right w:val="nil"/>
            </w:tcBorders>
            <w:shd w:val="clear" w:color="000000" w:fill="FFFFFF"/>
            <w:noWrap/>
            <w:vAlign w:val="bottom"/>
          </w:tcPr>
          <w:p w14:paraId="31591887" w14:textId="0C0A5C43"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12.5</w:t>
            </w:r>
          </w:p>
        </w:tc>
        <w:tc>
          <w:tcPr>
            <w:tcW w:w="500" w:type="dxa"/>
            <w:tcBorders>
              <w:top w:val="nil"/>
              <w:left w:val="nil"/>
              <w:bottom w:val="nil"/>
              <w:right w:val="nil"/>
            </w:tcBorders>
            <w:shd w:val="clear" w:color="000000" w:fill="FFFFFF"/>
            <w:noWrap/>
            <w:vAlign w:val="bottom"/>
          </w:tcPr>
          <w:p w14:paraId="420ECD68" w14:textId="04823D27"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14.2</w:t>
            </w:r>
          </w:p>
        </w:tc>
        <w:tc>
          <w:tcPr>
            <w:tcW w:w="757" w:type="dxa"/>
            <w:gridSpan w:val="2"/>
            <w:tcBorders>
              <w:top w:val="nil"/>
              <w:left w:val="nil"/>
              <w:bottom w:val="nil"/>
              <w:right w:val="nil"/>
            </w:tcBorders>
            <w:shd w:val="clear" w:color="000000" w:fill="FFFFFF"/>
            <w:noWrap/>
            <w:vAlign w:val="bottom"/>
          </w:tcPr>
          <w:p w14:paraId="4CEAEADE" w14:textId="1370A73C" w:rsidR="00C2204F" w:rsidRPr="00EA3957" w:rsidRDefault="00C2204F" w:rsidP="00C2204F">
            <w:pPr>
              <w:spacing w:after="0" w:line="240" w:lineRule="auto"/>
              <w:jc w:val="center"/>
              <w:rPr>
                <w:rFonts w:ascii="Calibri" w:eastAsia="Times New Roman" w:hAnsi="Calibri" w:cs="Times New Roman"/>
                <w:sz w:val="16"/>
                <w:szCs w:val="16"/>
              </w:rPr>
            </w:pPr>
            <w:r>
              <w:rPr>
                <w:rFonts w:ascii="Calibri" w:hAnsi="Calibri"/>
                <w:sz w:val="16"/>
                <w:szCs w:val="16"/>
              </w:rPr>
              <w:t>13.5</w:t>
            </w:r>
          </w:p>
        </w:tc>
        <w:tc>
          <w:tcPr>
            <w:tcW w:w="728" w:type="dxa"/>
            <w:tcBorders>
              <w:top w:val="nil"/>
              <w:left w:val="nil"/>
              <w:bottom w:val="nil"/>
              <w:right w:val="nil"/>
            </w:tcBorders>
            <w:shd w:val="clear" w:color="000000" w:fill="FFFFFF"/>
            <w:noWrap/>
            <w:vAlign w:val="bottom"/>
          </w:tcPr>
          <w:p w14:paraId="6B41298D" w14:textId="63CC66C3" w:rsidR="00C2204F" w:rsidRPr="00EA3957" w:rsidRDefault="00C2204F" w:rsidP="00C2204F">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5.7%</w:t>
            </w:r>
          </w:p>
        </w:tc>
        <w:tc>
          <w:tcPr>
            <w:tcW w:w="619" w:type="dxa"/>
            <w:gridSpan w:val="2"/>
            <w:tcBorders>
              <w:top w:val="nil"/>
              <w:left w:val="nil"/>
              <w:bottom w:val="nil"/>
              <w:right w:val="nil"/>
            </w:tcBorders>
            <w:shd w:val="clear" w:color="000000" w:fill="FFFFFF"/>
            <w:noWrap/>
            <w:vAlign w:val="bottom"/>
          </w:tcPr>
          <w:p w14:paraId="3DE3FD6F" w14:textId="338F28FF" w:rsidR="00C2204F" w:rsidRPr="00EA3957" w:rsidRDefault="00C2204F" w:rsidP="00C2204F">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0.075</w:t>
            </w:r>
          </w:p>
        </w:tc>
      </w:tr>
    </w:tbl>
    <w:p w14:paraId="3128223A" w14:textId="6BB5E14F" w:rsidR="00203C73" w:rsidRDefault="00203C73" w:rsidP="00711477">
      <w:pPr>
        <w:spacing w:line="240" w:lineRule="auto"/>
        <w:rPr>
          <w:b/>
        </w:rPr>
      </w:pPr>
    </w:p>
    <w:p w14:paraId="03705A7A" w14:textId="5906EBE9" w:rsidR="006C5A87" w:rsidRDefault="00C2204F" w:rsidP="00A109CB">
      <w:pPr>
        <w:spacing w:line="240" w:lineRule="auto"/>
        <w:rPr>
          <w:sz w:val="18"/>
          <w:szCs w:val="20"/>
        </w:rPr>
      </w:pPr>
      <w:r w:rsidRPr="00C2204F">
        <w:rPr>
          <w:sz w:val="18"/>
          <w:szCs w:val="20"/>
        </w:rPr>
        <w:t>Abbreviations: HDHP, high deductible health plan; HSA, health savings account, PDL, Preventive Drug List</w:t>
      </w:r>
      <w:r w:rsidR="006C5A87">
        <w:rPr>
          <w:sz w:val="18"/>
          <w:szCs w:val="20"/>
        </w:rPr>
        <w:t>.</w:t>
      </w:r>
      <w:r w:rsidRPr="00C2204F">
        <w:rPr>
          <w:sz w:val="18"/>
          <w:szCs w:val="20"/>
        </w:rPr>
        <w:t xml:space="preserve">  </w:t>
      </w:r>
    </w:p>
    <w:p w14:paraId="110F8B8F" w14:textId="3EBD2282" w:rsidR="00C2204F" w:rsidRDefault="00C2204F" w:rsidP="00A109CB">
      <w:pPr>
        <w:spacing w:line="240" w:lineRule="auto"/>
        <w:rPr>
          <w:sz w:val="18"/>
          <w:szCs w:val="20"/>
        </w:rPr>
      </w:pPr>
      <w:r w:rsidRPr="00C2204F">
        <w:rPr>
          <w:sz w:val="18"/>
          <w:szCs w:val="20"/>
        </w:rPr>
        <w:t xml:space="preserve">* Rate per 100 person </w:t>
      </w:r>
      <w:proofErr w:type="gramStart"/>
      <w:r w:rsidRPr="00C2204F">
        <w:rPr>
          <w:sz w:val="18"/>
          <w:szCs w:val="20"/>
        </w:rPr>
        <w:t xml:space="preserve">years;  </w:t>
      </w:r>
      <w:r>
        <w:rPr>
          <w:sz w:val="18"/>
          <w:szCs w:val="20"/>
        </w:rPr>
        <w:t>*</w:t>
      </w:r>
      <w:proofErr w:type="gramEnd"/>
      <w:r>
        <w:rPr>
          <w:sz w:val="18"/>
          <w:szCs w:val="20"/>
        </w:rPr>
        <w:t xml:space="preserve">* no insulin users in the </w:t>
      </w:r>
      <w:proofErr w:type="spellStart"/>
      <w:r>
        <w:rPr>
          <w:sz w:val="18"/>
          <w:szCs w:val="20"/>
        </w:rPr>
        <w:t>nonsevere</w:t>
      </w:r>
      <w:proofErr w:type="spellEnd"/>
      <w:r>
        <w:rPr>
          <w:sz w:val="18"/>
          <w:szCs w:val="20"/>
        </w:rPr>
        <w:t xml:space="preserve"> class by definition; </w:t>
      </w:r>
      <w:r w:rsidRPr="00C2204F">
        <w:rPr>
          <w:sz w:val="18"/>
          <w:szCs w:val="20"/>
        </w:rPr>
        <w:t xml:space="preserve">&amp; marginal estimates from adjusted difference in difference regression models; &amp;&amp; </w:t>
      </w:r>
      <w:r>
        <w:rPr>
          <w:sz w:val="18"/>
          <w:szCs w:val="20"/>
        </w:rPr>
        <w:t>S</w:t>
      </w:r>
      <w:r w:rsidRPr="00C2204F">
        <w:rPr>
          <w:sz w:val="18"/>
          <w:szCs w:val="20"/>
        </w:rPr>
        <w:t xml:space="preserve">ubgroups separately matched; </w:t>
      </w:r>
      <w:r w:rsidRPr="00C2204F">
        <w:rPr>
          <w:b/>
          <w:sz w:val="18"/>
          <w:szCs w:val="20"/>
        </w:rPr>
        <w:t>Bold</w:t>
      </w:r>
      <w:r w:rsidRPr="00C2204F">
        <w:rPr>
          <w:sz w:val="18"/>
          <w:szCs w:val="20"/>
        </w:rPr>
        <w:t xml:space="preserve"> = p-value &lt;=0.05</w:t>
      </w:r>
    </w:p>
    <w:p w14:paraId="05F187F5" w14:textId="77777777" w:rsidR="00C2204F" w:rsidRDefault="00C2204F">
      <w:pPr>
        <w:spacing w:after="160" w:line="259" w:lineRule="auto"/>
        <w:rPr>
          <w:sz w:val="18"/>
          <w:szCs w:val="20"/>
        </w:rPr>
      </w:pPr>
      <w:r>
        <w:rPr>
          <w:sz w:val="18"/>
          <w:szCs w:val="20"/>
        </w:rPr>
        <w:br w:type="page"/>
      </w:r>
    </w:p>
    <w:p w14:paraId="413D190D" w14:textId="241CF50C" w:rsidR="00711477" w:rsidRDefault="00711477" w:rsidP="00711477">
      <w:pPr>
        <w:spacing w:line="240" w:lineRule="auto"/>
        <w:rPr>
          <w:b/>
        </w:rPr>
      </w:pPr>
      <w:r w:rsidRPr="008F59BB">
        <w:rPr>
          <w:b/>
        </w:rPr>
        <w:lastRenderedPageBreak/>
        <w:t>SDC Table 6b</w:t>
      </w:r>
      <w:r w:rsidR="00095A9D">
        <w:rPr>
          <w:b/>
        </w:rPr>
        <w:t>.</w:t>
      </w:r>
      <w:r>
        <w:rPr>
          <w:b/>
        </w:rPr>
        <w:t xml:space="preserve"> Number </w:t>
      </w:r>
      <w:r w:rsidRPr="00EC1BB6">
        <w:rPr>
          <w:b/>
        </w:rPr>
        <w:t xml:space="preserve">of baseline users, </w:t>
      </w:r>
      <w:r>
        <w:rPr>
          <w:b/>
        </w:rPr>
        <w:t>out-of-pocket spending</w:t>
      </w:r>
      <w:r w:rsidR="00C179D6">
        <w:rPr>
          <w:b/>
        </w:rPr>
        <w:t>,</w:t>
      </w:r>
      <w:r>
        <w:rPr>
          <w:b/>
        </w:rPr>
        <w:t xml:space="preserve"> </w:t>
      </w:r>
      <w:r w:rsidRPr="00EC1BB6">
        <w:rPr>
          <w:b/>
        </w:rPr>
        <w:t xml:space="preserve">number of </w:t>
      </w:r>
      <w:r>
        <w:rPr>
          <w:b/>
        </w:rPr>
        <w:t xml:space="preserve">30-day </w:t>
      </w:r>
      <w:r w:rsidRPr="00EC1BB6">
        <w:rPr>
          <w:b/>
        </w:rPr>
        <w:t>fills, and relative adjusted difference in difference</w:t>
      </w:r>
      <w:r>
        <w:rPr>
          <w:b/>
        </w:rPr>
        <w:t xml:space="preserve">, </w:t>
      </w:r>
      <w:r w:rsidRPr="00EC1BB6">
        <w:rPr>
          <w:b/>
        </w:rPr>
        <w:t xml:space="preserve">by study group </w:t>
      </w:r>
      <w:r>
        <w:rPr>
          <w:b/>
        </w:rPr>
        <w:t>(severe diabetes, white</w:t>
      </w:r>
      <w:r w:rsidR="00BB3DD5">
        <w:rPr>
          <w:b/>
        </w:rPr>
        <w:t xml:space="preserve"> neighborhoods</w:t>
      </w:r>
      <w:r>
        <w:rPr>
          <w:b/>
        </w:rPr>
        <w:t xml:space="preserve">, non-white neighborhoods) </w:t>
      </w:r>
      <w:r w:rsidR="00BB3DD5" w:rsidRPr="00EC1BB6">
        <w:rPr>
          <w:b/>
        </w:rPr>
        <w:t>and therapeutic class</w:t>
      </w:r>
    </w:p>
    <w:tbl>
      <w:tblPr>
        <w:tblW w:w="10931" w:type="dxa"/>
        <w:tblLayout w:type="fixed"/>
        <w:tblCellMar>
          <w:left w:w="29" w:type="dxa"/>
          <w:right w:w="29" w:type="dxa"/>
        </w:tblCellMar>
        <w:tblLook w:val="04A0" w:firstRow="1" w:lastRow="0" w:firstColumn="1" w:lastColumn="0" w:noHBand="0" w:noVBand="1"/>
      </w:tblPr>
      <w:tblGrid>
        <w:gridCol w:w="1710"/>
        <w:gridCol w:w="450"/>
        <w:gridCol w:w="624"/>
        <w:gridCol w:w="6"/>
        <w:gridCol w:w="93"/>
        <w:gridCol w:w="6"/>
        <w:gridCol w:w="662"/>
        <w:gridCol w:w="705"/>
        <w:gridCol w:w="6"/>
        <w:gridCol w:w="662"/>
        <w:gridCol w:w="705"/>
        <w:gridCol w:w="6"/>
        <w:gridCol w:w="728"/>
        <w:gridCol w:w="578"/>
        <w:gridCol w:w="6"/>
        <w:gridCol w:w="76"/>
        <w:gridCol w:w="6"/>
        <w:gridCol w:w="500"/>
        <w:gridCol w:w="792"/>
        <w:gridCol w:w="6"/>
        <w:gridCol w:w="500"/>
        <w:gridCol w:w="751"/>
        <w:gridCol w:w="6"/>
        <w:gridCol w:w="728"/>
        <w:gridCol w:w="613"/>
        <w:gridCol w:w="6"/>
      </w:tblGrid>
      <w:tr w:rsidR="006C5A87" w:rsidRPr="00EA3957" w14:paraId="6A73C3F5" w14:textId="77777777" w:rsidTr="00244009">
        <w:trPr>
          <w:gridAfter w:val="1"/>
          <w:wAfter w:w="6" w:type="dxa"/>
          <w:trHeight w:val="288"/>
        </w:trPr>
        <w:tc>
          <w:tcPr>
            <w:tcW w:w="1710" w:type="dxa"/>
            <w:tcBorders>
              <w:top w:val="nil"/>
              <w:left w:val="nil"/>
              <w:bottom w:val="nil"/>
              <w:right w:val="nil"/>
            </w:tcBorders>
            <w:shd w:val="clear" w:color="000000" w:fill="FFFFFF"/>
            <w:noWrap/>
            <w:vAlign w:val="bottom"/>
            <w:hideMark/>
          </w:tcPr>
          <w:p w14:paraId="22BA486A"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1074" w:type="dxa"/>
            <w:gridSpan w:val="2"/>
            <w:vMerge w:val="restart"/>
            <w:tcBorders>
              <w:top w:val="nil"/>
              <w:left w:val="nil"/>
              <w:bottom w:val="nil"/>
              <w:right w:val="nil"/>
            </w:tcBorders>
            <w:shd w:val="clear" w:color="000000" w:fill="FFFFFF"/>
            <w:vAlign w:val="bottom"/>
            <w:hideMark/>
          </w:tcPr>
          <w:p w14:paraId="5F78CA45"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xml:space="preserve">Number of Baseline users </w:t>
            </w:r>
          </w:p>
        </w:tc>
        <w:tc>
          <w:tcPr>
            <w:tcW w:w="99" w:type="dxa"/>
            <w:gridSpan w:val="2"/>
            <w:tcBorders>
              <w:top w:val="nil"/>
              <w:left w:val="nil"/>
              <w:bottom w:val="nil"/>
              <w:right w:val="nil"/>
            </w:tcBorders>
            <w:shd w:val="clear" w:color="000000" w:fill="FFFFFF"/>
            <w:noWrap/>
            <w:vAlign w:val="bottom"/>
            <w:hideMark/>
          </w:tcPr>
          <w:p w14:paraId="37F4A903"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4058" w:type="dxa"/>
            <w:gridSpan w:val="9"/>
            <w:tcBorders>
              <w:top w:val="nil"/>
              <w:left w:val="nil"/>
              <w:bottom w:val="single" w:sz="4" w:space="0" w:color="auto"/>
              <w:right w:val="nil"/>
            </w:tcBorders>
            <w:shd w:val="clear" w:color="000000" w:fill="FFFFFF"/>
            <w:noWrap/>
            <w:vAlign w:val="bottom"/>
            <w:hideMark/>
          </w:tcPr>
          <w:p w14:paraId="400499CD"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Total OOP (CPI-adjusted)</w:t>
            </w:r>
          </w:p>
        </w:tc>
        <w:tc>
          <w:tcPr>
            <w:tcW w:w="82" w:type="dxa"/>
            <w:gridSpan w:val="2"/>
            <w:tcBorders>
              <w:top w:val="nil"/>
              <w:left w:val="nil"/>
              <w:bottom w:val="nil"/>
              <w:right w:val="nil"/>
            </w:tcBorders>
            <w:shd w:val="clear" w:color="000000" w:fill="FFFFFF"/>
            <w:noWrap/>
            <w:vAlign w:val="bottom"/>
            <w:hideMark/>
          </w:tcPr>
          <w:p w14:paraId="0B8D32C7"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3902" w:type="dxa"/>
            <w:gridSpan w:val="9"/>
            <w:tcBorders>
              <w:top w:val="nil"/>
              <w:left w:val="nil"/>
              <w:bottom w:val="single" w:sz="4" w:space="0" w:color="auto"/>
              <w:right w:val="nil"/>
            </w:tcBorders>
            <w:shd w:val="clear" w:color="000000" w:fill="FFFFFF"/>
            <w:noWrap/>
            <w:vAlign w:val="bottom"/>
            <w:hideMark/>
          </w:tcPr>
          <w:p w14:paraId="42E1C5F3"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30d fills per year</w:t>
            </w:r>
          </w:p>
        </w:tc>
      </w:tr>
      <w:tr w:rsidR="006C5A87" w:rsidRPr="00EA3957" w14:paraId="4E60FD08" w14:textId="77777777" w:rsidTr="00244009">
        <w:trPr>
          <w:gridAfter w:val="1"/>
          <w:wAfter w:w="6" w:type="dxa"/>
          <w:trHeight w:val="72"/>
        </w:trPr>
        <w:tc>
          <w:tcPr>
            <w:tcW w:w="1710" w:type="dxa"/>
            <w:tcBorders>
              <w:top w:val="nil"/>
              <w:left w:val="nil"/>
              <w:bottom w:val="nil"/>
              <w:right w:val="nil"/>
            </w:tcBorders>
            <w:shd w:val="clear" w:color="000000" w:fill="FFFFFF"/>
            <w:noWrap/>
            <w:vAlign w:val="bottom"/>
            <w:hideMark/>
          </w:tcPr>
          <w:p w14:paraId="76316F2F"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1074" w:type="dxa"/>
            <w:gridSpan w:val="2"/>
            <w:vMerge/>
            <w:tcBorders>
              <w:top w:val="nil"/>
              <w:left w:val="nil"/>
              <w:bottom w:val="nil"/>
              <w:right w:val="nil"/>
            </w:tcBorders>
            <w:vAlign w:val="center"/>
            <w:hideMark/>
          </w:tcPr>
          <w:p w14:paraId="61834E77" w14:textId="77777777" w:rsidR="006C5A87" w:rsidRPr="00EA3957" w:rsidRDefault="006C5A87" w:rsidP="00244009">
            <w:pPr>
              <w:spacing w:after="0" w:line="240" w:lineRule="auto"/>
              <w:rPr>
                <w:rFonts w:ascii="Calibri" w:eastAsia="Times New Roman" w:hAnsi="Calibri" w:cs="Times New Roman"/>
                <w:b/>
                <w:bCs/>
                <w:sz w:val="16"/>
                <w:szCs w:val="16"/>
              </w:rPr>
            </w:pPr>
          </w:p>
        </w:tc>
        <w:tc>
          <w:tcPr>
            <w:tcW w:w="99" w:type="dxa"/>
            <w:gridSpan w:val="2"/>
            <w:tcBorders>
              <w:top w:val="nil"/>
              <w:left w:val="nil"/>
              <w:bottom w:val="nil"/>
              <w:right w:val="nil"/>
            </w:tcBorders>
            <w:shd w:val="clear" w:color="000000" w:fill="FFFFFF"/>
            <w:vAlign w:val="bottom"/>
            <w:hideMark/>
          </w:tcPr>
          <w:p w14:paraId="056616C2" w14:textId="77777777" w:rsidR="006C5A87" w:rsidRPr="00EA3957" w:rsidRDefault="006C5A87" w:rsidP="00244009">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1373" w:type="dxa"/>
            <w:gridSpan w:val="3"/>
            <w:tcBorders>
              <w:top w:val="nil"/>
              <w:left w:val="nil"/>
              <w:bottom w:val="nil"/>
              <w:right w:val="nil"/>
            </w:tcBorders>
            <w:shd w:val="clear" w:color="000000" w:fill="FFFFFF"/>
            <w:vAlign w:val="bottom"/>
            <w:hideMark/>
          </w:tcPr>
          <w:p w14:paraId="3883B6B1"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Baseline</w:t>
            </w:r>
          </w:p>
        </w:tc>
        <w:tc>
          <w:tcPr>
            <w:tcW w:w="1373" w:type="dxa"/>
            <w:gridSpan w:val="3"/>
            <w:tcBorders>
              <w:top w:val="nil"/>
              <w:left w:val="nil"/>
              <w:bottom w:val="nil"/>
              <w:right w:val="nil"/>
            </w:tcBorders>
            <w:shd w:val="clear" w:color="000000" w:fill="FFFFFF"/>
            <w:vAlign w:val="bottom"/>
            <w:hideMark/>
          </w:tcPr>
          <w:p w14:paraId="30047034"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Follow-up</w:t>
            </w:r>
          </w:p>
        </w:tc>
        <w:tc>
          <w:tcPr>
            <w:tcW w:w="1312" w:type="dxa"/>
            <w:gridSpan w:val="3"/>
            <w:tcBorders>
              <w:top w:val="nil"/>
              <w:left w:val="nil"/>
              <w:bottom w:val="nil"/>
              <w:right w:val="nil"/>
            </w:tcBorders>
            <w:shd w:val="clear" w:color="000000" w:fill="FFFFFF"/>
            <w:vAlign w:val="bottom"/>
            <w:hideMark/>
          </w:tcPr>
          <w:p w14:paraId="355154CE"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Relative change &amp;</w:t>
            </w:r>
          </w:p>
        </w:tc>
        <w:tc>
          <w:tcPr>
            <w:tcW w:w="82" w:type="dxa"/>
            <w:gridSpan w:val="2"/>
            <w:tcBorders>
              <w:top w:val="nil"/>
              <w:left w:val="nil"/>
              <w:bottom w:val="nil"/>
              <w:right w:val="nil"/>
            </w:tcBorders>
            <w:shd w:val="clear" w:color="000000" w:fill="FFFFFF"/>
            <w:vAlign w:val="bottom"/>
            <w:hideMark/>
          </w:tcPr>
          <w:p w14:paraId="0C2F3B7B"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1298" w:type="dxa"/>
            <w:gridSpan w:val="3"/>
            <w:tcBorders>
              <w:top w:val="nil"/>
              <w:left w:val="nil"/>
              <w:bottom w:val="nil"/>
              <w:right w:val="nil"/>
            </w:tcBorders>
            <w:shd w:val="clear" w:color="000000" w:fill="FFFFFF"/>
            <w:vAlign w:val="bottom"/>
            <w:hideMark/>
          </w:tcPr>
          <w:p w14:paraId="0B098C98"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Baseline</w:t>
            </w:r>
          </w:p>
        </w:tc>
        <w:tc>
          <w:tcPr>
            <w:tcW w:w="1257" w:type="dxa"/>
            <w:gridSpan w:val="3"/>
            <w:tcBorders>
              <w:top w:val="nil"/>
              <w:left w:val="nil"/>
              <w:bottom w:val="nil"/>
              <w:right w:val="nil"/>
            </w:tcBorders>
            <w:shd w:val="clear" w:color="000000" w:fill="FFFFFF"/>
            <w:vAlign w:val="bottom"/>
            <w:hideMark/>
          </w:tcPr>
          <w:p w14:paraId="08634B75"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Follow-up</w:t>
            </w:r>
          </w:p>
        </w:tc>
        <w:tc>
          <w:tcPr>
            <w:tcW w:w="1347" w:type="dxa"/>
            <w:gridSpan w:val="3"/>
            <w:tcBorders>
              <w:top w:val="nil"/>
              <w:left w:val="nil"/>
              <w:bottom w:val="nil"/>
              <w:right w:val="nil"/>
            </w:tcBorders>
            <w:shd w:val="clear" w:color="000000" w:fill="FFFFFF"/>
            <w:vAlign w:val="bottom"/>
            <w:hideMark/>
          </w:tcPr>
          <w:p w14:paraId="64528FBC"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Relative change &amp;</w:t>
            </w:r>
          </w:p>
        </w:tc>
      </w:tr>
      <w:tr w:rsidR="006C5A87" w:rsidRPr="00EA3957" w14:paraId="096BB5A2" w14:textId="77777777" w:rsidTr="00244009">
        <w:trPr>
          <w:trHeight w:val="288"/>
        </w:trPr>
        <w:tc>
          <w:tcPr>
            <w:tcW w:w="1710" w:type="dxa"/>
            <w:tcBorders>
              <w:top w:val="nil"/>
              <w:left w:val="nil"/>
              <w:bottom w:val="nil"/>
              <w:right w:val="nil"/>
            </w:tcBorders>
            <w:shd w:val="clear" w:color="000000" w:fill="FFFFFF"/>
            <w:noWrap/>
            <w:vAlign w:val="bottom"/>
            <w:hideMark/>
          </w:tcPr>
          <w:p w14:paraId="79D7FEA9"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450" w:type="dxa"/>
            <w:tcBorders>
              <w:top w:val="nil"/>
              <w:left w:val="nil"/>
              <w:bottom w:val="single" w:sz="4" w:space="0" w:color="auto"/>
              <w:right w:val="nil"/>
            </w:tcBorders>
            <w:shd w:val="clear" w:color="000000" w:fill="FFFFFF"/>
            <w:noWrap/>
            <w:vAlign w:val="bottom"/>
            <w:hideMark/>
          </w:tcPr>
          <w:p w14:paraId="6E5182AB" w14:textId="77777777" w:rsidR="006C5A87" w:rsidRPr="00EA3957" w:rsidRDefault="006C5A87" w:rsidP="00244009">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630" w:type="dxa"/>
            <w:gridSpan w:val="2"/>
            <w:tcBorders>
              <w:top w:val="nil"/>
              <w:left w:val="nil"/>
              <w:bottom w:val="single" w:sz="4" w:space="0" w:color="auto"/>
              <w:right w:val="nil"/>
            </w:tcBorders>
            <w:shd w:val="clear" w:color="000000" w:fill="FFFFFF"/>
            <w:noWrap/>
            <w:vAlign w:val="bottom"/>
            <w:hideMark/>
          </w:tcPr>
          <w:p w14:paraId="480EBBE7" w14:textId="77777777" w:rsidR="006C5A87" w:rsidRPr="00EA3957" w:rsidRDefault="006C5A87" w:rsidP="00244009">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99" w:type="dxa"/>
            <w:gridSpan w:val="2"/>
            <w:tcBorders>
              <w:top w:val="nil"/>
              <w:left w:val="nil"/>
              <w:bottom w:val="nil"/>
              <w:right w:val="nil"/>
            </w:tcBorders>
            <w:shd w:val="clear" w:color="000000" w:fill="FFFFFF"/>
            <w:noWrap/>
            <w:vAlign w:val="bottom"/>
            <w:hideMark/>
          </w:tcPr>
          <w:p w14:paraId="784B6867" w14:textId="77777777" w:rsidR="006C5A87" w:rsidRPr="00EA3957" w:rsidRDefault="006C5A87" w:rsidP="00244009">
            <w:pPr>
              <w:spacing w:after="0" w:line="240" w:lineRule="auto"/>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662" w:type="dxa"/>
            <w:tcBorders>
              <w:top w:val="nil"/>
              <w:left w:val="nil"/>
              <w:bottom w:val="single" w:sz="4" w:space="0" w:color="auto"/>
              <w:right w:val="nil"/>
            </w:tcBorders>
            <w:shd w:val="clear" w:color="000000" w:fill="FFFFFF"/>
            <w:noWrap/>
            <w:vAlign w:val="bottom"/>
            <w:hideMark/>
          </w:tcPr>
          <w:p w14:paraId="7FF12F4D"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11" w:type="dxa"/>
            <w:gridSpan w:val="2"/>
            <w:tcBorders>
              <w:top w:val="nil"/>
              <w:left w:val="nil"/>
              <w:bottom w:val="single" w:sz="4" w:space="0" w:color="auto"/>
              <w:right w:val="nil"/>
            </w:tcBorders>
            <w:shd w:val="clear" w:color="000000" w:fill="FFFFFF"/>
            <w:noWrap/>
            <w:vAlign w:val="bottom"/>
            <w:hideMark/>
          </w:tcPr>
          <w:p w14:paraId="62B08EC9"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662" w:type="dxa"/>
            <w:tcBorders>
              <w:top w:val="nil"/>
              <w:left w:val="nil"/>
              <w:bottom w:val="single" w:sz="4" w:space="0" w:color="auto"/>
              <w:right w:val="nil"/>
            </w:tcBorders>
            <w:shd w:val="clear" w:color="000000" w:fill="FFFFFF"/>
            <w:noWrap/>
            <w:vAlign w:val="bottom"/>
            <w:hideMark/>
          </w:tcPr>
          <w:p w14:paraId="2A62B1ED"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11" w:type="dxa"/>
            <w:gridSpan w:val="2"/>
            <w:tcBorders>
              <w:top w:val="nil"/>
              <w:left w:val="nil"/>
              <w:bottom w:val="single" w:sz="4" w:space="0" w:color="auto"/>
              <w:right w:val="nil"/>
            </w:tcBorders>
            <w:shd w:val="clear" w:color="000000" w:fill="FFFFFF"/>
            <w:noWrap/>
            <w:vAlign w:val="bottom"/>
            <w:hideMark/>
          </w:tcPr>
          <w:p w14:paraId="2750A312"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728" w:type="dxa"/>
            <w:tcBorders>
              <w:top w:val="nil"/>
              <w:left w:val="nil"/>
              <w:bottom w:val="single" w:sz="4" w:space="0" w:color="auto"/>
              <w:right w:val="nil"/>
            </w:tcBorders>
            <w:shd w:val="clear" w:color="000000" w:fill="FFFFFF"/>
            <w:vAlign w:val="bottom"/>
            <w:hideMark/>
          </w:tcPr>
          <w:p w14:paraId="5B8CB870"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Percent</w:t>
            </w:r>
          </w:p>
        </w:tc>
        <w:tc>
          <w:tcPr>
            <w:tcW w:w="584" w:type="dxa"/>
            <w:gridSpan w:val="2"/>
            <w:tcBorders>
              <w:top w:val="nil"/>
              <w:left w:val="nil"/>
              <w:bottom w:val="single" w:sz="4" w:space="0" w:color="auto"/>
              <w:right w:val="nil"/>
            </w:tcBorders>
            <w:shd w:val="clear" w:color="000000" w:fill="FFFFFF"/>
            <w:noWrap/>
            <w:vAlign w:val="bottom"/>
            <w:hideMark/>
          </w:tcPr>
          <w:p w14:paraId="408C84CB"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p-value</w:t>
            </w:r>
          </w:p>
        </w:tc>
        <w:tc>
          <w:tcPr>
            <w:tcW w:w="82" w:type="dxa"/>
            <w:gridSpan w:val="2"/>
            <w:tcBorders>
              <w:top w:val="nil"/>
              <w:left w:val="nil"/>
              <w:bottom w:val="nil"/>
              <w:right w:val="nil"/>
            </w:tcBorders>
            <w:shd w:val="clear" w:color="000000" w:fill="FFFFFF"/>
            <w:noWrap/>
            <w:vAlign w:val="bottom"/>
            <w:hideMark/>
          </w:tcPr>
          <w:p w14:paraId="69CF2CFF"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 </w:t>
            </w:r>
          </w:p>
        </w:tc>
        <w:tc>
          <w:tcPr>
            <w:tcW w:w="500" w:type="dxa"/>
            <w:tcBorders>
              <w:top w:val="nil"/>
              <w:left w:val="nil"/>
              <w:bottom w:val="single" w:sz="4" w:space="0" w:color="auto"/>
              <w:right w:val="nil"/>
            </w:tcBorders>
            <w:shd w:val="clear" w:color="000000" w:fill="FFFFFF"/>
            <w:noWrap/>
            <w:vAlign w:val="bottom"/>
            <w:hideMark/>
          </w:tcPr>
          <w:p w14:paraId="4BFE16E4"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98" w:type="dxa"/>
            <w:gridSpan w:val="2"/>
            <w:tcBorders>
              <w:top w:val="nil"/>
              <w:left w:val="nil"/>
              <w:bottom w:val="single" w:sz="4" w:space="0" w:color="auto"/>
              <w:right w:val="nil"/>
            </w:tcBorders>
            <w:shd w:val="clear" w:color="000000" w:fill="FFFFFF"/>
            <w:noWrap/>
            <w:vAlign w:val="bottom"/>
            <w:hideMark/>
          </w:tcPr>
          <w:p w14:paraId="6DC10403"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500" w:type="dxa"/>
            <w:tcBorders>
              <w:top w:val="nil"/>
              <w:left w:val="nil"/>
              <w:bottom w:val="single" w:sz="4" w:space="0" w:color="auto"/>
              <w:right w:val="nil"/>
            </w:tcBorders>
            <w:shd w:val="clear" w:color="000000" w:fill="FFFFFF"/>
            <w:noWrap/>
            <w:vAlign w:val="bottom"/>
            <w:hideMark/>
          </w:tcPr>
          <w:p w14:paraId="20C3E978"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PDL</w:t>
            </w:r>
          </w:p>
        </w:tc>
        <w:tc>
          <w:tcPr>
            <w:tcW w:w="757" w:type="dxa"/>
            <w:gridSpan w:val="2"/>
            <w:tcBorders>
              <w:top w:val="nil"/>
              <w:left w:val="nil"/>
              <w:bottom w:val="single" w:sz="4" w:space="0" w:color="auto"/>
              <w:right w:val="nil"/>
            </w:tcBorders>
            <w:shd w:val="clear" w:color="000000" w:fill="FFFFFF"/>
            <w:noWrap/>
            <w:vAlign w:val="bottom"/>
            <w:hideMark/>
          </w:tcPr>
          <w:p w14:paraId="16E0562C"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Control</w:t>
            </w:r>
          </w:p>
        </w:tc>
        <w:tc>
          <w:tcPr>
            <w:tcW w:w="728" w:type="dxa"/>
            <w:tcBorders>
              <w:top w:val="nil"/>
              <w:left w:val="nil"/>
              <w:bottom w:val="single" w:sz="4" w:space="0" w:color="auto"/>
              <w:right w:val="nil"/>
            </w:tcBorders>
            <w:shd w:val="clear" w:color="000000" w:fill="FFFFFF"/>
            <w:vAlign w:val="bottom"/>
            <w:hideMark/>
          </w:tcPr>
          <w:p w14:paraId="37568497"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Percent</w:t>
            </w:r>
          </w:p>
        </w:tc>
        <w:tc>
          <w:tcPr>
            <w:tcW w:w="619" w:type="dxa"/>
            <w:gridSpan w:val="2"/>
            <w:tcBorders>
              <w:top w:val="nil"/>
              <w:left w:val="nil"/>
              <w:bottom w:val="single" w:sz="4" w:space="0" w:color="auto"/>
              <w:right w:val="nil"/>
            </w:tcBorders>
            <w:shd w:val="clear" w:color="000000" w:fill="FFFFFF"/>
            <w:noWrap/>
            <w:vAlign w:val="bottom"/>
            <w:hideMark/>
          </w:tcPr>
          <w:p w14:paraId="0D296DF3" w14:textId="77777777" w:rsidR="006C5A87" w:rsidRPr="00EA3957" w:rsidRDefault="006C5A87" w:rsidP="00244009">
            <w:pPr>
              <w:spacing w:after="0" w:line="240" w:lineRule="auto"/>
              <w:jc w:val="center"/>
              <w:rPr>
                <w:rFonts w:ascii="Calibri" w:eastAsia="Times New Roman" w:hAnsi="Calibri" w:cs="Times New Roman"/>
                <w:b/>
                <w:bCs/>
                <w:sz w:val="16"/>
                <w:szCs w:val="16"/>
              </w:rPr>
            </w:pPr>
            <w:r w:rsidRPr="00EA3957">
              <w:rPr>
                <w:rFonts w:ascii="Calibri" w:eastAsia="Times New Roman" w:hAnsi="Calibri" w:cs="Times New Roman"/>
                <w:b/>
                <w:bCs/>
                <w:sz w:val="16"/>
                <w:szCs w:val="16"/>
              </w:rPr>
              <w:t>p-value</w:t>
            </w:r>
          </w:p>
        </w:tc>
      </w:tr>
      <w:tr w:rsidR="006C5A87" w:rsidRPr="00EA3957" w14:paraId="3E10A93C" w14:textId="77777777" w:rsidTr="00244009">
        <w:trPr>
          <w:trHeight w:val="288"/>
        </w:trPr>
        <w:tc>
          <w:tcPr>
            <w:tcW w:w="1710" w:type="dxa"/>
            <w:tcBorders>
              <w:top w:val="nil"/>
              <w:left w:val="nil"/>
              <w:bottom w:val="nil"/>
              <w:right w:val="nil"/>
            </w:tcBorders>
            <w:shd w:val="clear" w:color="000000" w:fill="FFFFFF"/>
            <w:noWrap/>
            <w:vAlign w:val="bottom"/>
            <w:hideMark/>
          </w:tcPr>
          <w:p w14:paraId="0423BDBB" w14:textId="3D0D9BDF" w:rsidR="006C5A87" w:rsidRPr="00C2204F" w:rsidRDefault="006C5A87" w:rsidP="00244009">
            <w:pPr>
              <w:spacing w:after="0" w:line="240" w:lineRule="auto"/>
              <w:rPr>
                <w:rFonts w:ascii="Calibri" w:eastAsia="Times New Roman" w:hAnsi="Calibri"/>
                <w:b/>
                <w:bCs/>
                <w:sz w:val="16"/>
                <w:szCs w:val="16"/>
                <w:u w:val="single"/>
              </w:rPr>
            </w:pPr>
            <w:r>
              <w:rPr>
                <w:rFonts w:ascii="Calibri" w:hAnsi="Calibri"/>
                <w:b/>
                <w:bCs/>
                <w:sz w:val="16"/>
                <w:szCs w:val="16"/>
                <w:u w:val="single"/>
              </w:rPr>
              <w:t>Severe diabetes &amp;&amp;</w:t>
            </w:r>
          </w:p>
        </w:tc>
        <w:tc>
          <w:tcPr>
            <w:tcW w:w="450" w:type="dxa"/>
            <w:tcBorders>
              <w:top w:val="nil"/>
              <w:left w:val="nil"/>
              <w:bottom w:val="nil"/>
              <w:right w:val="nil"/>
            </w:tcBorders>
            <w:shd w:val="clear" w:color="000000" w:fill="FFFFFF"/>
            <w:noWrap/>
            <w:vAlign w:val="bottom"/>
            <w:hideMark/>
          </w:tcPr>
          <w:p w14:paraId="6A32530C"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30" w:type="dxa"/>
            <w:gridSpan w:val="2"/>
            <w:tcBorders>
              <w:top w:val="nil"/>
              <w:left w:val="nil"/>
              <w:bottom w:val="nil"/>
              <w:right w:val="nil"/>
            </w:tcBorders>
            <w:shd w:val="clear" w:color="000000" w:fill="FFFFFF"/>
            <w:noWrap/>
            <w:vAlign w:val="bottom"/>
            <w:hideMark/>
          </w:tcPr>
          <w:p w14:paraId="27A8E254"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99" w:type="dxa"/>
            <w:gridSpan w:val="2"/>
            <w:tcBorders>
              <w:top w:val="nil"/>
              <w:left w:val="nil"/>
              <w:bottom w:val="nil"/>
              <w:right w:val="nil"/>
            </w:tcBorders>
            <w:shd w:val="clear" w:color="000000" w:fill="FFFFFF"/>
            <w:noWrap/>
            <w:vAlign w:val="bottom"/>
            <w:hideMark/>
          </w:tcPr>
          <w:p w14:paraId="14FF8ABB"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2A79F616"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23E26EC7"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62" w:type="dxa"/>
            <w:tcBorders>
              <w:top w:val="nil"/>
              <w:left w:val="nil"/>
              <w:bottom w:val="nil"/>
              <w:right w:val="nil"/>
            </w:tcBorders>
            <w:shd w:val="clear" w:color="000000" w:fill="FFFFFF"/>
            <w:noWrap/>
            <w:vAlign w:val="bottom"/>
            <w:hideMark/>
          </w:tcPr>
          <w:p w14:paraId="40C09864"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11" w:type="dxa"/>
            <w:gridSpan w:val="2"/>
            <w:tcBorders>
              <w:top w:val="nil"/>
              <w:left w:val="nil"/>
              <w:bottom w:val="nil"/>
              <w:right w:val="nil"/>
            </w:tcBorders>
            <w:shd w:val="clear" w:color="000000" w:fill="FFFFFF"/>
            <w:noWrap/>
            <w:vAlign w:val="bottom"/>
            <w:hideMark/>
          </w:tcPr>
          <w:p w14:paraId="37A314D6"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06632DC9"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84" w:type="dxa"/>
            <w:gridSpan w:val="2"/>
            <w:tcBorders>
              <w:top w:val="nil"/>
              <w:left w:val="nil"/>
              <w:bottom w:val="nil"/>
              <w:right w:val="nil"/>
            </w:tcBorders>
            <w:shd w:val="clear" w:color="000000" w:fill="FFFFFF"/>
            <w:noWrap/>
            <w:vAlign w:val="bottom"/>
            <w:hideMark/>
          </w:tcPr>
          <w:p w14:paraId="25E03BE8"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82" w:type="dxa"/>
            <w:gridSpan w:val="2"/>
            <w:tcBorders>
              <w:top w:val="nil"/>
              <w:left w:val="nil"/>
              <w:bottom w:val="nil"/>
              <w:right w:val="nil"/>
            </w:tcBorders>
            <w:shd w:val="clear" w:color="000000" w:fill="FFFFFF"/>
            <w:noWrap/>
            <w:vAlign w:val="bottom"/>
            <w:hideMark/>
          </w:tcPr>
          <w:p w14:paraId="2666FC7D"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57F10CA5"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98" w:type="dxa"/>
            <w:gridSpan w:val="2"/>
            <w:tcBorders>
              <w:top w:val="nil"/>
              <w:left w:val="nil"/>
              <w:bottom w:val="nil"/>
              <w:right w:val="nil"/>
            </w:tcBorders>
            <w:shd w:val="clear" w:color="000000" w:fill="FFFFFF"/>
            <w:noWrap/>
            <w:vAlign w:val="bottom"/>
            <w:hideMark/>
          </w:tcPr>
          <w:p w14:paraId="557EE97C"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500" w:type="dxa"/>
            <w:tcBorders>
              <w:top w:val="nil"/>
              <w:left w:val="nil"/>
              <w:bottom w:val="nil"/>
              <w:right w:val="nil"/>
            </w:tcBorders>
            <w:shd w:val="clear" w:color="000000" w:fill="FFFFFF"/>
            <w:noWrap/>
            <w:vAlign w:val="bottom"/>
            <w:hideMark/>
          </w:tcPr>
          <w:p w14:paraId="00D02832"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57" w:type="dxa"/>
            <w:gridSpan w:val="2"/>
            <w:tcBorders>
              <w:top w:val="nil"/>
              <w:left w:val="nil"/>
              <w:bottom w:val="nil"/>
              <w:right w:val="nil"/>
            </w:tcBorders>
            <w:shd w:val="clear" w:color="000000" w:fill="FFFFFF"/>
            <w:noWrap/>
            <w:vAlign w:val="bottom"/>
            <w:hideMark/>
          </w:tcPr>
          <w:p w14:paraId="4CA2BA17"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728" w:type="dxa"/>
            <w:tcBorders>
              <w:top w:val="nil"/>
              <w:left w:val="nil"/>
              <w:bottom w:val="nil"/>
              <w:right w:val="nil"/>
            </w:tcBorders>
            <w:shd w:val="clear" w:color="000000" w:fill="FFFFFF"/>
            <w:noWrap/>
            <w:vAlign w:val="bottom"/>
            <w:hideMark/>
          </w:tcPr>
          <w:p w14:paraId="19C9D97A"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c>
          <w:tcPr>
            <w:tcW w:w="619" w:type="dxa"/>
            <w:gridSpan w:val="2"/>
            <w:tcBorders>
              <w:top w:val="nil"/>
              <w:left w:val="nil"/>
              <w:bottom w:val="nil"/>
              <w:right w:val="nil"/>
            </w:tcBorders>
            <w:shd w:val="clear" w:color="000000" w:fill="FFFFFF"/>
            <w:noWrap/>
            <w:vAlign w:val="bottom"/>
            <w:hideMark/>
          </w:tcPr>
          <w:p w14:paraId="6FA8E972" w14:textId="77777777" w:rsidR="006C5A87" w:rsidRPr="00EA3957" w:rsidRDefault="006C5A87" w:rsidP="00244009">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 </w:t>
            </w:r>
          </w:p>
        </w:tc>
      </w:tr>
      <w:tr w:rsidR="008F59BB" w:rsidRPr="00EA3957" w14:paraId="2957F9C8" w14:textId="77777777" w:rsidTr="00244009">
        <w:trPr>
          <w:trHeight w:val="288"/>
        </w:trPr>
        <w:tc>
          <w:tcPr>
            <w:tcW w:w="1710" w:type="dxa"/>
            <w:tcBorders>
              <w:top w:val="nil"/>
              <w:left w:val="nil"/>
              <w:bottom w:val="nil"/>
              <w:right w:val="nil"/>
            </w:tcBorders>
            <w:shd w:val="clear" w:color="000000" w:fill="FFFFFF"/>
            <w:noWrap/>
            <w:vAlign w:val="bottom"/>
            <w:hideMark/>
          </w:tcPr>
          <w:p w14:paraId="20392F27"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4CD2A22A" w14:textId="10F645E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557</w:t>
            </w:r>
          </w:p>
        </w:tc>
        <w:tc>
          <w:tcPr>
            <w:tcW w:w="630" w:type="dxa"/>
            <w:gridSpan w:val="2"/>
            <w:tcBorders>
              <w:top w:val="nil"/>
              <w:left w:val="nil"/>
              <w:bottom w:val="nil"/>
              <w:right w:val="nil"/>
            </w:tcBorders>
            <w:shd w:val="clear" w:color="000000" w:fill="FFFFFF"/>
            <w:noWrap/>
            <w:vAlign w:val="bottom"/>
          </w:tcPr>
          <w:p w14:paraId="47A40B89" w14:textId="52E3CB0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1010</w:t>
            </w:r>
          </w:p>
        </w:tc>
        <w:tc>
          <w:tcPr>
            <w:tcW w:w="99" w:type="dxa"/>
            <w:gridSpan w:val="2"/>
            <w:tcBorders>
              <w:top w:val="nil"/>
              <w:left w:val="nil"/>
              <w:bottom w:val="nil"/>
              <w:right w:val="nil"/>
            </w:tcBorders>
            <w:shd w:val="clear" w:color="000000" w:fill="FFFFFF"/>
            <w:noWrap/>
            <w:vAlign w:val="bottom"/>
          </w:tcPr>
          <w:p w14:paraId="7B5B5E48" w14:textId="07F1139B"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B3CF659" w14:textId="4689D40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$1,624</w:t>
            </w:r>
          </w:p>
        </w:tc>
        <w:tc>
          <w:tcPr>
            <w:tcW w:w="711" w:type="dxa"/>
            <w:gridSpan w:val="2"/>
            <w:tcBorders>
              <w:top w:val="nil"/>
              <w:left w:val="nil"/>
              <w:bottom w:val="nil"/>
              <w:right w:val="nil"/>
            </w:tcBorders>
            <w:shd w:val="clear" w:color="000000" w:fill="FFFFFF"/>
            <w:noWrap/>
            <w:vAlign w:val="bottom"/>
          </w:tcPr>
          <w:p w14:paraId="6CC3C0D2" w14:textId="309835F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$1,687</w:t>
            </w:r>
          </w:p>
        </w:tc>
        <w:tc>
          <w:tcPr>
            <w:tcW w:w="662" w:type="dxa"/>
            <w:tcBorders>
              <w:top w:val="nil"/>
              <w:left w:val="nil"/>
              <w:bottom w:val="nil"/>
              <w:right w:val="nil"/>
            </w:tcBorders>
            <w:shd w:val="clear" w:color="000000" w:fill="FFFFFF"/>
            <w:noWrap/>
            <w:vAlign w:val="bottom"/>
          </w:tcPr>
          <w:p w14:paraId="2CC9284F" w14:textId="5A5BE0C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$1,138</w:t>
            </w:r>
          </w:p>
        </w:tc>
        <w:tc>
          <w:tcPr>
            <w:tcW w:w="711" w:type="dxa"/>
            <w:gridSpan w:val="2"/>
            <w:tcBorders>
              <w:top w:val="nil"/>
              <w:left w:val="nil"/>
              <w:bottom w:val="nil"/>
              <w:right w:val="nil"/>
            </w:tcBorders>
            <w:shd w:val="clear" w:color="000000" w:fill="FFFFFF"/>
            <w:noWrap/>
            <w:vAlign w:val="bottom"/>
          </w:tcPr>
          <w:p w14:paraId="3C1C2775" w14:textId="11CB498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$2,140</w:t>
            </w:r>
          </w:p>
        </w:tc>
        <w:tc>
          <w:tcPr>
            <w:tcW w:w="728" w:type="dxa"/>
            <w:tcBorders>
              <w:top w:val="nil"/>
              <w:left w:val="nil"/>
              <w:bottom w:val="nil"/>
              <w:right w:val="nil"/>
            </w:tcBorders>
            <w:shd w:val="clear" w:color="000000" w:fill="FFFFFF"/>
            <w:noWrap/>
            <w:vAlign w:val="bottom"/>
          </w:tcPr>
          <w:p w14:paraId="1F22754B" w14:textId="3ECF7C1B"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-44.8%</w:t>
            </w:r>
          </w:p>
        </w:tc>
        <w:tc>
          <w:tcPr>
            <w:tcW w:w="584" w:type="dxa"/>
            <w:gridSpan w:val="2"/>
            <w:tcBorders>
              <w:top w:val="nil"/>
              <w:left w:val="nil"/>
              <w:bottom w:val="nil"/>
              <w:right w:val="nil"/>
            </w:tcBorders>
            <w:shd w:val="clear" w:color="000000" w:fill="FFFFFF"/>
            <w:noWrap/>
            <w:vAlign w:val="bottom"/>
          </w:tcPr>
          <w:p w14:paraId="07FA8428" w14:textId="38D8F206"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30ACB811" w14:textId="75C99E5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6D1E2D3A" w14:textId="52CBE7A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64.7</w:t>
            </w:r>
          </w:p>
        </w:tc>
        <w:tc>
          <w:tcPr>
            <w:tcW w:w="798" w:type="dxa"/>
            <w:gridSpan w:val="2"/>
            <w:tcBorders>
              <w:top w:val="nil"/>
              <w:left w:val="nil"/>
              <w:bottom w:val="nil"/>
              <w:right w:val="nil"/>
            </w:tcBorders>
            <w:shd w:val="clear" w:color="000000" w:fill="FFFFFF"/>
            <w:noWrap/>
            <w:vAlign w:val="bottom"/>
          </w:tcPr>
          <w:p w14:paraId="39BA0E18" w14:textId="7383350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64.1</w:t>
            </w:r>
          </w:p>
        </w:tc>
        <w:tc>
          <w:tcPr>
            <w:tcW w:w="500" w:type="dxa"/>
            <w:tcBorders>
              <w:top w:val="nil"/>
              <w:left w:val="nil"/>
              <w:bottom w:val="nil"/>
              <w:right w:val="nil"/>
            </w:tcBorders>
            <w:shd w:val="clear" w:color="000000" w:fill="FFFFFF"/>
            <w:noWrap/>
            <w:vAlign w:val="bottom"/>
          </w:tcPr>
          <w:p w14:paraId="31BB8AA8" w14:textId="0B9555D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75.3</w:t>
            </w:r>
          </w:p>
        </w:tc>
        <w:tc>
          <w:tcPr>
            <w:tcW w:w="757" w:type="dxa"/>
            <w:gridSpan w:val="2"/>
            <w:tcBorders>
              <w:top w:val="nil"/>
              <w:left w:val="nil"/>
              <w:bottom w:val="nil"/>
              <w:right w:val="nil"/>
            </w:tcBorders>
            <w:shd w:val="clear" w:color="000000" w:fill="FFFFFF"/>
            <w:noWrap/>
            <w:vAlign w:val="bottom"/>
          </w:tcPr>
          <w:p w14:paraId="02C32401" w14:textId="7B09B62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65.7</w:t>
            </w:r>
          </w:p>
        </w:tc>
        <w:tc>
          <w:tcPr>
            <w:tcW w:w="728" w:type="dxa"/>
            <w:tcBorders>
              <w:top w:val="nil"/>
              <w:left w:val="nil"/>
              <w:bottom w:val="nil"/>
              <w:right w:val="nil"/>
            </w:tcBorders>
            <w:shd w:val="clear" w:color="000000" w:fill="FFFFFF"/>
            <w:noWrap/>
            <w:vAlign w:val="bottom"/>
          </w:tcPr>
          <w:p w14:paraId="1348ED18" w14:textId="3E9DA26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13.5%</w:t>
            </w:r>
          </w:p>
        </w:tc>
        <w:tc>
          <w:tcPr>
            <w:tcW w:w="619" w:type="dxa"/>
            <w:gridSpan w:val="2"/>
            <w:tcBorders>
              <w:top w:val="nil"/>
              <w:left w:val="nil"/>
              <w:bottom w:val="nil"/>
              <w:right w:val="nil"/>
            </w:tcBorders>
            <w:shd w:val="clear" w:color="000000" w:fill="FFFFFF"/>
            <w:noWrap/>
            <w:vAlign w:val="bottom"/>
          </w:tcPr>
          <w:p w14:paraId="6FBC6412" w14:textId="406B1D4F"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8F59BB" w:rsidRPr="00EA3957" w14:paraId="72F32BCC" w14:textId="77777777" w:rsidTr="00244009">
        <w:trPr>
          <w:trHeight w:val="288"/>
        </w:trPr>
        <w:tc>
          <w:tcPr>
            <w:tcW w:w="1710" w:type="dxa"/>
            <w:tcBorders>
              <w:top w:val="nil"/>
              <w:left w:val="nil"/>
              <w:bottom w:val="nil"/>
              <w:right w:val="nil"/>
            </w:tcBorders>
            <w:shd w:val="clear" w:color="000000" w:fill="FFFFFF"/>
            <w:noWrap/>
            <w:vAlign w:val="bottom"/>
            <w:hideMark/>
          </w:tcPr>
          <w:p w14:paraId="2F162F38"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011E4EB7" w14:textId="685030C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355</w:t>
            </w:r>
          </w:p>
        </w:tc>
        <w:tc>
          <w:tcPr>
            <w:tcW w:w="630" w:type="dxa"/>
            <w:gridSpan w:val="2"/>
            <w:tcBorders>
              <w:top w:val="nil"/>
              <w:left w:val="nil"/>
              <w:bottom w:val="nil"/>
              <w:right w:val="nil"/>
            </w:tcBorders>
            <w:shd w:val="clear" w:color="000000" w:fill="FFFFFF"/>
            <w:noWrap/>
            <w:vAlign w:val="bottom"/>
          </w:tcPr>
          <w:p w14:paraId="02BE6E05" w14:textId="676BE3E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665</w:t>
            </w:r>
          </w:p>
        </w:tc>
        <w:tc>
          <w:tcPr>
            <w:tcW w:w="99" w:type="dxa"/>
            <w:gridSpan w:val="2"/>
            <w:tcBorders>
              <w:top w:val="nil"/>
              <w:left w:val="nil"/>
              <w:bottom w:val="nil"/>
              <w:right w:val="nil"/>
            </w:tcBorders>
            <w:shd w:val="clear" w:color="000000" w:fill="FFFFFF"/>
            <w:noWrap/>
            <w:vAlign w:val="bottom"/>
          </w:tcPr>
          <w:p w14:paraId="5E8F5762" w14:textId="31143705"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C183E54" w14:textId="6F8F839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$516</w:t>
            </w:r>
          </w:p>
        </w:tc>
        <w:tc>
          <w:tcPr>
            <w:tcW w:w="711" w:type="dxa"/>
            <w:gridSpan w:val="2"/>
            <w:tcBorders>
              <w:top w:val="nil"/>
              <w:left w:val="nil"/>
              <w:bottom w:val="nil"/>
              <w:right w:val="nil"/>
            </w:tcBorders>
            <w:shd w:val="clear" w:color="000000" w:fill="FFFFFF"/>
            <w:noWrap/>
            <w:vAlign w:val="bottom"/>
          </w:tcPr>
          <w:p w14:paraId="091BE114" w14:textId="6FB7603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$591</w:t>
            </w:r>
          </w:p>
        </w:tc>
        <w:tc>
          <w:tcPr>
            <w:tcW w:w="662" w:type="dxa"/>
            <w:tcBorders>
              <w:top w:val="nil"/>
              <w:left w:val="nil"/>
              <w:bottom w:val="nil"/>
              <w:right w:val="nil"/>
            </w:tcBorders>
            <w:shd w:val="clear" w:color="000000" w:fill="FFFFFF"/>
            <w:noWrap/>
            <w:vAlign w:val="bottom"/>
          </w:tcPr>
          <w:p w14:paraId="0D967776" w14:textId="68F1FDD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$286</w:t>
            </w:r>
          </w:p>
        </w:tc>
        <w:tc>
          <w:tcPr>
            <w:tcW w:w="711" w:type="dxa"/>
            <w:gridSpan w:val="2"/>
            <w:tcBorders>
              <w:top w:val="nil"/>
              <w:left w:val="nil"/>
              <w:bottom w:val="nil"/>
              <w:right w:val="nil"/>
            </w:tcBorders>
            <w:shd w:val="clear" w:color="000000" w:fill="FFFFFF"/>
            <w:noWrap/>
            <w:vAlign w:val="bottom"/>
          </w:tcPr>
          <w:p w14:paraId="6071B060" w14:textId="26A4B47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$657</w:t>
            </w:r>
          </w:p>
        </w:tc>
        <w:tc>
          <w:tcPr>
            <w:tcW w:w="728" w:type="dxa"/>
            <w:tcBorders>
              <w:top w:val="nil"/>
              <w:left w:val="nil"/>
              <w:bottom w:val="nil"/>
              <w:right w:val="nil"/>
            </w:tcBorders>
            <w:shd w:val="clear" w:color="000000" w:fill="FFFFFF"/>
            <w:noWrap/>
            <w:vAlign w:val="bottom"/>
          </w:tcPr>
          <w:p w14:paraId="048829CC" w14:textId="17AC2761"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-50.1%</w:t>
            </w:r>
          </w:p>
        </w:tc>
        <w:tc>
          <w:tcPr>
            <w:tcW w:w="584" w:type="dxa"/>
            <w:gridSpan w:val="2"/>
            <w:tcBorders>
              <w:top w:val="nil"/>
              <w:left w:val="nil"/>
              <w:bottom w:val="nil"/>
              <w:right w:val="nil"/>
            </w:tcBorders>
            <w:shd w:val="clear" w:color="000000" w:fill="FFFFFF"/>
            <w:noWrap/>
            <w:vAlign w:val="bottom"/>
          </w:tcPr>
          <w:p w14:paraId="76B81F31" w14:textId="426F682A"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091A1D3" w14:textId="46FBE86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DF9DB6B" w14:textId="490E91E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17.4</w:t>
            </w:r>
          </w:p>
        </w:tc>
        <w:tc>
          <w:tcPr>
            <w:tcW w:w="798" w:type="dxa"/>
            <w:gridSpan w:val="2"/>
            <w:tcBorders>
              <w:top w:val="nil"/>
              <w:left w:val="nil"/>
              <w:bottom w:val="nil"/>
              <w:right w:val="nil"/>
            </w:tcBorders>
            <w:shd w:val="clear" w:color="000000" w:fill="FFFFFF"/>
            <w:noWrap/>
            <w:vAlign w:val="bottom"/>
          </w:tcPr>
          <w:p w14:paraId="35636174" w14:textId="4F001B6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16.5</w:t>
            </w:r>
          </w:p>
        </w:tc>
        <w:tc>
          <w:tcPr>
            <w:tcW w:w="500" w:type="dxa"/>
            <w:tcBorders>
              <w:top w:val="nil"/>
              <w:left w:val="nil"/>
              <w:bottom w:val="nil"/>
              <w:right w:val="nil"/>
            </w:tcBorders>
            <w:shd w:val="clear" w:color="000000" w:fill="FFFFFF"/>
            <w:noWrap/>
            <w:vAlign w:val="bottom"/>
          </w:tcPr>
          <w:p w14:paraId="409E60DA" w14:textId="5227A85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19.1</w:t>
            </w:r>
          </w:p>
        </w:tc>
        <w:tc>
          <w:tcPr>
            <w:tcW w:w="757" w:type="dxa"/>
            <w:gridSpan w:val="2"/>
            <w:tcBorders>
              <w:top w:val="nil"/>
              <w:left w:val="nil"/>
              <w:bottom w:val="nil"/>
              <w:right w:val="nil"/>
            </w:tcBorders>
            <w:shd w:val="clear" w:color="000000" w:fill="FFFFFF"/>
            <w:noWrap/>
            <w:vAlign w:val="bottom"/>
          </w:tcPr>
          <w:p w14:paraId="16F67080" w14:textId="5670EED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15.8</w:t>
            </w:r>
          </w:p>
        </w:tc>
        <w:tc>
          <w:tcPr>
            <w:tcW w:w="728" w:type="dxa"/>
            <w:tcBorders>
              <w:top w:val="nil"/>
              <w:left w:val="nil"/>
              <w:bottom w:val="nil"/>
              <w:right w:val="nil"/>
            </w:tcBorders>
            <w:shd w:val="clear" w:color="000000" w:fill="FFFFFF"/>
            <w:noWrap/>
            <w:vAlign w:val="bottom"/>
          </w:tcPr>
          <w:p w14:paraId="0746A829" w14:textId="45885A0B"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14.2%</w:t>
            </w:r>
          </w:p>
        </w:tc>
        <w:tc>
          <w:tcPr>
            <w:tcW w:w="619" w:type="dxa"/>
            <w:gridSpan w:val="2"/>
            <w:tcBorders>
              <w:top w:val="nil"/>
              <w:left w:val="nil"/>
              <w:bottom w:val="nil"/>
              <w:right w:val="nil"/>
            </w:tcBorders>
            <w:shd w:val="clear" w:color="000000" w:fill="FFFFFF"/>
            <w:noWrap/>
            <w:vAlign w:val="bottom"/>
          </w:tcPr>
          <w:p w14:paraId="3CADCF36" w14:textId="1AF335F5"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0.001</w:t>
            </w:r>
          </w:p>
        </w:tc>
      </w:tr>
      <w:tr w:rsidR="008F59BB" w:rsidRPr="00EA3957" w14:paraId="15E1DBDB" w14:textId="77777777" w:rsidTr="00244009">
        <w:trPr>
          <w:trHeight w:val="288"/>
        </w:trPr>
        <w:tc>
          <w:tcPr>
            <w:tcW w:w="1710" w:type="dxa"/>
            <w:tcBorders>
              <w:top w:val="nil"/>
              <w:left w:val="nil"/>
              <w:bottom w:val="nil"/>
              <w:right w:val="nil"/>
            </w:tcBorders>
            <w:shd w:val="clear" w:color="000000" w:fill="FFFFFF"/>
            <w:noWrap/>
            <w:vAlign w:val="bottom"/>
            <w:hideMark/>
          </w:tcPr>
          <w:p w14:paraId="75E42180"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p>
        </w:tc>
        <w:tc>
          <w:tcPr>
            <w:tcW w:w="450" w:type="dxa"/>
            <w:tcBorders>
              <w:top w:val="nil"/>
              <w:left w:val="nil"/>
              <w:bottom w:val="nil"/>
              <w:right w:val="nil"/>
            </w:tcBorders>
            <w:shd w:val="clear" w:color="000000" w:fill="FFFFFF"/>
            <w:noWrap/>
            <w:vAlign w:val="bottom"/>
          </w:tcPr>
          <w:p w14:paraId="4BE61706" w14:textId="7F69C94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434</w:t>
            </w:r>
          </w:p>
        </w:tc>
        <w:tc>
          <w:tcPr>
            <w:tcW w:w="630" w:type="dxa"/>
            <w:gridSpan w:val="2"/>
            <w:tcBorders>
              <w:top w:val="nil"/>
              <w:left w:val="nil"/>
              <w:bottom w:val="nil"/>
              <w:right w:val="nil"/>
            </w:tcBorders>
            <w:shd w:val="clear" w:color="000000" w:fill="FFFFFF"/>
            <w:noWrap/>
            <w:vAlign w:val="bottom"/>
          </w:tcPr>
          <w:p w14:paraId="550E0DD5" w14:textId="185C6BE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741</w:t>
            </w:r>
          </w:p>
        </w:tc>
        <w:tc>
          <w:tcPr>
            <w:tcW w:w="99" w:type="dxa"/>
            <w:gridSpan w:val="2"/>
            <w:tcBorders>
              <w:top w:val="nil"/>
              <w:left w:val="nil"/>
              <w:bottom w:val="nil"/>
              <w:right w:val="nil"/>
            </w:tcBorders>
            <w:shd w:val="clear" w:color="000000" w:fill="FFFFFF"/>
            <w:noWrap/>
            <w:vAlign w:val="bottom"/>
          </w:tcPr>
          <w:p w14:paraId="17357741" w14:textId="2CA39FEF"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92CA80A" w14:textId="1C3B5DB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$696</w:t>
            </w:r>
          </w:p>
        </w:tc>
        <w:tc>
          <w:tcPr>
            <w:tcW w:w="711" w:type="dxa"/>
            <w:gridSpan w:val="2"/>
            <w:tcBorders>
              <w:top w:val="nil"/>
              <w:left w:val="nil"/>
              <w:bottom w:val="nil"/>
              <w:right w:val="nil"/>
            </w:tcBorders>
            <w:shd w:val="clear" w:color="000000" w:fill="FFFFFF"/>
            <w:noWrap/>
            <w:vAlign w:val="bottom"/>
          </w:tcPr>
          <w:p w14:paraId="41378703" w14:textId="2C869FF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$722</w:t>
            </w:r>
          </w:p>
        </w:tc>
        <w:tc>
          <w:tcPr>
            <w:tcW w:w="662" w:type="dxa"/>
            <w:tcBorders>
              <w:top w:val="nil"/>
              <w:left w:val="nil"/>
              <w:bottom w:val="nil"/>
              <w:right w:val="nil"/>
            </w:tcBorders>
            <w:shd w:val="clear" w:color="000000" w:fill="FFFFFF"/>
            <w:noWrap/>
            <w:vAlign w:val="bottom"/>
          </w:tcPr>
          <w:p w14:paraId="0A434FD7" w14:textId="43B40EA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$296</w:t>
            </w:r>
          </w:p>
        </w:tc>
        <w:tc>
          <w:tcPr>
            <w:tcW w:w="711" w:type="dxa"/>
            <w:gridSpan w:val="2"/>
            <w:tcBorders>
              <w:top w:val="nil"/>
              <w:left w:val="nil"/>
              <w:bottom w:val="nil"/>
              <w:right w:val="nil"/>
            </w:tcBorders>
            <w:shd w:val="clear" w:color="000000" w:fill="FFFFFF"/>
            <w:noWrap/>
            <w:vAlign w:val="bottom"/>
          </w:tcPr>
          <w:p w14:paraId="535AA519" w14:textId="6DA274B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$954</w:t>
            </w:r>
          </w:p>
        </w:tc>
        <w:tc>
          <w:tcPr>
            <w:tcW w:w="728" w:type="dxa"/>
            <w:tcBorders>
              <w:top w:val="nil"/>
              <w:left w:val="nil"/>
              <w:bottom w:val="nil"/>
              <w:right w:val="nil"/>
            </w:tcBorders>
            <w:shd w:val="clear" w:color="000000" w:fill="FFFFFF"/>
            <w:noWrap/>
            <w:vAlign w:val="bottom"/>
          </w:tcPr>
          <w:p w14:paraId="577CA08C" w14:textId="0C650AE5"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-67.7%</w:t>
            </w:r>
          </w:p>
        </w:tc>
        <w:tc>
          <w:tcPr>
            <w:tcW w:w="584" w:type="dxa"/>
            <w:gridSpan w:val="2"/>
            <w:tcBorders>
              <w:top w:val="nil"/>
              <w:left w:val="nil"/>
              <w:bottom w:val="nil"/>
              <w:right w:val="nil"/>
            </w:tcBorders>
            <w:shd w:val="clear" w:color="000000" w:fill="FFFFFF"/>
            <w:noWrap/>
            <w:vAlign w:val="bottom"/>
          </w:tcPr>
          <w:p w14:paraId="63280D59" w14:textId="1B5FA87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294FE27" w14:textId="3FCEBCB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8E6EA71" w14:textId="7929958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798" w:type="dxa"/>
            <w:gridSpan w:val="2"/>
            <w:tcBorders>
              <w:top w:val="nil"/>
              <w:left w:val="nil"/>
              <w:bottom w:val="nil"/>
              <w:right w:val="nil"/>
            </w:tcBorders>
            <w:shd w:val="clear" w:color="000000" w:fill="FFFFFF"/>
            <w:noWrap/>
            <w:vAlign w:val="bottom"/>
          </w:tcPr>
          <w:p w14:paraId="4DBCEDCE" w14:textId="4B5999C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500" w:type="dxa"/>
            <w:tcBorders>
              <w:top w:val="nil"/>
              <w:left w:val="nil"/>
              <w:bottom w:val="nil"/>
              <w:right w:val="nil"/>
            </w:tcBorders>
            <w:shd w:val="clear" w:color="000000" w:fill="FFFFFF"/>
            <w:noWrap/>
            <w:vAlign w:val="bottom"/>
          </w:tcPr>
          <w:p w14:paraId="63FBE24F" w14:textId="476E5E2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757" w:type="dxa"/>
            <w:gridSpan w:val="2"/>
            <w:tcBorders>
              <w:top w:val="nil"/>
              <w:left w:val="nil"/>
              <w:bottom w:val="nil"/>
              <w:right w:val="nil"/>
            </w:tcBorders>
            <w:shd w:val="clear" w:color="000000" w:fill="FFFFFF"/>
            <w:noWrap/>
            <w:vAlign w:val="bottom"/>
          </w:tcPr>
          <w:p w14:paraId="5125CECF" w14:textId="701F1B1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28" w:type="dxa"/>
            <w:tcBorders>
              <w:top w:val="nil"/>
              <w:left w:val="nil"/>
              <w:bottom w:val="nil"/>
              <w:right w:val="nil"/>
            </w:tcBorders>
            <w:shd w:val="clear" w:color="000000" w:fill="FFFFFF"/>
            <w:noWrap/>
            <w:vAlign w:val="bottom"/>
          </w:tcPr>
          <w:p w14:paraId="327BBA6F" w14:textId="745E42A6"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9.1%</w:t>
            </w:r>
          </w:p>
        </w:tc>
        <w:tc>
          <w:tcPr>
            <w:tcW w:w="619" w:type="dxa"/>
            <w:gridSpan w:val="2"/>
            <w:tcBorders>
              <w:top w:val="nil"/>
              <w:left w:val="nil"/>
              <w:bottom w:val="nil"/>
              <w:right w:val="nil"/>
            </w:tcBorders>
            <w:shd w:val="clear" w:color="000000" w:fill="FFFFFF"/>
            <w:noWrap/>
            <w:vAlign w:val="bottom"/>
          </w:tcPr>
          <w:p w14:paraId="4FAC08FE" w14:textId="5F2FD4A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0.015</w:t>
            </w:r>
          </w:p>
        </w:tc>
      </w:tr>
      <w:tr w:rsidR="008F59BB" w:rsidRPr="00EA3957" w14:paraId="22DC897E" w14:textId="77777777" w:rsidTr="00244009">
        <w:trPr>
          <w:trHeight w:val="288"/>
        </w:trPr>
        <w:tc>
          <w:tcPr>
            <w:tcW w:w="1710" w:type="dxa"/>
            <w:tcBorders>
              <w:top w:val="nil"/>
              <w:left w:val="nil"/>
              <w:bottom w:val="nil"/>
              <w:right w:val="nil"/>
            </w:tcBorders>
            <w:shd w:val="clear" w:color="000000" w:fill="FFFFFF"/>
            <w:noWrap/>
            <w:vAlign w:val="bottom"/>
            <w:hideMark/>
          </w:tcPr>
          <w:p w14:paraId="14BC2366"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10A6B46F" w14:textId="48FE490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369</w:t>
            </w:r>
          </w:p>
        </w:tc>
        <w:tc>
          <w:tcPr>
            <w:tcW w:w="630" w:type="dxa"/>
            <w:gridSpan w:val="2"/>
            <w:tcBorders>
              <w:top w:val="nil"/>
              <w:left w:val="nil"/>
              <w:bottom w:val="nil"/>
              <w:right w:val="nil"/>
            </w:tcBorders>
            <w:shd w:val="clear" w:color="000000" w:fill="FFFFFF"/>
            <w:noWrap/>
            <w:vAlign w:val="bottom"/>
          </w:tcPr>
          <w:p w14:paraId="6664B886" w14:textId="5E45B35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680</w:t>
            </w:r>
          </w:p>
        </w:tc>
        <w:tc>
          <w:tcPr>
            <w:tcW w:w="99" w:type="dxa"/>
            <w:gridSpan w:val="2"/>
            <w:tcBorders>
              <w:top w:val="nil"/>
              <w:left w:val="nil"/>
              <w:bottom w:val="nil"/>
              <w:right w:val="nil"/>
            </w:tcBorders>
            <w:shd w:val="clear" w:color="000000" w:fill="FFFFFF"/>
            <w:noWrap/>
            <w:vAlign w:val="bottom"/>
          </w:tcPr>
          <w:p w14:paraId="4107E158" w14:textId="32FE0A37"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65CBFB0" w14:textId="56DAB24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$234</w:t>
            </w:r>
          </w:p>
        </w:tc>
        <w:tc>
          <w:tcPr>
            <w:tcW w:w="711" w:type="dxa"/>
            <w:gridSpan w:val="2"/>
            <w:tcBorders>
              <w:top w:val="nil"/>
              <w:left w:val="nil"/>
              <w:bottom w:val="nil"/>
              <w:right w:val="nil"/>
            </w:tcBorders>
            <w:shd w:val="clear" w:color="000000" w:fill="FFFFFF"/>
            <w:noWrap/>
            <w:vAlign w:val="bottom"/>
          </w:tcPr>
          <w:p w14:paraId="0F32B129" w14:textId="1EF52C0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$215</w:t>
            </w:r>
          </w:p>
        </w:tc>
        <w:tc>
          <w:tcPr>
            <w:tcW w:w="662" w:type="dxa"/>
            <w:tcBorders>
              <w:top w:val="nil"/>
              <w:left w:val="nil"/>
              <w:bottom w:val="nil"/>
              <w:right w:val="nil"/>
            </w:tcBorders>
            <w:shd w:val="clear" w:color="000000" w:fill="FFFFFF"/>
            <w:noWrap/>
            <w:vAlign w:val="bottom"/>
          </w:tcPr>
          <w:p w14:paraId="26C32CCA" w14:textId="3EA6B5C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$84</w:t>
            </w:r>
          </w:p>
        </w:tc>
        <w:tc>
          <w:tcPr>
            <w:tcW w:w="711" w:type="dxa"/>
            <w:gridSpan w:val="2"/>
            <w:tcBorders>
              <w:top w:val="nil"/>
              <w:left w:val="nil"/>
              <w:bottom w:val="nil"/>
              <w:right w:val="nil"/>
            </w:tcBorders>
            <w:shd w:val="clear" w:color="000000" w:fill="FFFFFF"/>
            <w:noWrap/>
            <w:vAlign w:val="bottom"/>
          </w:tcPr>
          <w:p w14:paraId="289A1262" w14:textId="1C99483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$216</w:t>
            </w:r>
          </w:p>
        </w:tc>
        <w:tc>
          <w:tcPr>
            <w:tcW w:w="728" w:type="dxa"/>
            <w:tcBorders>
              <w:top w:val="nil"/>
              <w:left w:val="nil"/>
              <w:bottom w:val="nil"/>
              <w:right w:val="nil"/>
            </w:tcBorders>
            <w:shd w:val="clear" w:color="000000" w:fill="FFFFFF"/>
            <w:noWrap/>
            <w:vAlign w:val="bottom"/>
          </w:tcPr>
          <w:p w14:paraId="39BFFAA4" w14:textId="3F7488E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-64.3%</w:t>
            </w:r>
          </w:p>
        </w:tc>
        <w:tc>
          <w:tcPr>
            <w:tcW w:w="584" w:type="dxa"/>
            <w:gridSpan w:val="2"/>
            <w:tcBorders>
              <w:top w:val="nil"/>
              <w:left w:val="nil"/>
              <w:bottom w:val="nil"/>
              <w:right w:val="nil"/>
            </w:tcBorders>
            <w:shd w:val="clear" w:color="000000" w:fill="FFFFFF"/>
            <w:noWrap/>
            <w:vAlign w:val="bottom"/>
          </w:tcPr>
          <w:p w14:paraId="14FF3288" w14:textId="74B3CEDE"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D4253CA" w14:textId="3113FE2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49531B2" w14:textId="670A006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6.5</w:t>
            </w:r>
          </w:p>
        </w:tc>
        <w:tc>
          <w:tcPr>
            <w:tcW w:w="798" w:type="dxa"/>
            <w:gridSpan w:val="2"/>
            <w:tcBorders>
              <w:top w:val="nil"/>
              <w:left w:val="nil"/>
              <w:bottom w:val="nil"/>
              <w:right w:val="nil"/>
            </w:tcBorders>
            <w:shd w:val="clear" w:color="000000" w:fill="FFFFFF"/>
            <w:noWrap/>
            <w:vAlign w:val="bottom"/>
          </w:tcPr>
          <w:p w14:paraId="3AA02DD1" w14:textId="05BE27E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6.7</w:t>
            </w:r>
          </w:p>
        </w:tc>
        <w:tc>
          <w:tcPr>
            <w:tcW w:w="500" w:type="dxa"/>
            <w:tcBorders>
              <w:top w:val="nil"/>
              <w:left w:val="nil"/>
              <w:bottom w:val="nil"/>
              <w:right w:val="nil"/>
            </w:tcBorders>
            <w:shd w:val="clear" w:color="000000" w:fill="FFFFFF"/>
            <w:noWrap/>
            <w:vAlign w:val="bottom"/>
          </w:tcPr>
          <w:p w14:paraId="2E0A6E96" w14:textId="6B0E143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6.5</w:t>
            </w:r>
          </w:p>
        </w:tc>
        <w:tc>
          <w:tcPr>
            <w:tcW w:w="757" w:type="dxa"/>
            <w:gridSpan w:val="2"/>
            <w:tcBorders>
              <w:top w:val="nil"/>
              <w:left w:val="nil"/>
              <w:bottom w:val="nil"/>
              <w:right w:val="nil"/>
            </w:tcBorders>
            <w:shd w:val="clear" w:color="000000" w:fill="FFFFFF"/>
            <w:noWrap/>
            <w:vAlign w:val="bottom"/>
          </w:tcPr>
          <w:p w14:paraId="61414B27" w14:textId="1629BA5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5.6</w:t>
            </w:r>
          </w:p>
        </w:tc>
        <w:tc>
          <w:tcPr>
            <w:tcW w:w="728" w:type="dxa"/>
            <w:tcBorders>
              <w:top w:val="nil"/>
              <w:left w:val="nil"/>
              <w:bottom w:val="nil"/>
              <w:right w:val="nil"/>
            </w:tcBorders>
            <w:shd w:val="clear" w:color="000000" w:fill="FFFFFF"/>
            <w:noWrap/>
            <w:vAlign w:val="bottom"/>
          </w:tcPr>
          <w:p w14:paraId="20ED0F21" w14:textId="59DECFA8"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18.4%</w:t>
            </w:r>
          </w:p>
        </w:tc>
        <w:tc>
          <w:tcPr>
            <w:tcW w:w="619" w:type="dxa"/>
            <w:gridSpan w:val="2"/>
            <w:tcBorders>
              <w:top w:val="nil"/>
              <w:left w:val="nil"/>
              <w:bottom w:val="nil"/>
              <w:right w:val="nil"/>
            </w:tcBorders>
            <w:shd w:val="clear" w:color="000000" w:fill="FFFFFF"/>
            <w:noWrap/>
            <w:vAlign w:val="bottom"/>
          </w:tcPr>
          <w:p w14:paraId="416A3769" w14:textId="53D14C6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0.001</w:t>
            </w:r>
          </w:p>
        </w:tc>
      </w:tr>
      <w:tr w:rsidR="008F59BB" w:rsidRPr="00EA3957" w14:paraId="5046DF41" w14:textId="77777777" w:rsidTr="00244009">
        <w:trPr>
          <w:trHeight w:val="288"/>
        </w:trPr>
        <w:tc>
          <w:tcPr>
            <w:tcW w:w="1710" w:type="dxa"/>
            <w:tcBorders>
              <w:top w:val="nil"/>
              <w:left w:val="nil"/>
              <w:bottom w:val="nil"/>
              <w:right w:val="nil"/>
            </w:tcBorders>
            <w:shd w:val="clear" w:color="000000" w:fill="FFFFFF"/>
            <w:noWrap/>
            <w:vAlign w:val="bottom"/>
            <w:hideMark/>
          </w:tcPr>
          <w:p w14:paraId="01937228"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108F11AC" w14:textId="1F6BF1B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369</w:t>
            </w:r>
          </w:p>
        </w:tc>
        <w:tc>
          <w:tcPr>
            <w:tcW w:w="630" w:type="dxa"/>
            <w:gridSpan w:val="2"/>
            <w:tcBorders>
              <w:top w:val="nil"/>
              <w:left w:val="nil"/>
              <w:bottom w:val="nil"/>
              <w:right w:val="nil"/>
            </w:tcBorders>
            <w:shd w:val="clear" w:color="000000" w:fill="FFFFFF"/>
            <w:noWrap/>
            <w:vAlign w:val="bottom"/>
          </w:tcPr>
          <w:p w14:paraId="5BA59C3F" w14:textId="0B25CAF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648</w:t>
            </w:r>
          </w:p>
        </w:tc>
        <w:tc>
          <w:tcPr>
            <w:tcW w:w="99" w:type="dxa"/>
            <w:gridSpan w:val="2"/>
            <w:tcBorders>
              <w:top w:val="nil"/>
              <w:left w:val="nil"/>
              <w:bottom w:val="nil"/>
              <w:right w:val="nil"/>
            </w:tcBorders>
            <w:shd w:val="clear" w:color="000000" w:fill="FFFFFF"/>
            <w:noWrap/>
            <w:vAlign w:val="bottom"/>
          </w:tcPr>
          <w:p w14:paraId="7B67FB08" w14:textId="43E7F70A"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5F1657D8" w14:textId="34FD12E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$192</w:t>
            </w:r>
          </w:p>
        </w:tc>
        <w:tc>
          <w:tcPr>
            <w:tcW w:w="711" w:type="dxa"/>
            <w:gridSpan w:val="2"/>
            <w:tcBorders>
              <w:top w:val="nil"/>
              <w:left w:val="nil"/>
              <w:bottom w:val="nil"/>
              <w:right w:val="nil"/>
            </w:tcBorders>
            <w:shd w:val="clear" w:color="000000" w:fill="FFFFFF"/>
            <w:noWrap/>
            <w:vAlign w:val="bottom"/>
          </w:tcPr>
          <w:p w14:paraId="7734CFB5" w14:textId="6BCADA5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$265</w:t>
            </w:r>
          </w:p>
        </w:tc>
        <w:tc>
          <w:tcPr>
            <w:tcW w:w="662" w:type="dxa"/>
            <w:tcBorders>
              <w:top w:val="nil"/>
              <w:left w:val="nil"/>
              <w:bottom w:val="nil"/>
              <w:right w:val="nil"/>
            </w:tcBorders>
            <w:shd w:val="clear" w:color="000000" w:fill="FFFFFF"/>
            <w:noWrap/>
            <w:vAlign w:val="bottom"/>
          </w:tcPr>
          <w:p w14:paraId="40115594" w14:textId="6027452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$117</w:t>
            </w:r>
          </w:p>
        </w:tc>
        <w:tc>
          <w:tcPr>
            <w:tcW w:w="711" w:type="dxa"/>
            <w:gridSpan w:val="2"/>
            <w:tcBorders>
              <w:top w:val="nil"/>
              <w:left w:val="nil"/>
              <w:bottom w:val="nil"/>
              <w:right w:val="nil"/>
            </w:tcBorders>
            <w:shd w:val="clear" w:color="000000" w:fill="FFFFFF"/>
            <w:noWrap/>
            <w:vAlign w:val="bottom"/>
          </w:tcPr>
          <w:p w14:paraId="740CEE4C" w14:textId="5D9595B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$275</w:t>
            </w:r>
          </w:p>
        </w:tc>
        <w:tc>
          <w:tcPr>
            <w:tcW w:w="728" w:type="dxa"/>
            <w:tcBorders>
              <w:top w:val="nil"/>
              <w:left w:val="nil"/>
              <w:bottom w:val="nil"/>
              <w:right w:val="nil"/>
            </w:tcBorders>
            <w:shd w:val="clear" w:color="000000" w:fill="FFFFFF"/>
            <w:noWrap/>
            <w:vAlign w:val="bottom"/>
          </w:tcPr>
          <w:p w14:paraId="2F1ECA27" w14:textId="4E9D09BC"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-41.3%</w:t>
            </w:r>
          </w:p>
        </w:tc>
        <w:tc>
          <w:tcPr>
            <w:tcW w:w="584" w:type="dxa"/>
            <w:gridSpan w:val="2"/>
            <w:tcBorders>
              <w:top w:val="nil"/>
              <w:left w:val="nil"/>
              <w:bottom w:val="nil"/>
              <w:right w:val="nil"/>
            </w:tcBorders>
            <w:shd w:val="clear" w:color="000000" w:fill="FFFFFF"/>
            <w:noWrap/>
            <w:vAlign w:val="bottom"/>
          </w:tcPr>
          <w:p w14:paraId="4B3E0D6A" w14:textId="798B47FC"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6956DC8" w14:textId="6F5594D1"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DA15611" w14:textId="413B02F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11.1</w:t>
            </w:r>
          </w:p>
        </w:tc>
        <w:tc>
          <w:tcPr>
            <w:tcW w:w="798" w:type="dxa"/>
            <w:gridSpan w:val="2"/>
            <w:tcBorders>
              <w:top w:val="nil"/>
              <w:left w:val="nil"/>
              <w:bottom w:val="nil"/>
              <w:right w:val="nil"/>
            </w:tcBorders>
            <w:shd w:val="clear" w:color="000000" w:fill="FFFFFF"/>
            <w:noWrap/>
            <w:vAlign w:val="bottom"/>
          </w:tcPr>
          <w:p w14:paraId="416F9DCC" w14:textId="0FECE2D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500" w:type="dxa"/>
            <w:tcBorders>
              <w:top w:val="nil"/>
              <w:left w:val="nil"/>
              <w:bottom w:val="nil"/>
              <w:right w:val="nil"/>
            </w:tcBorders>
            <w:shd w:val="clear" w:color="000000" w:fill="FFFFFF"/>
            <w:noWrap/>
            <w:vAlign w:val="bottom"/>
          </w:tcPr>
          <w:p w14:paraId="720569DB" w14:textId="0DC745A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12.4</w:t>
            </w:r>
          </w:p>
        </w:tc>
        <w:tc>
          <w:tcPr>
            <w:tcW w:w="757" w:type="dxa"/>
            <w:gridSpan w:val="2"/>
            <w:tcBorders>
              <w:top w:val="nil"/>
              <w:left w:val="nil"/>
              <w:bottom w:val="nil"/>
              <w:right w:val="nil"/>
            </w:tcBorders>
            <w:shd w:val="clear" w:color="000000" w:fill="FFFFFF"/>
            <w:noWrap/>
            <w:vAlign w:val="bottom"/>
          </w:tcPr>
          <w:p w14:paraId="54BAF317" w14:textId="30C7A83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11.2</w:t>
            </w:r>
          </w:p>
        </w:tc>
        <w:tc>
          <w:tcPr>
            <w:tcW w:w="728" w:type="dxa"/>
            <w:tcBorders>
              <w:top w:val="nil"/>
              <w:left w:val="nil"/>
              <w:bottom w:val="nil"/>
              <w:right w:val="nil"/>
            </w:tcBorders>
            <w:shd w:val="clear" w:color="000000" w:fill="FFFFFF"/>
            <w:noWrap/>
            <w:vAlign w:val="bottom"/>
          </w:tcPr>
          <w:p w14:paraId="230C8F00" w14:textId="768D986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7.2%</w:t>
            </w:r>
          </w:p>
        </w:tc>
        <w:tc>
          <w:tcPr>
            <w:tcW w:w="619" w:type="dxa"/>
            <w:gridSpan w:val="2"/>
            <w:tcBorders>
              <w:top w:val="nil"/>
              <w:left w:val="nil"/>
              <w:bottom w:val="nil"/>
              <w:right w:val="nil"/>
            </w:tcBorders>
            <w:shd w:val="clear" w:color="000000" w:fill="FFFFFF"/>
            <w:noWrap/>
            <w:vAlign w:val="bottom"/>
          </w:tcPr>
          <w:p w14:paraId="33D6BE14" w14:textId="311B9CE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0.064</w:t>
            </w:r>
          </w:p>
        </w:tc>
      </w:tr>
      <w:tr w:rsidR="008F59BB" w:rsidRPr="00EA3957" w14:paraId="7E5987C9" w14:textId="77777777" w:rsidTr="00244009">
        <w:trPr>
          <w:trHeight w:val="288"/>
        </w:trPr>
        <w:tc>
          <w:tcPr>
            <w:tcW w:w="1710" w:type="dxa"/>
            <w:tcBorders>
              <w:top w:val="nil"/>
              <w:left w:val="nil"/>
              <w:bottom w:val="nil"/>
              <w:right w:val="nil"/>
            </w:tcBorders>
            <w:shd w:val="clear" w:color="000000" w:fill="FFFFFF"/>
            <w:noWrap/>
            <w:vAlign w:val="bottom"/>
            <w:hideMark/>
          </w:tcPr>
          <w:p w14:paraId="49EFA039"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08E27BDC" w14:textId="0B5E1CE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402</w:t>
            </w:r>
          </w:p>
        </w:tc>
        <w:tc>
          <w:tcPr>
            <w:tcW w:w="630" w:type="dxa"/>
            <w:gridSpan w:val="2"/>
            <w:tcBorders>
              <w:top w:val="nil"/>
              <w:left w:val="nil"/>
              <w:bottom w:val="nil"/>
              <w:right w:val="nil"/>
            </w:tcBorders>
            <w:shd w:val="clear" w:color="000000" w:fill="FFFFFF"/>
            <w:noWrap/>
            <w:vAlign w:val="bottom"/>
          </w:tcPr>
          <w:p w14:paraId="73B64F88" w14:textId="3487E0D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699</w:t>
            </w:r>
          </w:p>
        </w:tc>
        <w:tc>
          <w:tcPr>
            <w:tcW w:w="99" w:type="dxa"/>
            <w:gridSpan w:val="2"/>
            <w:tcBorders>
              <w:top w:val="nil"/>
              <w:left w:val="nil"/>
              <w:bottom w:val="nil"/>
              <w:right w:val="nil"/>
            </w:tcBorders>
            <w:shd w:val="clear" w:color="000000" w:fill="FFFFFF"/>
            <w:noWrap/>
            <w:vAlign w:val="bottom"/>
          </w:tcPr>
          <w:p w14:paraId="3415FF7B" w14:textId="5BC8D1BF"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AF6DAE3" w14:textId="4223771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$140</w:t>
            </w:r>
          </w:p>
        </w:tc>
        <w:tc>
          <w:tcPr>
            <w:tcW w:w="711" w:type="dxa"/>
            <w:gridSpan w:val="2"/>
            <w:tcBorders>
              <w:top w:val="nil"/>
              <w:left w:val="nil"/>
              <w:bottom w:val="nil"/>
              <w:right w:val="nil"/>
            </w:tcBorders>
            <w:shd w:val="clear" w:color="000000" w:fill="FFFFFF"/>
            <w:noWrap/>
            <w:vAlign w:val="bottom"/>
          </w:tcPr>
          <w:p w14:paraId="7B38220F" w14:textId="659C53A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$168</w:t>
            </w:r>
          </w:p>
        </w:tc>
        <w:tc>
          <w:tcPr>
            <w:tcW w:w="662" w:type="dxa"/>
            <w:tcBorders>
              <w:top w:val="nil"/>
              <w:left w:val="nil"/>
              <w:bottom w:val="nil"/>
              <w:right w:val="nil"/>
            </w:tcBorders>
            <w:shd w:val="clear" w:color="000000" w:fill="FFFFFF"/>
            <w:noWrap/>
            <w:vAlign w:val="bottom"/>
          </w:tcPr>
          <w:p w14:paraId="337F935C" w14:textId="3941B3D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711" w:type="dxa"/>
            <w:gridSpan w:val="2"/>
            <w:tcBorders>
              <w:top w:val="nil"/>
              <w:left w:val="nil"/>
              <w:bottom w:val="nil"/>
              <w:right w:val="nil"/>
            </w:tcBorders>
            <w:shd w:val="clear" w:color="000000" w:fill="FFFFFF"/>
            <w:noWrap/>
            <w:vAlign w:val="bottom"/>
          </w:tcPr>
          <w:p w14:paraId="4044F847" w14:textId="289C085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$186</w:t>
            </w:r>
          </w:p>
        </w:tc>
        <w:tc>
          <w:tcPr>
            <w:tcW w:w="728" w:type="dxa"/>
            <w:tcBorders>
              <w:top w:val="nil"/>
              <w:left w:val="nil"/>
              <w:bottom w:val="nil"/>
              <w:right w:val="nil"/>
            </w:tcBorders>
            <w:shd w:val="clear" w:color="000000" w:fill="FFFFFF"/>
            <w:noWrap/>
            <w:vAlign w:val="bottom"/>
          </w:tcPr>
          <w:p w14:paraId="30F59D0D" w14:textId="04F96414"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-39.6%</w:t>
            </w:r>
          </w:p>
        </w:tc>
        <w:tc>
          <w:tcPr>
            <w:tcW w:w="584" w:type="dxa"/>
            <w:gridSpan w:val="2"/>
            <w:tcBorders>
              <w:top w:val="nil"/>
              <w:left w:val="nil"/>
              <w:bottom w:val="nil"/>
              <w:right w:val="nil"/>
            </w:tcBorders>
            <w:shd w:val="clear" w:color="000000" w:fill="FFFFFF"/>
            <w:noWrap/>
            <w:vAlign w:val="bottom"/>
          </w:tcPr>
          <w:p w14:paraId="5996CCB8" w14:textId="6E80FEA6"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9389640" w14:textId="65B606A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5AE8BBD6" w14:textId="132A720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18.1</w:t>
            </w:r>
          </w:p>
        </w:tc>
        <w:tc>
          <w:tcPr>
            <w:tcW w:w="798" w:type="dxa"/>
            <w:gridSpan w:val="2"/>
            <w:tcBorders>
              <w:top w:val="nil"/>
              <w:left w:val="nil"/>
              <w:bottom w:val="nil"/>
              <w:right w:val="nil"/>
            </w:tcBorders>
            <w:shd w:val="clear" w:color="000000" w:fill="FFFFFF"/>
            <w:noWrap/>
            <w:vAlign w:val="bottom"/>
          </w:tcPr>
          <w:p w14:paraId="2D7AEF7D" w14:textId="5E64B72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18.3</w:t>
            </w:r>
          </w:p>
        </w:tc>
        <w:tc>
          <w:tcPr>
            <w:tcW w:w="500" w:type="dxa"/>
            <w:tcBorders>
              <w:top w:val="nil"/>
              <w:left w:val="nil"/>
              <w:bottom w:val="nil"/>
              <w:right w:val="nil"/>
            </w:tcBorders>
            <w:shd w:val="clear" w:color="000000" w:fill="FFFFFF"/>
            <w:noWrap/>
            <w:vAlign w:val="bottom"/>
          </w:tcPr>
          <w:p w14:paraId="604253B8" w14:textId="58D339B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21.2</w:t>
            </w:r>
          </w:p>
        </w:tc>
        <w:tc>
          <w:tcPr>
            <w:tcW w:w="757" w:type="dxa"/>
            <w:gridSpan w:val="2"/>
            <w:tcBorders>
              <w:top w:val="nil"/>
              <w:left w:val="nil"/>
              <w:bottom w:val="nil"/>
              <w:right w:val="nil"/>
            </w:tcBorders>
            <w:shd w:val="clear" w:color="000000" w:fill="FFFFFF"/>
            <w:noWrap/>
            <w:vAlign w:val="bottom"/>
          </w:tcPr>
          <w:p w14:paraId="6B92945B" w14:textId="3A5B216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19.1</w:t>
            </w:r>
          </w:p>
        </w:tc>
        <w:tc>
          <w:tcPr>
            <w:tcW w:w="728" w:type="dxa"/>
            <w:tcBorders>
              <w:top w:val="nil"/>
              <w:left w:val="nil"/>
              <w:bottom w:val="nil"/>
              <w:right w:val="nil"/>
            </w:tcBorders>
            <w:shd w:val="clear" w:color="000000" w:fill="FFFFFF"/>
            <w:noWrap/>
            <w:vAlign w:val="bottom"/>
          </w:tcPr>
          <w:p w14:paraId="71525114" w14:textId="551DAEDB"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11.7%</w:t>
            </w:r>
          </w:p>
        </w:tc>
        <w:tc>
          <w:tcPr>
            <w:tcW w:w="619" w:type="dxa"/>
            <w:gridSpan w:val="2"/>
            <w:tcBorders>
              <w:top w:val="nil"/>
              <w:left w:val="nil"/>
              <w:bottom w:val="nil"/>
              <w:right w:val="nil"/>
            </w:tcBorders>
            <w:shd w:val="clear" w:color="000000" w:fill="FFFFFF"/>
            <w:noWrap/>
            <w:vAlign w:val="bottom"/>
          </w:tcPr>
          <w:p w14:paraId="7DFD6D5D" w14:textId="6EC9EF1B"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0.002</w:t>
            </w:r>
          </w:p>
        </w:tc>
      </w:tr>
      <w:tr w:rsidR="008F59BB" w:rsidRPr="00EA3957" w14:paraId="5CA292E6" w14:textId="77777777" w:rsidTr="00244009">
        <w:trPr>
          <w:trHeight w:val="288"/>
        </w:trPr>
        <w:tc>
          <w:tcPr>
            <w:tcW w:w="1710" w:type="dxa"/>
            <w:tcBorders>
              <w:top w:val="nil"/>
              <w:left w:val="nil"/>
              <w:bottom w:val="nil"/>
              <w:right w:val="nil"/>
            </w:tcBorders>
            <w:shd w:val="clear" w:color="000000" w:fill="FFFFFF"/>
            <w:noWrap/>
            <w:vAlign w:val="bottom"/>
            <w:hideMark/>
          </w:tcPr>
          <w:p w14:paraId="4BBB25BA"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65A32636" w14:textId="53E6E00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69</w:t>
            </w:r>
          </w:p>
        </w:tc>
        <w:tc>
          <w:tcPr>
            <w:tcW w:w="630" w:type="dxa"/>
            <w:gridSpan w:val="2"/>
            <w:tcBorders>
              <w:top w:val="nil"/>
              <w:left w:val="nil"/>
              <w:bottom w:val="nil"/>
              <w:right w:val="nil"/>
            </w:tcBorders>
            <w:shd w:val="clear" w:color="000000" w:fill="FFFFFF"/>
            <w:noWrap/>
            <w:vAlign w:val="bottom"/>
          </w:tcPr>
          <w:p w14:paraId="3EFDD70F" w14:textId="5B2E860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134</w:t>
            </w:r>
          </w:p>
        </w:tc>
        <w:tc>
          <w:tcPr>
            <w:tcW w:w="99" w:type="dxa"/>
            <w:gridSpan w:val="2"/>
            <w:tcBorders>
              <w:top w:val="nil"/>
              <w:left w:val="nil"/>
              <w:bottom w:val="nil"/>
              <w:right w:val="nil"/>
            </w:tcBorders>
            <w:shd w:val="clear" w:color="000000" w:fill="FFFFFF"/>
            <w:noWrap/>
            <w:vAlign w:val="bottom"/>
          </w:tcPr>
          <w:p w14:paraId="2B303471" w14:textId="22D88792"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3588C4B" w14:textId="67D5BB6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$206</w:t>
            </w:r>
          </w:p>
        </w:tc>
        <w:tc>
          <w:tcPr>
            <w:tcW w:w="711" w:type="dxa"/>
            <w:gridSpan w:val="2"/>
            <w:tcBorders>
              <w:top w:val="nil"/>
              <w:left w:val="nil"/>
              <w:bottom w:val="nil"/>
              <w:right w:val="nil"/>
            </w:tcBorders>
            <w:shd w:val="clear" w:color="000000" w:fill="FFFFFF"/>
            <w:noWrap/>
            <w:vAlign w:val="bottom"/>
          </w:tcPr>
          <w:p w14:paraId="270B10C2" w14:textId="0D82AC8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$230</w:t>
            </w:r>
          </w:p>
        </w:tc>
        <w:tc>
          <w:tcPr>
            <w:tcW w:w="662" w:type="dxa"/>
            <w:tcBorders>
              <w:top w:val="nil"/>
              <w:left w:val="nil"/>
              <w:bottom w:val="nil"/>
              <w:right w:val="nil"/>
            </w:tcBorders>
            <w:shd w:val="clear" w:color="000000" w:fill="FFFFFF"/>
            <w:noWrap/>
            <w:vAlign w:val="bottom"/>
          </w:tcPr>
          <w:p w14:paraId="6E8EB186" w14:textId="69211ED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$149</w:t>
            </w:r>
          </w:p>
        </w:tc>
        <w:tc>
          <w:tcPr>
            <w:tcW w:w="711" w:type="dxa"/>
            <w:gridSpan w:val="2"/>
            <w:tcBorders>
              <w:top w:val="nil"/>
              <w:left w:val="nil"/>
              <w:bottom w:val="nil"/>
              <w:right w:val="nil"/>
            </w:tcBorders>
            <w:shd w:val="clear" w:color="000000" w:fill="FFFFFF"/>
            <w:noWrap/>
            <w:vAlign w:val="bottom"/>
          </w:tcPr>
          <w:p w14:paraId="733D53B8" w14:textId="36A9049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$247</w:t>
            </w:r>
          </w:p>
        </w:tc>
        <w:tc>
          <w:tcPr>
            <w:tcW w:w="728" w:type="dxa"/>
            <w:tcBorders>
              <w:top w:val="nil"/>
              <w:left w:val="nil"/>
              <w:bottom w:val="nil"/>
              <w:right w:val="nil"/>
            </w:tcBorders>
            <w:shd w:val="clear" w:color="000000" w:fill="FFFFFF"/>
            <w:noWrap/>
            <w:vAlign w:val="bottom"/>
          </w:tcPr>
          <w:p w14:paraId="12C1A55E" w14:textId="0D229ABC"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-32.7%</w:t>
            </w:r>
          </w:p>
        </w:tc>
        <w:tc>
          <w:tcPr>
            <w:tcW w:w="584" w:type="dxa"/>
            <w:gridSpan w:val="2"/>
            <w:tcBorders>
              <w:top w:val="nil"/>
              <w:left w:val="nil"/>
              <w:bottom w:val="nil"/>
              <w:right w:val="nil"/>
            </w:tcBorders>
            <w:shd w:val="clear" w:color="000000" w:fill="FFFFFF"/>
            <w:noWrap/>
            <w:vAlign w:val="bottom"/>
          </w:tcPr>
          <w:p w14:paraId="29F1D3CD" w14:textId="0396CB6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0.231</w:t>
            </w:r>
          </w:p>
        </w:tc>
        <w:tc>
          <w:tcPr>
            <w:tcW w:w="82" w:type="dxa"/>
            <w:gridSpan w:val="2"/>
            <w:tcBorders>
              <w:top w:val="nil"/>
              <w:left w:val="nil"/>
              <w:bottom w:val="nil"/>
              <w:right w:val="nil"/>
            </w:tcBorders>
            <w:shd w:val="clear" w:color="000000" w:fill="FFFFFF"/>
            <w:noWrap/>
            <w:vAlign w:val="bottom"/>
          </w:tcPr>
          <w:p w14:paraId="3D573258" w14:textId="4B06159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55332FC3" w14:textId="437746A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10.6</w:t>
            </w:r>
          </w:p>
        </w:tc>
        <w:tc>
          <w:tcPr>
            <w:tcW w:w="798" w:type="dxa"/>
            <w:gridSpan w:val="2"/>
            <w:tcBorders>
              <w:top w:val="nil"/>
              <w:left w:val="nil"/>
              <w:bottom w:val="nil"/>
              <w:right w:val="nil"/>
            </w:tcBorders>
            <w:shd w:val="clear" w:color="000000" w:fill="FFFFFF"/>
            <w:noWrap/>
            <w:vAlign w:val="bottom"/>
          </w:tcPr>
          <w:p w14:paraId="27BC24DB" w14:textId="51DD633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500" w:type="dxa"/>
            <w:tcBorders>
              <w:top w:val="nil"/>
              <w:left w:val="nil"/>
              <w:bottom w:val="nil"/>
              <w:right w:val="nil"/>
            </w:tcBorders>
            <w:shd w:val="clear" w:color="000000" w:fill="FFFFFF"/>
            <w:noWrap/>
            <w:vAlign w:val="bottom"/>
          </w:tcPr>
          <w:p w14:paraId="77DEB74D" w14:textId="3534B8F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12.4</w:t>
            </w:r>
          </w:p>
        </w:tc>
        <w:tc>
          <w:tcPr>
            <w:tcW w:w="757" w:type="dxa"/>
            <w:gridSpan w:val="2"/>
            <w:tcBorders>
              <w:top w:val="nil"/>
              <w:left w:val="nil"/>
              <w:bottom w:val="nil"/>
              <w:right w:val="nil"/>
            </w:tcBorders>
            <w:shd w:val="clear" w:color="000000" w:fill="FFFFFF"/>
            <w:noWrap/>
            <w:vAlign w:val="bottom"/>
          </w:tcPr>
          <w:p w14:paraId="362B0BB2" w14:textId="42A95A4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8.5</w:t>
            </w:r>
          </w:p>
        </w:tc>
        <w:tc>
          <w:tcPr>
            <w:tcW w:w="728" w:type="dxa"/>
            <w:tcBorders>
              <w:top w:val="nil"/>
              <w:left w:val="nil"/>
              <w:bottom w:val="nil"/>
              <w:right w:val="nil"/>
            </w:tcBorders>
            <w:shd w:val="clear" w:color="000000" w:fill="FFFFFF"/>
            <w:noWrap/>
            <w:vAlign w:val="bottom"/>
          </w:tcPr>
          <w:p w14:paraId="2C6C75EB" w14:textId="75F89773"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36.9%</w:t>
            </w:r>
          </w:p>
        </w:tc>
        <w:tc>
          <w:tcPr>
            <w:tcW w:w="619" w:type="dxa"/>
            <w:gridSpan w:val="2"/>
            <w:tcBorders>
              <w:top w:val="nil"/>
              <w:left w:val="nil"/>
              <w:bottom w:val="nil"/>
              <w:right w:val="nil"/>
            </w:tcBorders>
            <w:shd w:val="clear" w:color="000000" w:fill="FFFFFF"/>
            <w:noWrap/>
            <w:vAlign w:val="bottom"/>
          </w:tcPr>
          <w:p w14:paraId="57F4926F" w14:textId="5CD7122F"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0.004</w:t>
            </w:r>
          </w:p>
        </w:tc>
      </w:tr>
      <w:tr w:rsidR="008F59BB" w:rsidRPr="00EA3957" w14:paraId="11F479CD" w14:textId="77777777" w:rsidTr="00244009">
        <w:trPr>
          <w:trHeight w:val="288"/>
        </w:trPr>
        <w:tc>
          <w:tcPr>
            <w:tcW w:w="1710" w:type="dxa"/>
            <w:tcBorders>
              <w:top w:val="nil"/>
              <w:left w:val="nil"/>
              <w:bottom w:val="nil"/>
              <w:right w:val="nil"/>
            </w:tcBorders>
            <w:shd w:val="clear" w:color="000000" w:fill="FFFFFF"/>
            <w:noWrap/>
            <w:vAlign w:val="bottom"/>
            <w:hideMark/>
          </w:tcPr>
          <w:p w14:paraId="63EA74F1"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34953744" w14:textId="41E1753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69</w:t>
            </w:r>
          </w:p>
        </w:tc>
        <w:tc>
          <w:tcPr>
            <w:tcW w:w="630" w:type="dxa"/>
            <w:gridSpan w:val="2"/>
            <w:tcBorders>
              <w:top w:val="nil"/>
              <w:left w:val="nil"/>
              <w:bottom w:val="nil"/>
              <w:right w:val="nil"/>
            </w:tcBorders>
            <w:shd w:val="clear" w:color="000000" w:fill="FFFFFF"/>
            <w:noWrap/>
            <w:vAlign w:val="bottom"/>
          </w:tcPr>
          <w:p w14:paraId="5B75ECE4" w14:textId="015A4DD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134</w:t>
            </w:r>
          </w:p>
        </w:tc>
        <w:tc>
          <w:tcPr>
            <w:tcW w:w="99" w:type="dxa"/>
            <w:gridSpan w:val="2"/>
            <w:tcBorders>
              <w:top w:val="nil"/>
              <w:left w:val="nil"/>
              <w:bottom w:val="nil"/>
              <w:right w:val="nil"/>
            </w:tcBorders>
            <w:shd w:val="clear" w:color="000000" w:fill="FFFFFF"/>
            <w:noWrap/>
            <w:vAlign w:val="bottom"/>
          </w:tcPr>
          <w:p w14:paraId="560DC1B7" w14:textId="0068236C"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8CD6FFB" w14:textId="3623873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$174</w:t>
            </w:r>
          </w:p>
        </w:tc>
        <w:tc>
          <w:tcPr>
            <w:tcW w:w="711" w:type="dxa"/>
            <w:gridSpan w:val="2"/>
            <w:tcBorders>
              <w:top w:val="nil"/>
              <w:left w:val="nil"/>
              <w:bottom w:val="nil"/>
              <w:right w:val="nil"/>
            </w:tcBorders>
            <w:shd w:val="clear" w:color="000000" w:fill="FFFFFF"/>
            <w:noWrap/>
            <w:vAlign w:val="bottom"/>
          </w:tcPr>
          <w:p w14:paraId="2C4DDC9B" w14:textId="0C06B83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$155</w:t>
            </w:r>
          </w:p>
        </w:tc>
        <w:tc>
          <w:tcPr>
            <w:tcW w:w="662" w:type="dxa"/>
            <w:tcBorders>
              <w:top w:val="nil"/>
              <w:left w:val="nil"/>
              <w:bottom w:val="nil"/>
              <w:right w:val="nil"/>
            </w:tcBorders>
            <w:shd w:val="clear" w:color="000000" w:fill="FFFFFF"/>
            <w:noWrap/>
            <w:vAlign w:val="bottom"/>
          </w:tcPr>
          <w:p w14:paraId="4214F9C7" w14:textId="78D697C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$103</w:t>
            </w:r>
          </w:p>
        </w:tc>
        <w:tc>
          <w:tcPr>
            <w:tcW w:w="711" w:type="dxa"/>
            <w:gridSpan w:val="2"/>
            <w:tcBorders>
              <w:top w:val="nil"/>
              <w:left w:val="nil"/>
              <w:bottom w:val="nil"/>
              <w:right w:val="nil"/>
            </w:tcBorders>
            <w:shd w:val="clear" w:color="000000" w:fill="FFFFFF"/>
            <w:noWrap/>
            <w:vAlign w:val="bottom"/>
          </w:tcPr>
          <w:p w14:paraId="39BF2E78" w14:textId="5B8ABB0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$148</w:t>
            </w:r>
          </w:p>
        </w:tc>
        <w:tc>
          <w:tcPr>
            <w:tcW w:w="728" w:type="dxa"/>
            <w:tcBorders>
              <w:top w:val="nil"/>
              <w:left w:val="nil"/>
              <w:bottom w:val="nil"/>
              <w:right w:val="nil"/>
            </w:tcBorders>
            <w:shd w:val="clear" w:color="000000" w:fill="FFFFFF"/>
            <w:noWrap/>
            <w:vAlign w:val="bottom"/>
          </w:tcPr>
          <w:p w14:paraId="76669000" w14:textId="7435419F"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-38.1%</w:t>
            </w:r>
          </w:p>
        </w:tc>
        <w:tc>
          <w:tcPr>
            <w:tcW w:w="584" w:type="dxa"/>
            <w:gridSpan w:val="2"/>
            <w:tcBorders>
              <w:top w:val="nil"/>
              <w:left w:val="nil"/>
              <w:bottom w:val="nil"/>
              <w:right w:val="nil"/>
            </w:tcBorders>
            <w:shd w:val="clear" w:color="000000" w:fill="FFFFFF"/>
            <w:noWrap/>
            <w:vAlign w:val="bottom"/>
          </w:tcPr>
          <w:p w14:paraId="57AF4B1B" w14:textId="3A23614E"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0.024</w:t>
            </w:r>
          </w:p>
        </w:tc>
        <w:tc>
          <w:tcPr>
            <w:tcW w:w="82" w:type="dxa"/>
            <w:gridSpan w:val="2"/>
            <w:tcBorders>
              <w:top w:val="nil"/>
              <w:left w:val="nil"/>
              <w:bottom w:val="nil"/>
              <w:right w:val="nil"/>
            </w:tcBorders>
            <w:shd w:val="clear" w:color="000000" w:fill="FFFFFF"/>
            <w:noWrap/>
            <w:vAlign w:val="bottom"/>
          </w:tcPr>
          <w:p w14:paraId="7AE1356E" w14:textId="7A58C09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CCBA902" w14:textId="39E0E66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8.7</w:t>
            </w:r>
          </w:p>
        </w:tc>
        <w:tc>
          <w:tcPr>
            <w:tcW w:w="798" w:type="dxa"/>
            <w:gridSpan w:val="2"/>
            <w:tcBorders>
              <w:top w:val="nil"/>
              <w:left w:val="nil"/>
              <w:bottom w:val="nil"/>
              <w:right w:val="nil"/>
            </w:tcBorders>
            <w:shd w:val="clear" w:color="000000" w:fill="FFFFFF"/>
            <w:noWrap/>
            <w:vAlign w:val="bottom"/>
          </w:tcPr>
          <w:p w14:paraId="1C1F88DF" w14:textId="03F3C1F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6.3</w:t>
            </w:r>
          </w:p>
        </w:tc>
        <w:tc>
          <w:tcPr>
            <w:tcW w:w="500" w:type="dxa"/>
            <w:tcBorders>
              <w:top w:val="nil"/>
              <w:left w:val="nil"/>
              <w:bottom w:val="nil"/>
              <w:right w:val="nil"/>
            </w:tcBorders>
            <w:shd w:val="clear" w:color="000000" w:fill="FFFFFF"/>
            <w:noWrap/>
            <w:vAlign w:val="bottom"/>
          </w:tcPr>
          <w:p w14:paraId="00D29002" w14:textId="3965756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7.6</w:t>
            </w:r>
          </w:p>
        </w:tc>
        <w:tc>
          <w:tcPr>
            <w:tcW w:w="757" w:type="dxa"/>
            <w:gridSpan w:val="2"/>
            <w:tcBorders>
              <w:top w:val="nil"/>
              <w:left w:val="nil"/>
              <w:bottom w:val="nil"/>
              <w:right w:val="nil"/>
            </w:tcBorders>
            <w:shd w:val="clear" w:color="000000" w:fill="FFFFFF"/>
            <w:noWrap/>
            <w:vAlign w:val="bottom"/>
          </w:tcPr>
          <w:p w14:paraId="28EB4AA9" w14:textId="0454D0C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6.0</w:t>
            </w:r>
          </w:p>
        </w:tc>
        <w:tc>
          <w:tcPr>
            <w:tcW w:w="728" w:type="dxa"/>
            <w:tcBorders>
              <w:top w:val="nil"/>
              <w:left w:val="nil"/>
              <w:bottom w:val="nil"/>
              <w:right w:val="nil"/>
            </w:tcBorders>
            <w:shd w:val="clear" w:color="000000" w:fill="FFFFFF"/>
            <w:noWrap/>
            <w:vAlign w:val="bottom"/>
          </w:tcPr>
          <w:p w14:paraId="659BF622" w14:textId="44D9064E"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-7.3%</w:t>
            </w:r>
          </w:p>
        </w:tc>
        <w:tc>
          <w:tcPr>
            <w:tcW w:w="619" w:type="dxa"/>
            <w:gridSpan w:val="2"/>
            <w:tcBorders>
              <w:top w:val="nil"/>
              <w:left w:val="nil"/>
              <w:bottom w:val="nil"/>
              <w:right w:val="nil"/>
            </w:tcBorders>
            <w:shd w:val="clear" w:color="000000" w:fill="FFFFFF"/>
            <w:noWrap/>
            <w:vAlign w:val="bottom"/>
          </w:tcPr>
          <w:p w14:paraId="2B3E594C" w14:textId="54D3ACC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0.596</w:t>
            </w:r>
          </w:p>
        </w:tc>
      </w:tr>
      <w:tr w:rsidR="008F59BB" w:rsidRPr="00EA3957" w14:paraId="1EF6CED2" w14:textId="77777777" w:rsidTr="00244009">
        <w:trPr>
          <w:trHeight w:val="288"/>
        </w:trPr>
        <w:tc>
          <w:tcPr>
            <w:tcW w:w="1710" w:type="dxa"/>
            <w:tcBorders>
              <w:top w:val="nil"/>
              <w:left w:val="nil"/>
              <w:bottom w:val="nil"/>
              <w:right w:val="nil"/>
            </w:tcBorders>
            <w:shd w:val="clear" w:color="000000" w:fill="FFFFFF"/>
            <w:noWrap/>
            <w:vAlign w:val="bottom"/>
            <w:hideMark/>
          </w:tcPr>
          <w:p w14:paraId="6AF161FF"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49495A23" w14:textId="57987BA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151</w:t>
            </w:r>
          </w:p>
        </w:tc>
        <w:tc>
          <w:tcPr>
            <w:tcW w:w="630" w:type="dxa"/>
            <w:gridSpan w:val="2"/>
            <w:tcBorders>
              <w:top w:val="nil"/>
              <w:left w:val="nil"/>
              <w:bottom w:val="nil"/>
              <w:right w:val="nil"/>
            </w:tcBorders>
            <w:shd w:val="clear" w:color="000000" w:fill="FFFFFF"/>
            <w:noWrap/>
            <w:vAlign w:val="bottom"/>
          </w:tcPr>
          <w:p w14:paraId="1E13DD23" w14:textId="0FCD81D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245</w:t>
            </w:r>
          </w:p>
        </w:tc>
        <w:tc>
          <w:tcPr>
            <w:tcW w:w="99" w:type="dxa"/>
            <w:gridSpan w:val="2"/>
            <w:tcBorders>
              <w:top w:val="nil"/>
              <w:left w:val="nil"/>
              <w:bottom w:val="nil"/>
              <w:right w:val="nil"/>
            </w:tcBorders>
            <w:shd w:val="clear" w:color="000000" w:fill="FFFFFF"/>
            <w:noWrap/>
            <w:vAlign w:val="bottom"/>
          </w:tcPr>
          <w:p w14:paraId="7B175B2F" w14:textId="59FA5DA8"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A120140" w14:textId="74E7E65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$159</w:t>
            </w:r>
          </w:p>
        </w:tc>
        <w:tc>
          <w:tcPr>
            <w:tcW w:w="711" w:type="dxa"/>
            <w:gridSpan w:val="2"/>
            <w:tcBorders>
              <w:top w:val="nil"/>
              <w:left w:val="nil"/>
              <w:bottom w:val="nil"/>
              <w:right w:val="nil"/>
            </w:tcBorders>
            <w:shd w:val="clear" w:color="000000" w:fill="FFFFFF"/>
            <w:noWrap/>
            <w:vAlign w:val="bottom"/>
          </w:tcPr>
          <w:p w14:paraId="2FC6D2BC" w14:textId="7F7CC8E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$121</w:t>
            </w:r>
          </w:p>
        </w:tc>
        <w:tc>
          <w:tcPr>
            <w:tcW w:w="662" w:type="dxa"/>
            <w:tcBorders>
              <w:top w:val="nil"/>
              <w:left w:val="nil"/>
              <w:bottom w:val="nil"/>
              <w:right w:val="nil"/>
            </w:tcBorders>
            <w:shd w:val="clear" w:color="000000" w:fill="FFFFFF"/>
            <w:noWrap/>
            <w:vAlign w:val="bottom"/>
          </w:tcPr>
          <w:p w14:paraId="798F5202" w14:textId="71337D4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$162</w:t>
            </w:r>
          </w:p>
        </w:tc>
        <w:tc>
          <w:tcPr>
            <w:tcW w:w="711" w:type="dxa"/>
            <w:gridSpan w:val="2"/>
            <w:tcBorders>
              <w:top w:val="nil"/>
              <w:left w:val="nil"/>
              <w:bottom w:val="nil"/>
              <w:right w:val="nil"/>
            </w:tcBorders>
            <w:shd w:val="clear" w:color="000000" w:fill="FFFFFF"/>
            <w:noWrap/>
            <w:vAlign w:val="bottom"/>
          </w:tcPr>
          <w:p w14:paraId="0A49FD28" w14:textId="5F5B3F9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$146</w:t>
            </w:r>
          </w:p>
        </w:tc>
        <w:tc>
          <w:tcPr>
            <w:tcW w:w="728" w:type="dxa"/>
            <w:tcBorders>
              <w:top w:val="nil"/>
              <w:left w:val="nil"/>
              <w:bottom w:val="nil"/>
              <w:right w:val="nil"/>
            </w:tcBorders>
            <w:shd w:val="clear" w:color="000000" w:fill="FFFFFF"/>
            <w:noWrap/>
            <w:vAlign w:val="bottom"/>
          </w:tcPr>
          <w:p w14:paraId="5381A6B2" w14:textId="4AA3D32F"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-15.8%</w:t>
            </w:r>
          </w:p>
        </w:tc>
        <w:tc>
          <w:tcPr>
            <w:tcW w:w="584" w:type="dxa"/>
            <w:gridSpan w:val="2"/>
            <w:tcBorders>
              <w:top w:val="nil"/>
              <w:left w:val="nil"/>
              <w:bottom w:val="nil"/>
              <w:right w:val="nil"/>
            </w:tcBorders>
            <w:shd w:val="clear" w:color="000000" w:fill="FFFFFF"/>
            <w:noWrap/>
            <w:vAlign w:val="bottom"/>
          </w:tcPr>
          <w:p w14:paraId="2FE4D93A" w14:textId="09E97C8E"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0.349</w:t>
            </w:r>
          </w:p>
        </w:tc>
        <w:tc>
          <w:tcPr>
            <w:tcW w:w="82" w:type="dxa"/>
            <w:gridSpan w:val="2"/>
            <w:tcBorders>
              <w:top w:val="nil"/>
              <w:left w:val="nil"/>
              <w:bottom w:val="nil"/>
              <w:right w:val="nil"/>
            </w:tcBorders>
            <w:shd w:val="clear" w:color="000000" w:fill="FFFFFF"/>
            <w:noWrap/>
            <w:vAlign w:val="bottom"/>
          </w:tcPr>
          <w:p w14:paraId="796E4262" w14:textId="5D5C1C31"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5F5B246" w14:textId="31B25E0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10.7</w:t>
            </w:r>
          </w:p>
        </w:tc>
        <w:tc>
          <w:tcPr>
            <w:tcW w:w="798" w:type="dxa"/>
            <w:gridSpan w:val="2"/>
            <w:tcBorders>
              <w:top w:val="nil"/>
              <w:left w:val="nil"/>
              <w:bottom w:val="nil"/>
              <w:right w:val="nil"/>
            </w:tcBorders>
            <w:shd w:val="clear" w:color="000000" w:fill="FFFFFF"/>
            <w:noWrap/>
            <w:vAlign w:val="bottom"/>
          </w:tcPr>
          <w:p w14:paraId="0DC4E6E6" w14:textId="22CD8D9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500" w:type="dxa"/>
            <w:tcBorders>
              <w:top w:val="nil"/>
              <w:left w:val="nil"/>
              <w:bottom w:val="nil"/>
              <w:right w:val="nil"/>
            </w:tcBorders>
            <w:shd w:val="clear" w:color="000000" w:fill="FFFFFF"/>
            <w:noWrap/>
            <w:vAlign w:val="bottom"/>
          </w:tcPr>
          <w:p w14:paraId="55DAB343" w14:textId="42BE381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10.7</w:t>
            </w:r>
          </w:p>
        </w:tc>
        <w:tc>
          <w:tcPr>
            <w:tcW w:w="757" w:type="dxa"/>
            <w:gridSpan w:val="2"/>
            <w:tcBorders>
              <w:top w:val="nil"/>
              <w:left w:val="nil"/>
              <w:bottom w:val="nil"/>
              <w:right w:val="nil"/>
            </w:tcBorders>
            <w:shd w:val="clear" w:color="000000" w:fill="FFFFFF"/>
            <w:noWrap/>
            <w:vAlign w:val="bottom"/>
          </w:tcPr>
          <w:p w14:paraId="421BE389" w14:textId="167AC0D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28" w:type="dxa"/>
            <w:tcBorders>
              <w:top w:val="nil"/>
              <w:left w:val="nil"/>
              <w:bottom w:val="nil"/>
              <w:right w:val="nil"/>
            </w:tcBorders>
            <w:shd w:val="clear" w:color="000000" w:fill="FFFFFF"/>
            <w:noWrap/>
            <w:vAlign w:val="bottom"/>
          </w:tcPr>
          <w:p w14:paraId="42F4E293" w14:textId="7E43F26E"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2.2%</w:t>
            </w:r>
          </w:p>
        </w:tc>
        <w:tc>
          <w:tcPr>
            <w:tcW w:w="619" w:type="dxa"/>
            <w:gridSpan w:val="2"/>
            <w:tcBorders>
              <w:top w:val="nil"/>
              <w:left w:val="nil"/>
              <w:bottom w:val="nil"/>
              <w:right w:val="nil"/>
            </w:tcBorders>
            <w:shd w:val="clear" w:color="000000" w:fill="FFFFFF"/>
            <w:noWrap/>
            <w:vAlign w:val="bottom"/>
          </w:tcPr>
          <w:p w14:paraId="47A4F925" w14:textId="0FB8645E"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0.731</w:t>
            </w:r>
          </w:p>
        </w:tc>
      </w:tr>
      <w:tr w:rsidR="008F59BB" w:rsidRPr="00EA3957" w14:paraId="2FF44DA1" w14:textId="77777777" w:rsidTr="00244009">
        <w:trPr>
          <w:trHeight w:val="288"/>
        </w:trPr>
        <w:tc>
          <w:tcPr>
            <w:tcW w:w="1710" w:type="dxa"/>
            <w:tcBorders>
              <w:top w:val="nil"/>
              <w:left w:val="nil"/>
              <w:bottom w:val="nil"/>
              <w:right w:val="nil"/>
            </w:tcBorders>
            <w:shd w:val="clear" w:color="000000" w:fill="FFFFFF"/>
            <w:noWrap/>
            <w:vAlign w:val="bottom"/>
            <w:hideMark/>
          </w:tcPr>
          <w:p w14:paraId="7D69019D"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406FCE22" w14:textId="2FEF2E1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630" w:type="dxa"/>
            <w:gridSpan w:val="2"/>
            <w:tcBorders>
              <w:top w:val="nil"/>
              <w:left w:val="nil"/>
              <w:bottom w:val="nil"/>
              <w:right w:val="nil"/>
            </w:tcBorders>
            <w:shd w:val="clear" w:color="000000" w:fill="FFFFFF"/>
            <w:noWrap/>
            <w:vAlign w:val="bottom"/>
          </w:tcPr>
          <w:p w14:paraId="1C43CFFC" w14:textId="05C8B85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184</w:t>
            </w:r>
          </w:p>
        </w:tc>
        <w:tc>
          <w:tcPr>
            <w:tcW w:w="99" w:type="dxa"/>
            <w:gridSpan w:val="2"/>
            <w:tcBorders>
              <w:top w:val="nil"/>
              <w:left w:val="nil"/>
              <w:bottom w:val="nil"/>
              <w:right w:val="nil"/>
            </w:tcBorders>
            <w:shd w:val="clear" w:color="000000" w:fill="FFFFFF"/>
            <w:noWrap/>
            <w:vAlign w:val="bottom"/>
          </w:tcPr>
          <w:p w14:paraId="708EC405" w14:textId="0054EF73"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002ECFA" w14:textId="5572BC5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$199</w:t>
            </w:r>
          </w:p>
        </w:tc>
        <w:tc>
          <w:tcPr>
            <w:tcW w:w="711" w:type="dxa"/>
            <w:gridSpan w:val="2"/>
            <w:tcBorders>
              <w:top w:val="nil"/>
              <w:left w:val="nil"/>
              <w:bottom w:val="nil"/>
              <w:right w:val="nil"/>
            </w:tcBorders>
            <w:shd w:val="clear" w:color="000000" w:fill="FFFFFF"/>
            <w:noWrap/>
            <w:vAlign w:val="bottom"/>
          </w:tcPr>
          <w:p w14:paraId="7B4A01B7" w14:textId="2DAFF38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$85</w:t>
            </w:r>
          </w:p>
        </w:tc>
        <w:tc>
          <w:tcPr>
            <w:tcW w:w="662" w:type="dxa"/>
            <w:tcBorders>
              <w:top w:val="nil"/>
              <w:left w:val="nil"/>
              <w:bottom w:val="nil"/>
              <w:right w:val="nil"/>
            </w:tcBorders>
            <w:shd w:val="clear" w:color="000000" w:fill="FFFFFF"/>
            <w:noWrap/>
            <w:vAlign w:val="bottom"/>
          </w:tcPr>
          <w:p w14:paraId="6130D3F2" w14:textId="521D6FE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$115</w:t>
            </w:r>
          </w:p>
        </w:tc>
        <w:tc>
          <w:tcPr>
            <w:tcW w:w="711" w:type="dxa"/>
            <w:gridSpan w:val="2"/>
            <w:tcBorders>
              <w:top w:val="nil"/>
              <w:left w:val="nil"/>
              <w:bottom w:val="nil"/>
              <w:right w:val="nil"/>
            </w:tcBorders>
            <w:shd w:val="clear" w:color="000000" w:fill="FFFFFF"/>
            <w:noWrap/>
            <w:vAlign w:val="bottom"/>
          </w:tcPr>
          <w:p w14:paraId="293FDE88" w14:textId="4E5BF60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28" w:type="dxa"/>
            <w:tcBorders>
              <w:top w:val="nil"/>
              <w:left w:val="nil"/>
              <w:bottom w:val="nil"/>
              <w:right w:val="nil"/>
            </w:tcBorders>
            <w:shd w:val="clear" w:color="000000" w:fill="FFFFFF"/>
            <w:noWrap/>
            <w:vAlign w:val="bottom"/>
          </w:tcPr>
          <w:p w14:paraId="1248C54D" w14:textId="38FA019F"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-49.2%</w:t>
            </w:r>
          </w:p>
        </w:tc>
        <w:tc>
          <w:tcPr>
            <w:tcW w:w="584" w:type="dxa"/>
            <w:gridSpan w:val="2"/>
            <w:tcBorders>
              <w:top w:val="nil"/>
              <w:left w:val="nil"/>
              <w:bottom w:val="nil"/>
              <w:right w:val="nil"/>
            </w:tcBorders>
            <w:shd w:val="clear" w:color="000000" w:fill="FFFFFF"/>
            <w:noWrap/>
            <w:vAlign w:val="bottom"/>
          </w:tcPr>
          <w:p w14:paraId="0CC5CFCD" w14:textId="6A1D0880"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BC1A120" w14:textId="76DC0B3C"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6E4EFE32" w14:textId="72A7FCD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8.3</w:t>
            </w:r>
          </w:p>
        </w:tc>
        <w:tc>
          <w:tcPr>
            <w:tcW w:w="798" w:type="dxa"/>
            <w:gridSpan w:val="2"/>
            <w:tcBorders>
              <w:top w:val="nil"/>
              <w:left w:val="nil"/>
              <w:bottom w:val="nil"/>
              <w:right w:val="nil"/>
            </w:tcBorders>
            <w:shd w:val="clear" w:color="000000" w:fill="FFFFFF"/>
            <w:noWrap/>
            <w:vAlign w:val="bottom"/>
          </w:tcPr>
          <w:p w14:paraId="677ABF7E" w14:textId="319BFB0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7.9</w:t>
            </w:r>
          </w:p>
        </w:tc>
        <w:tc>
          <w:tcPr>
            <w:tcW w:w="500" w:type="dxa"/>
            <w:tcBorders>
              <w:top w:val="nil"/>
              <w:left w:val="nil"/>
              <w:bottom w:val="nil"/>
              <w:right w:val="nil"/>
            </w:tcBorders>
            <w:shd w:val="clear" w:color="000000" w:fill="FFFFFF"/>
            <w:noWrap/>
            <w:vAlign w:val="bottom"/>
          </w:tcPr>
          <w:p w14:paraId="6B114460" w14:textId="47F93E0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7.5</w:t>
            </w:r>
          </w:p>
        </w:tc>
        <w:tc>
          <w:tcPr>
            <w:tcW w:w="757" w:type="dxa"/>
            <w:gridSpan w:val="2"/>
            <w:tcBorders>
              <w:top w:val="nil"/>
              <w:left w:val="nil"/>
              <w:bottom w:val="nil"/>
              <w:right w:val="nil"/>
            </w:tcBorders>
            <w:shd w:val="clear" w:color="000000" w:fill="FFFFFF"/>
            <w:noWrap/>
            <w:vAlign w:val="bottom"/>
          </w:tcPr>
          <w:p w14:paraId="1078FD88" w14:textId="3FCDD5F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7.7</w:t>
            </w:r>
          </w:p>
        </w:tc>
        <w:tc>
          <w:tcPr>
            <w:tcW w:w="728" w:type="dxa"/>
            <w:tcBorders>
              <w:top w:val="nil"/>
              <w:left w:val="nil"/>
              <w:bottom w:val="nil"/>
              <w:right w:val="nil"/>
            </w:tcBorders>
            <w:shd w:val="clear" w:color="000000" w:fill="FFFFFF"/>
            <w:noWrap/>
            <w:vAlign w:val="bottom"/>
          </w:tcPr>
          <w:p w14:paraId="0CA2F831" w14:textId="5695E70D"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-6.7%</w:t>
            </w:r>
          </w:p>
        </w:tc>
        <w:tc>
          <w:tcPr>
            <w:tcW w:w="619" w:type="dxa"/>
            <w:gridSpan w:val="2"/>
            <w:tcBorders>
              <w:top w:val="nil"/>
              <w:left w:val="nil"/>
              <w:bottom w:val="nil"/>
              <w:right w:val="nil"/>
            </w:tcBorders>
            <w:shd w:val="clear" w:color="000000" w:fill="FFFFFF"/>
            <w:noWrap/>
            <w:vAlign w:val="bottom"/>
          </w:tcPr>
          <w:p w14:paraId="6318229A" w14:textId="4FCDCFC3"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0.371</w:t>
            </w:r>
          </w:p>
        </w:tc>
      </w:tr>
      <w:tr w:rsidR="008F59BB" w:rsidRPr="00EA3957" w14:paraId="73F81759" w14:textId="77777777" w:rsidTr="00244009">
        <w:trPr>
          <w:trHeight w:val="288"/>
        </w:trPr>
        <w:tc>
          <w:tcPr>
            <w:tcW w:w="1710" w:type="dxa"/>
            <w:tcBorders>
              <w:top w:val="nil"/>
              <w:left w:val="nil"/>
              <w:bottom w:val="nil"/>
              <w:right w:val="nil"/>
            </w:tcBorders>
            <w:shd w:val="clear" w:color="000000" w:fill="FFFFFF"/>
            <w:noWrap/>
            <w:vAlign w:val="bottom"/>
            <w:hideMark/>
          </w:tcPr>
          <w:p w14:paraId="4A52F19B"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6B0B9229" w14:textId="25A8573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508</w:t>
            </w:r>
          </w:p>
        </w:tc>
        <w:tc>
          <w:tcPr>
            <w:tcW w:w="630" w:type="dxa"/>
            <w:gridSpan w:val="2"/>
            <w:tcBorders>
              <w:top w:val="nil"/>
              <w:left w:val="nil"/>
              <w:bottom w:val="nil"/>
              <w:right w:val="nil"/>
            </w:tcBorders>
            <w:shd w:val="clear" w:color="000000" w:fill="FFFFFF"/>
            <w:noWrap/>
            <w:vAlign w:val="bottom"/>
          </w:tcPr>
          <w:p w14:paraId="35F31A58" w14:textId="4626979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959</w:t>
            </w:r>
          </w:p>
        </w:tc>
        <w:tc>
          <w:tcPr>
            <w:tcW w:w="99" w:type="dxa"/>
            <w:gridSpan w:val="2"/>
            <w:tcBorders>
              <w:top w:val="nil"/>
              <w:left w:val="nil"/>
              <w:bottom w:val="nil"/>
              <w:right w:val="nil"/>
            </w:tcBorders>
            <w:shd w:val="clear" w:color="000000" w:fill="FFFFFF"/>
            <w:noWrap/>
            <w:vAlign w:val="bottom"/>
          </w:tcPr>
          <w:p w14:paraId="4A4667BA" w14:textId="519382E8"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A062889" w14:textId="2311D77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$322</w:t>
            </w:r>
          </w:p>
        </w:tc>
        <w:tc>
          <w:tcPr>
            <w:tcW w:w="711" w:type="dxa"/>
            <w:gridSpan w:val="2"/>
            <w:tcBorders>
              <w:top w:val="nil"/>
              <w:left w:val="nil"/>
              <w:bottom w:val="nil"/>
              <w:right w:val="nil"/>
            </w:tcBorders>
            <w:shd w:val="clear" w:color="000000" w:fill="FFFFFF"/>
            <w:noWrap/>
            <w:vAlign w:val="bottom"/>
          </w:tcPr>
          <w:p w14:paraId="294DBAB5" w14:textId="7E83101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$299</w:t>
            </w:r>
          </w:p>
        </w:tc>
        <w:tc>
          <w:tcPr>
            <w:tcW w:w="662" w:type="dxa"/>
            <w:tcBorders>
              <w:top w:val="nil"/>
              <w:left w:val="nil"/>
              <w:bottom w:val="nil"/>
              <w:right w:val="nil"/>
            </w:tcBorders>
            <w:shd w:val="clear" w:color="000000" w:fill="FFFFFF"/>
            <w:noWrap/>
            <w:vAlign w:val="bottom"/>
          </w:tcPr>
          <w:p w14:paraId="2600684E" w14:textId="050D673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$361</w:t>
            </w:r>
          </w:p>
        </w:tc>
        <w:tc>
          <w:tcPr>
            <w:tcW w:w="711" w:type="dxa"/>
            <w:gridSpan w:val="2"/>
            <w:tcBorders>
              <w:top w:val="nil"/>
              <w:left w:val="nil"/>
              <w:bottom w:val="nil"/>
              <w:right w:val="nil"/>
            </w:tcBorders>
            <w:shd w:val="clear" w:color="000000" w:fill="FFFFFF"/>
            <w:noWrap/>
            <w:vAlign w:val="bottom"/>
          </w:tcPr>
          <w:p w14:paraId="78AE34CD" w14:textId="6E3CDA6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$386</w:t>
            </w:r>
          </w:p>
        </w:tc>
        <w:tc>
          <w:tcPr>
            <w:tcW w:w="728" w:type="dxa"/>
            <w:tcBorders>
              <w:top w:val="nil"/>
              <w:left w:val="nil"/>
              <w:bottom w:val="nil"/>
              <w:right w:val="nil"/>
            </w:tcBorders>
            <w:shd w:val="clear" w:color="000000" w:fill="FFFFFF"/>
            <w:noWrap/>
            <w:vAlign w:val="bottom"/>
          </w:tcPr>
          <w:p w14:paraId="4E2C8CB7" w14:textId="2F92A6B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-13.2%</w:t>
            </w:r>
          </w:p>
        </w:tc>
        <w:tc>
          <w:tcPr>
            <w:tcW w:w="584" w:type="dxa"/>
            <w:gridSpan w:val="2"/>
            <w:tcBorders>
              <w:top w:val="nil"/>
              <w:left w:val="nil"/>
              <w:bottom w:val="nil"/>
              <w:right w:val="nil"/>
            </w:tcBorders>
            <w:shd w:val="clear" w:color="000000" w:fill="FFFFFF"/>
            <w:noWrap/>
            <w:vAlign w:val="bottom"/>
          </w:tcPr>
          <w:p w14:paraId="1E1F2638" w14:textId="281173B3"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0.065</w:t>
            </w:r>
          </w:p>
        </w:tc>
        <w:tc>
          <w:tcPr>
            <w:tcW w:w="82" w:type="dxa"/>
            <w:gridSpan w:val="2"/>
            <w:tcBorders>
              <w:top w:val="nil"/>
              <w:left w:val="nil"/>
              <w:bottom w:val="nil"/>
              <w:right w:val="nil"/>
            </w:tcBorders>
            <w:shd w:val="clear" w:color="000000" w:fill="FFFFFF"/>
            <w:noWrap/>
            <w:vAlign w:val="bottom"/>
          </w:tcPr>
          <w:p w14:paraId="2C09EEBD" w14:textId="409051A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4188B93" w14:textId="7B98386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16.3</w:t>
            </w:r>
          </w:p>
        </w:tc>
        <w:tc>
          <w:tcPr>
            <w:tcW w:w="798" w:type="dxa"/>
            <w:gridSpan w:val="2"/>
            <w:tcBorders>
              <w:top w:val="nil"/>
              <w:left w:val="nil"/>
              <w:bottom w:val="nil"/>
              <w:right w:val="nil"/>
            </w:tcBorders>
            <w:shd w:val="clear" w:color="000000" w:fill="FFFFFF"/>
            <w:noWrap/>
            <w:vAlign w:val="bottom"/>
          </w:tcPr>
          <w:p w14:paraId="0CAF41C0" w14:textId="19B9642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17.1</w:t>
            </w:r>
          </w:p>
        </w:tc>
        <w:tc>
          <w:tcPr>
            <w:tcW w:w="500" w:type="dxa"/>
            <w:tcBorders>
              <w:top w:val="nil"/>
              <w:left w:val="nil"/>
              <w:bottom w:val="nil"/>
              <w:right w:val="nil"/>
            </w:tcBorders>
            <w:shd w:val="clear" w:color="000000" w:fill="FFFFFF"/>
            <w:noWrap/>
            <w:vAlign w:val="bottom"/>
          </w:tcPr>
          <w:p w14:paraId="3A7A10D5" w14:textId="7843C24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18.9</w:t>
            </w:r>
          </w:p>
        </w:tc>
        <w:tc>
          <w:tcPr>
            <w:tcW w:w="757" w:type="dxa"/>
            <w:gridSpan w:val="2"/>
            <w:tcBorders>
              <w:top w:val="nil"/>
              <w:left w:val="nil"/>
              <w:bottom w:val="nil"/>
              <w:right w:val="nil"/>
            </w:tcBorders>
            <w:shd w:val="clear" w:color="000000" w:fill="FFFFFF"/>
            <w:noWrap/>
            <w:vAlign w:val="bottom"/>
          </w:tcPr>
          <w:p w14:paraId="77E48A0D" w14:textId="5A80C14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17.2</w:t>
            </w:r>
          </w:p>
        </w:tc>
        <w:tc>
          <w:tcPr>
            <w:tcW w:w="728" w:type="dxa"/>
            <w:tcBorders>
              <w:top w:val="nil"/>
              <w:left w:val="nil"/>
              <w:bottom w:val="nil"/>
              <w:right w:val="nil"/>
            </w:tcBorders>
            <w:shd w:val="clear" w:color="000000" w:fill="FFFFFF"/>
            <w:noWrap/>
            <w:vAlign w:val="bottom"/>
          </w:tcPr>
          <w:p w14:paraId="15910A4A" w14:textId="1884D17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15.4%</w:t>
            </w:r>
          </w:p>
        </w:tc>
        <w:tc>
          <w:tcPr>
            <w:tcW w:w="619" w:type="dxa"/>
            <w:gridSpan w:val="2"/>
            <w:tcBorders>
              <w:top w:val="nil"/>
              <w:left w:val="nil"/>
              <w:bottom w:val="nil"/>
              <w:right w:val="nil"/>
            </w:tcBorders>
            <w:shd w:val="clear" w:color="000000" w:fill="FFFFFF"/>
            <w:noWrap/>
            <w:vAlign w:val="bottom"/>
          </w:tcPr>
          <w:p w14:paraId="78446C35" w14:textId="3A637215"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6C5A87" w:rsidRPr="00EA3957" w14:paraId="2907068B" w14:textId="77777777" w:rsidTr="008F59BB">
        <w:trPr>
          <w:trHeight w:val="288"/>
        </w:trPr>
        <w:tc>
          <w:tcPr>
            <w:tcW w:w="1710" w:type="dxa"/>
            <w:tcBorders>
              <w:top w:val="nil"/>
              <w:left w:val="nil"/>
              <w:bottom w:val="nil"/>
              <w:right w:val="nil"/>
            </w:tcBorders>
            <w:shd w:val="clear" w:color="000000" w:fill="FFFFFF"/>
            <w:noWrap/>
            <w:vAlign w:val="bottom"/>
            <w:hideMark/>
          </w:tcPr>
          <w:p w14:paraId="0FA4B955" w14:textId="55090C10" w:rsidR="006C5A87" w:rsidRPr="00C2204F" w:rsidRDefault="008F59BB" w:rsidP="00244009">
            <w:pPr>
              <w:spacing w:after="0" w:line="240" w:lineRule="auto"/>
              <w:rPr>
                <w:rFonts w:ascii="Calibri" w:eastAsia="Times New Roman" w:hAnsi="Calibri"/>
                <w:b/>
                <w:bCs/>
                <w:sz w:val="16"/>
                <w:szCs w:val="16"/>
                <w:u w:val="single"/>
              </w:rPr>
            </w:pPr>
            <w:r>
              <w:rPr>
                <w:rFonts w:ascii="Calibri" w:hAnsi="Calibri"/>
                <w:b/>
                <w:bCs/>
                <w:sz w:val="16"/>
                <w:szCs w:val="16"/>
                <w:u w:val="single"/>
              </w:rPr>
              <w:t xml:space="preserve">≥75% white </w:t>
            </w:r>
            <w:proofErr w:type="spellStart"/>
            <w:r>
              <w:rPr>
                <w:rFonts w:ascii="Calibri" w:hAnsi="Calibri"/>
                <w:b/>
                <w:bCs/>
                <w:sz w:val="16"/>
                <w:szCs w:val="16"/>
                <w:u w:val="single"/>
              </w:rPr>
              <w:t>nbhd</w:t>
            </w:r>
            <w:proofErr w:type="spellEnd"/>
            <w:r>
              <w:rPr>
                <w:rFonts w:ascii="Calibri" w:hAnsi="Calibri"/>
                <w:b/>
                <w:bCs/>
                <w:sz w:val="16"/>
                <w:szCs w:val="16"/>
                <w:u w:val="single"/>
              </w:rPr>
              <w:t>. &amp;&amp;</w:t>
            </w:r>
          </w:p>
        </w:tc>
        <w:tc>
          <w:tcPr>
            <w:tcW w:w="450" w:type="dxa"/>
            <w:tcBorders>
              <w:top w:val="nil"/>
              <w:left w:val="nil"/>
              <w:bottom w:val="nil"/>
              <w:right w:val="nil"/>
            </w:tcBorders>
            <w:shd w:val="clear" w:color="000000" w:fill="FFFFFF"/>
            <w:noWrap/>
            <w:vAlign w:val="bottom"/>
          </w:tcPr>
          <w:p w14:paraId="3D669911" w14:textId="52C0C96A" w:rsidR="006C5A87" w:rsidRPr="00EA3957" w:rsidRDefault="006C5A87" w:rsidP="00244009">
            <w:pPr>
              <w:spacing w:after="0" w:line="240" w:lineRule="auto"/>
              <w:rPr>
                <w:rFonts w:ascii="Calibri" w:eastAsia="Times New Roman" w:hAnsi="Calibri" w:cs="Times New Roman"/>
                <w:sz w:val="16"/>
                <w:szCs w:val="16"/>
              </w:rPr>
            </w:pPr>
          </w:p>
        </w:tc>
        <w:tc>
          <w:tcPr>
            <w:tcW w:w="630" w:type="dxa"/>
            <w:gridSpan w:val="2"/>
            <w:tcBorders>
              <w:top w:val="nil"/>
              <w:left w:val="nil"/>
              <w:bottom w:val="nil"/>
              <w:right w:val="nil"/>
            </w:tcBorders>
            <w:shd w:val="clear" w:color="000000" w:fill="FFFFFF"/>
            <w:noWrap/>
            <w:vAlign w:val="bottom"/>
          </w:tcPr>
          <w:p w14:paraId="240AFAF1" w14:textId="48CBEFF1" w:rsidR="006C5A87" w:rsidRPr="00EA3957" w:rsidRDefault="006C5A87" w:rsidP="00244009">
            <w:pPr>
              <w:spacing w:after="0" w:line="240" w:lineRule="auto"/>
              <w:rPr>
                <w:rFonts w:ascii="Calibri" w:eastAsia="Times New Roman" w:hAnsi="Calibri" w:cs="Times New Roman"/>
                <w:sz w:val="16"/>
                <w:szCs w:val="16"/>
              </w:rPr>
            </w:pPr>
          </w:p>
        </w:tc>
        <w:tc>
          <w:tcPr>
            <w:tcW w:w="99" w:type="dxa"/>
            <w:gridSpan w:val="2"/>
            <w:tcBorders>
              <w:top w:val="nil"/>
              <w:left w:val="nil"/>
              <w:bottom w:val="nil"/>
              <w:right w:val="nil"/>
            </w:tcBorders>
            <w:shd w:val="clear" w:color="000000" w:fill="FFFFFF"/>
            <w:noWrap/>
            <w:vAlign w:val="bottom"/>
          </w:tcPr>
          <w:p w14:paraId="5449BA41" w14:textId="4888F280" w:rsidR="006C5A87" w:rsidRPr="00EA3957" w:rsidRDefault="006C5A87" w:rsidP="00244009">
            <w:pPr>
              <w:spacing w:after="0" w:line="240" w:lineRule="auto"/>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2B7B2D20" w14:textId="6DE014C0" w:rsidR="006C5A87" w:rsidRPr="00EA3957" w:rsidRDefault="006C5A87" w:rsidP="00244009">
            <w:pPr>
              <w:spacing w:after="0" w:line="240" w:lineRule="auto"/>
              <w:jc w:val="center"/>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2F7EF27A" w14:textId="3E416582" w:rsidR="006C5A87" w:rsidRPr="00EA3957" w:rsidRDefault="006C5A87" w:rsidP="00244009">
            <w:pPr>
              <w:spacing w:after="0" w:line="240" w:lineRule="auto"/>
              <w:jc w:val="center"/>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34290198" w14:textId="251F5660" w:rsidR="006C5A87" w:rsidRPr="00EA3957" w:rsidRDefault="006C5A87" w:rsidP="00244009">
            <w:pPr>
              <w:spacing w:after="0" w:line="240" w:lineRule="auto"/>
              <w:jc w:val="center"/>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242F04CE" w14:textId="121AB1B0" w:rsidR="006C5A87" w:rsidRPr="00EA3957" w:rsidRDefault="006C5A87" w:rsidP="00244009">
            <w:pPr>
              <w:spacing w:after="0" w:line="240" w:lineRule="auto"/>
              <w:jc w:val="center"/>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3AD80B7B" w14:textId="31548262" w:rsidR="006C5A87" w:rsidRPr="00EA3957" w:rsidRDefault="006C5A87" w:rsidP="00244009">
            <w:pPr>
              <w:spacing w:after="0" w:line="240" w:lineRule="auto"/>
              <w:rPr>
                <w:rFonts w:ascii="Calibri" w:eastAsia="Times New Roman" w:hAnsi="Calibri" w:cs="Times New Roman"/>
                <w:sz w:val="16"/>
                <w:szCs w:val="16"/>
              </w:rPr>
            </w:pPr>
          </w:p>
        </w:tc>
        <w:tc>
          <w:tcPr>
            <w:tcW w:w="584" w:type="dxa"/>
            <w:gridSpan w:val="2"/>
            <w:tcBorders>
              <w:top w:val="nil"/>
              <w:left w:val="nil"/>
              <w:bottom w:val="nil"/>
              <w:right w:val="nil"/>
            </w:tcBorders>
            <w:shd w:val="clear" w:color="000000" w:fill="FFFFFF"/>
            <w:noWrap/>
            <w:vAlign w:val="bottom"/>
          </w:tcPr>
          <w:p w14:paraId="0D3D53D0" w14:textId="4D46D48A" w:rsidR="006C5A87" w:rsidRPr="00EA3957" w:rsidRDefault="006C5A87" w:rsidP="00244009">
            <w:pPr>
              <w:spacing w:after="0" w:line="240" w:lineRule="auto"/>
              <w:jc w:val="center"/>
              <w:rPr>
                <w:rFonts w:ascii="Calibri" w:eastAsia="Times New Roman" w:hAnsi="Calibri" w:cs="Times New Roman"/>
                <w:sz w:val="16"/>
                <w:szCs w:val="16"/>
              </w:rPr>
            </w:pPr>
          </w:p>
        </w:tc>
        <w:tc>
          <w:tcPr>
            <w:tcW w:w="82" w:type="dxa"/>
            <w:gridSpan w:val="2"/>
            <w:tcBorders>
              <w:top w:val="nil"/>
              <w:left w:val="nil"/>
              <w:bottom w:val="nil"/>
              <w:right w:val="nil"/>
            </w:tcBorders>
            <w:shd w:val="clear" w:color="000000" w:fill="FFFFFF"/>
            <w:noWrap/>
            <w:vAlign w:val="bottom"/>
          </w:tcPr>
          <w:p w14:paraId="04C51C25" w14:textId="631F9292" w:rsidR="006C5A87" w:rsidRPr="00EA3957" w:rsidRDefault="006C5A87" w:rsidP="00244009">
            <w:pPr>
              <w:spacing w:after="0" w:line="240" w:lineRule="auto"/>
              <w:jc w:val="center"/>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18D57928" w14:textId="4ED882D2" w:rsidR="006C5A87" w:rsidRPr="00EA3957" w:rsidRDefault="006C5A87" w:rsidP="00244009">
            <w:pPr>
              <w:spacing w:after="0" w:line="240" w:lineRule="auto"/>
              <w:jc w:val="center"/>
              <w:rPr>
                <w:rFonts w:ascii="Calibri" w:eastAsia="Times New Roman" w:hAnsi="Calibri" w:cs="Times New Roman"/>
                <w:sz w:val="16"/>
                <w:szCs w:val="16"/>
              </w:rPr>
            </w:pPr>
          </w:p>
        </w:tc>
        <w:tc>
          <w:tcPr>
            <w:tcW w:w="798" w:type="dxa"/>
            <w:gridSpan w:val="2"/>
            <w:tcBorders>
              <w:top w:val="nil"/>
              <w:left w:val="nil"/>
              <w:bottom w:val="nil"/>
              <w:right w:val="nil"/>
            </w:tcBorders>
            <w:shd w:val="clear" w:color="000000" w:fill="FFFFFF"/>
            <w:noWrap/>
            <w:vAlign w:val="bottom"/>
          </w:tcPr>
          <w:p w14:paraId="5095B278" w14:textId="1156ED41" w:rsidR="006C5A87" w:rsidRPr="00EA3957" w:rsidRDefault="006C5A87" w:rsidP="00244009">
            <w:pPr>
              <w:spacing w:after="0" w:line="240" w:lineRule="auto"/>
              <w:jc w:val="center"/>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19EC959D" w14:textId="67E683B0" w:rsidR="006C5A87" w:rsidRPr="00EA3957" w:rsidRDefault="006C5A87" w:rsidP="00244009">
            <w:pPr>
              <w:spacing w:after="0" w:line="240" w:lineRule="auto"/>
              <w:jc w:val="center"/>
              <w:rPr>
                <w:rFonts w:ascii="Calibri" w:eastAsia="Times New Roman" w:hAnsi="Calibri" w:cs="Times New Roman"/>
                <w:sz w:val="16"/>
                <w:szCs w:val="16"/>
              </w:rPr>
            </w:pPr>
          </w:p>
        </w:tc>
        <w:tc>
          <w:tcPr>
            <w:tcW w:w="757" w:type="dxa"/>
            <w:gridSpan w:val="2"/>
            <w:tcBorders>
              <w:top w:val="nil"/>
              <w:left w:val="nil"/>
              <w:bottom w:val="nil"/>
              <w:right w:val="nil"/>
            </w:tcBorders>
            <w:shd w:val="clear" w:color="000000" w:fill="FFFFFF"/>
            <w:noWrap/>
            <w:vAlign w:val="bottom"/>
          </w:tcPr>
          <w:p w14:paraId="243470B8" w14:textId="7B72384B" w:rsidR="006C5A87" w:rsidRPr="00EA3957" w:rsidRDefault="006C5A87" w:rsidP="00244009">
            <w:pPr>
              <w:spacing w:after="0" w:line="240" w:lineRule="auto"/>
              <w:jc w:val="center"/>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0AD4FDAB" w14:textId="226AEF7C" w:rsidR="006C5A87" w:rsidRPr="00EA3957" w:rsidRDefault="006C5A87" w:rsidP="00244009">
            <w:pPr>
              <w:spacing w:after="0" w:line="240" w:lineRule="auto"/>
              <w:rPr>
                <w:rFonts w:ascii="Calibri" w:eastAsia="Times New Roman" w:hAnsi="Calibri" w:cs="Times New Roman"/>
                <w:sz w:val="16"/>
                <w:szCs w:val="16"/>
              </w:rPr>
            </w:pPr>
          </w:p>
        </w:tc>
        <w:tc>
          <w:tcPr>
            <w:tcW w:w="619" w:type="dxa"/>
            <w:gridSpan w:val="2"/>
            <w:tcBorders>
              <w:top w:val="nil"/>
              <w:left w:val="nil"/>
              <w:bottom w:val="nil"/>
              <w:right w:val="nil"/>
            </w:tcBorders>
            <w:shd w:val="clear" w:color="000000" w:fill="FFFFFF"/>
            <w:noWrap/>
            <w:vAlign w:val="bottom"/>
          </w:tcPr>
          <w:p w14:paraId="28142CCA" w14:textId="2EA2462D" w:rsidR="006C5A87" w:rsidRPr="00EA3957" w:rsidRDefault="006C5A87" w:rsidP="00244009">
            <w:pPr>
              <w:spacing w:after="0" w:line="240" w:lineRule="auto"/>
              <w:jc w:val="center"/>
              <w:rPr>
                <w:rFonts w:ascii="Calibri" w:eastAsia="Times New Roman" w:hAnsi="Calibri" w:cs="Times New Roman"/>
                <w:sz w:val="16"/>
                <w:szCs w:val="16"/>
              </w:rPr>
            </w:pPr>
          </w:p>
        </w:tc>
      </w:tr>
      <w:tr w:rsidR="008F59BB" w:rsidRPr="00EA3957" w14:paraId="1700A2C7" w14:textId="77777777" w:rsidTr="00244009">
        <w:trPr>
          <w:trHeight w:val="288"/>
        </w:trPr>
        <w:tc>
          <w:tcPr>
            <w:tcW w:w="1710" w:type="dxa"/>
            <w:tcBorders>
              <w:top w:val="nil"/>
              <w:left w:val="nil"/>
              <w:bottom w:val="nil"/>
              <w:right w:val="nil"/>
            </w:tcBorders>
            <w:shd w:val="clear" w:color="000000" w:fill="FFFFFF"/>
            <w:noWrap/>
            <w:vAlign w:val="bottom"/>
            <w:hideMark/>
          </w:tcPr>
          <w:p w14:paraId="0D92CF14"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541ED7CE" w14:textId="682CD8D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1020</w:t>
            </w:r>
          </w:p>
        </w:tc>
        <w:tc>
          <w:tcPr>
            <w:tcW w:w="630" w:type="dxa"/>
            <w:gridSpan w:val="2"/>
            <w:tcBorders>
              <w:top w:val="nil"/>
              <w:left w:val="nil"/>
              <w:bottom w:val="nil"/>
              <w:right w:val="nil"/>
            </w:tcBorders>
            <w:shd w:val="clear" w:color="000000" w:fill="FFFFFF"/>
            <w:noWrap/>
            <w:vAlign w:val="bottom"/>
          </w:tcPr>
          <w:p w14:paraId="3E49D3C0" w14:textId="1B875FD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1975</w:t>
            </w:r>
          </w:p>
        </w:tc>
        <w:tc>
          <w:tcPr>
            <w:tcW w:w="99" w:type="dxa"/>
            <w:gridSpan w:val="2"/>
            <w:tcBorders>
              <w:top w:val="nil"/>
              <w:left w:val="nil"/>
              <w:bottom w:val="nil"/>
              <w:right w:val="nil"/>
            </w:tcBorders>
            <w:shd w:val="clear" w:color="000000" w:fill="FFFFFF"/>
            <w:noWrap/>
            <w:vAlign w:val="bottom"/>
          </w:tcPr>
          <w:p w14:paraId="314D4564" w14:textId="33746345"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C6BE298" w14:textId="13110F5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$1,333</w:t>
            </w:r>
          </w:p>
        </w:tc>
        <w:tc>
          <w:tcPr>
            <w:tcW w:w="711" w:type="dxa"/>
            <w:gridSpan w:val="2"/>
            <w:tcBorders>
              <w:top w:val="nil"/>
              <w:left w:val="nil"/>
              <w:bottom w:val="nil"/>
              <w:right w:val="nil"/>
            </w:tcBorders>
            <w:shd w:val="clear" w:color="000000" w:fill="FFFFFF"/>
            <w:noWrap/>
            <w:vAlign w:val="bottom"/>
          </w:tcPr>
          <w:p w14:paraId="51E0D62E" w14:textId="1085EB6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$1,385</w:t>
            </w:r>
          </w:p>
        </w:tc>
        <w:tc>
          <w:tcPr>
            <w:tcW w:w="662" w:type="dxa"/>
            <w:tcBorders>
              <w:top w:val="nil"/>
              <w:left w:val="nil"/>
              <w:bottom w:val="nil"/>
              <w:right w:val="nil"/>
            </w:tcBorders>
            <w:shd w:val="clear" w:color="000000" w:fill="FFFFFF"/>
            <w:noWrap/>
            <w:vAlign w:val="bottom"/>
          </w:tcPr>
          <w:p w14:paraId="39859161" w14:textId="7CA37DE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$1,109</w:t>
            </w:r>
          </w:p>
        </w:tc>
        <w:tc>
          <w:tcPr>
            <w:tcW w:w="711" w:type="dxa"/>
            <w:gridSpan w:val="2"/>
            <w:tcBorders>
              <w:top w:val="nil"/>
              <w:left w:val="nil"/>
              <w:bottom w:val="nil"/>
              <w:right w:val="nil"/>
            </w:tcBorders>
            <w:shd w:val="clear" w:color="000000" w:fill="FFFFFF"/>
            <w:noWrap/>
            <w:vAlign w:val="bottom"/>
          </w:tcPr>
          <w:p w14:paraId="54271AF1" w14:textId="272180A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$1,856</w:t>
            </w:r>
          </w:p>
        </w:tc>
        <w:tc>
          <w:tcPr>
            <w:tcW w:w="728" w:type="dxa"/>
            <w:tcBorders>
              <w:top w:val="nil"/>
              <w:left w:val="nil"/>
              <w:bottom w:val="nil"/>
              <w:right w:val="nil"/>
            </w:tcBorders>
            <w:shd w:val="clear" w:color="000000" w:fill="FFFFFF"/>
            <w:noWrap/>
            <w:vAlign w:val="bottom"/>
          </w:tcPr>
          <w:p w14:paraId="7B416E2F" w14:textId="4B504A13"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-37.9%</w:t>
            </w:r>
          </w:p>
        </w:tc>
        <w:tc>
          <w:tcPr>
            <w:tcW w:w="584" w:type="dxa"/>
            <w:gridSpan w:val="2"/>
            <w:tcBorders>
              <w:top w:val="nil"/>
              <w:left w:val="nil"/>
              <w:bottom w:val="nil"/>
              <w:right w:val="nil"/>
            </w:tcBorders>
            <w:shd w:val="clear" w:color="000000" w:fill="FFFFFF"/>
            <w:noWrap/>
            <w:vAlign w:val="bottom"/>
          </w:tcPr>
          <w:p w14:paraId="182CEABA" w14:textId="62368D7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E35998C" w14:textId="61DE3B3D"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9503746" w14:textId="25937CA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49.0</w:t>
            </w:r>
          </w:p>
        </w:tc>
        <w:tc>
          <w:tcPr>
            <w:tcW w:w="798" w:type="dxa"/>
            <w:gridSpan w:val="2"/>
            <w:tcBorders>
              <w:top w:val="nil"/>
              <w:left w:val="nil"/>
              <w:bottom w:val="nil"/>
              <w:right w:val="nil"/>
            </w:tcBorders>
            <w:shd w:val="clear" w:color="000000" w:fill="FFFFFF"/>
            <w:noWrap/>
            <w:vAlign w:val="bottom"/>
          </w:tcPr>
          <w:p w14:paraId="556540BC" w14:textId="26222FA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50.4</w:t>
            </w:r>
          </w:p>
        </w:tc>
        <w:tc>
          <w:tcPr>
            <w:tcW w:w="500" w:type="dxa"/>
            <w:tcBorders>
              <w:top w:val="nil"/>
              <w:left w:val="nil"/>
              <w:bottom w:val="nil"/>
              <w:right w:val="nil"/>
            </w:tcBorders>
            <w:shd w:val="clear" w:color="000000" w:fill="FFFFFF"/>
            <w:noWrap/>
            <w:vAlign w:val="bottom"/>
          </w:tcPr>
          <w:p w14:paraId="28715101" w14:textId="088A950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60.7</w:t>
            </w:r>
          </w:p>
        </w:tc>
        <w:tc>
          <w:tcPr>
            <w:tcW w:w="757" w:type="dxa"/>
            <w:gridSpan w:val="2"/>
            <w:tcBorders>
              <w:top w:val="nil"/>
              <w:left w:val="nil"/>
              <w:bottom w:val="nil"/>
              <w:right w:val="nil"/>
            </w:tcBorders>
            <w:shd w:val="clear" w:color="000000" w:fill="FFFFFF"/>
            <w:noWrap/>
            <w:vAlign w:val="bottom"/>
          </w:tcPr>
          <w:p w14:paraId="1E3D4BA3" w14:textId="4783D6F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57.4</w:t>
            </w:r>
          </w:p>
        </w:tc>
        <w:tc>
          <w:tcPr>
            <w:tcW w:w="728" w:type="dxa"/>
            <w:tcBorders>
              <w:top w:val="nil"/>
              <w:left w:val="nil"/>
              <w:bottom w:val="nil"/>
              <w:right w:val="nil"/>
            </w:tcBorders>
            <w:shd w:val="clear" w:color="000000" w:fill="FFFFFF"/>
            <w:noWrap/>
            <w:vAlign w:val="bottom"/>
          </w:tcPr>
          <w:p w14:paraId="308B6F80" w14:textId="27DB1FD2"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8.7%</w:t>
            </w:r>
          </w:p>
        </w:tc>
        <w:tc>
          <w:tcPr>
            <w:tcW w:w="619" w:type="dxa"/>
            <w:gridSpan w:val="2"/>
            <w:tcBorders>
              <w:top w:val="nil"/>
              <w:left w:val="nil"/>
              <w:bottom w:val="nil"/>
              <w:right w:val="nil"/>
            </w:tcBorders>
            <w:shd w:val="clear" w:color="000000" w:fill="FFFFFF"/>
            <w:noWrap/>
            <w:vAlign w:val="bottom"/>
          </w:tcPr>
          <w:p w14:paraId="70415FAF" w14:textId="1C607D7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8F59BB" w:rsidRPr="00EA3957" w14:paraId="6E31384A" w14:textId="77777777" w:rsidTr="00244009">
        <w:trPr>
          <w:trHeight w:val="288"/>
        </w:trPr>
        <w:tc>
          <w:tcPr>
            <w:tcW w:w="1710" w:type="dxa"/>
            <w:tcBorders>
              <w:top w:val="nil"/>
              <w:left w:val="nil"/>
              <w:bottom w:val="nil"/>
              <w:right w:val="nil"/>
            </w:tcBorders>
            <w:shd w:val="clear" w:color="000000" w:fill="FFFFFF"/>
            <w:noWrap/>
            <w:vAlign w:val="bottom"/>
            <w:hideMark/>
          </w:tcPr>
          <w:p w14:paraId="0E717CD8"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32CF2810" w14:textId="3CB98D8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639</w:t>
            </w:r>
          </w:p>
        </w:tc>
        <w:tc>
          <w:tcPr>
            <w:tcW w:w="630" w:type="dxa"/>
            <w:gridSpan w:val="2"/>
            <w:tcBorders>
              <w:top w:val="nil"/>
              <w:left w:val="nil"/>
              <w:bottom w:val="nil"/>
              <w:right w:val="nil"/>
            </w:tcBorders>
            <w:shd w:val="clear" w:color="000000" w:fill="FFFFFF"/>
            <w:noWrap/>
            <w:vAlign w:val="bottom"/>
          </w:tcPr>
          <w:p w14:paraId="5040AD20" w14:textId="35774B5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1219</w:t>
            </w:r>
          </w:p>
        </w:tc>
        <w:tc>
          <w:tcPr>
            <w:tcW w:w="99" w:type="dxa"/>
            <w:gridSpan w:val="2"/>
            <w:tcBorders>
              <w:top w:val="nil"/>
              <w:left w:val="nil"/>
              <w:bottom w:val="nil"/>
              <w:right w:val="nil"/>
            </w:tcBorders>
            <w:shd w:val="clear" w:color="000000" w:fill="FFFFFF"/>
            <w:noWrap/>
            <w:vAlign w:val="bottom"/>
          </w:tcPr>
          <w:p w14:paraId="5C3E911F" w14:textId="3C91ED2C"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7522CB3" w14:textId="45447D0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$434</w:t>
            </w:r>
          </w:p>
        </w:tc>
        <w:tc>
          <w:tcPr>
            <w:tcW w:w="711" w:type="dxa"/>
            <w:gridSpan w:val="2"/>
            <w:tcBorders>
              <w:top w:val="nil"/>
              <w:left w:val="nil"/>
              <w:bottom w:val="nil"/>
              <w:right w:val="nil"/>
            </w:tcBorders>
            <w:shd w:val="clear" w:color="000000" w:fill="FFFFFF"/>
            <w:noWrap/>
            <w:vAlign w:val="bottom"/>
          </w:tcPr>
          <w:p w14:paraId="5689B215" w14:textId="6F7DAA1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$379</w:t>
            </w:r>
          </w:p>
        </w:tc>
        <w:tc>
          <w:tcPr>
            <w:tcW w:w="662" w:type="dxa"/>
            <w:tcBorders>
              <w:top w:val="nil"/>
              <w:left w:val="nil"/>
              <w:bottom w:val="nil"/>
              <w:right w:val="nil"/>
            </w:tcBorders>
            <w:shd w:val="clear" w:color="000000" w:fill="FFFFFF"/>
            <w:noWrap/>
            <w:vAlign w:val="bottom"/>
          </w:tcPr>
          <w:p w14:paraId="7B81AE69" w14:textId="42F437A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$298</w:t>
            </w:r>
          </w:p>
        </w:tc>
        <w:tc>
          <w:tcPr>
            <w:tcW w:w="711" w:type="dxa"/>
            <w:gridSpan w:val="2"/>
            <w:tcBorders>
              <w:top w:val="nil"/>
              <w:left w:val="nil"/>
              <w:bottom w:val="nil"/>
              <w:right w:val="nil"/>
            </w:tcBorders>
            <w:shd w:val="clear" w:color="000000" w:fill="FFFFFF"/>
            <w:noWrap/>
            <w:vAlign w:val="bottom"/>
          </w:tcPr>
          <w:p w14:paraId="390CE9BB" w14:textId="2E08247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$661</w:t>
            </w:r>
          </w:p>
        </w:tc>
        <w:tc>
          <w:tcPr>
            <w:tcW w:w="728" w:type="dxa"/>
            <w:tcBorders>
              <w:top w:val="nil"/>
              <w:left w:val="nil"/>
              <w:bottom w:val="nil"/>
              <w:right w:val="nil"/>
            </w:tcBorders>
            <w:shd w:val="clear" w:color="000000" w:fill="FFFFFF"/>
            <w:noWrap/>
            <w:vAlign w:val="bottom"/>
          </w:tcPr>
          <w:p w14:paraId="3F6F80E0" w14:textId="096C9DF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-60.7%</w:t>
            </w:r>
          </w:p>
        </w:tc>
        <w:tc>
          <w:tcPr>
            <w:tcW w:w="584" w:type="dxa"/>
            <w:gridSpan w:val="2"/>
            <w:tcBorders>
              <w:top w:val="nil"/>
              <w:left w:val="nil"/>
              <w:bottom w:val="nil"/>
              <w:right w:val="nil"/>
            </w:tcBorders>
            <w:shd w:val="clear" w:color="000000" w:fill="FFFFFF"/>
            <w:noWrap/>
            <w:vAlign w:val="bottom"/>
          </w:tcPr>
          <w:p w14:paraId="33AFF854" w14:textId="26F3C17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00D67806" w14:textId="70513AA2"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EC738ED" w14:textId="77433B3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12.7</w:t>
            </w:r>
          </w:p>
        </w:tc>
        <w:tc>
          <w:tcPr>
            <w:tcW w:w="798" w:type="dxa"/>
            <w:gridSpan w:val="2"/>
            <w:tcBorders>
              <w:top w:val="nil"/>
              <w:left w:val="nil"/>
              <w:bottom w:val="nil"/>
              <w:right w:val="nil"/>
            </w:tcBorders>
            <w:shd w:val="clear" w:color="000000" w:fill="FFFFFF"/>
            <w:noWrap/>
            <w:vAlign w:val="bottom"/>
          </w:tcPr>
          <w:p w14:paraId="7BDF9F28" w14:textId="6944334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13.0</w:t>
            </w:r>
          </w:p>
        </w:tc>
        <w:tc>
          <w:tcPr>
            <w:tcW w:w="500" w:type="dxa"/>
            <w:tcBorders>
              <w:top w:val="nil"/>
              <w:left w:val="nil"/>
              <w:bottom w:val="nil"/>
              <w:right w:val="nil"/>
            </w:tcBorders>
            <w:shd w:val="clear" w:color="000000" w:fill="FFFFFF"/>
            <w:noWrap/>
            <w:vAlign w:val="bottom"/>
          </w:tcPr>
          <w:p w14:paraId="4CE9BCA3" w14:textId="78710E5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15.9</w:t>
            </w:r>
          </w:p>
        </w:tc>
        <w:tc>
          <w:tcPr>
            <w:tcW w:w="757" w:type="dxa"/>
            <w:gridSpan w:val="2"/>
            <w:tcBorders>
              <w:top w:val="nil"/>
              <w:left w:val="nil"/>
              <w:bottom w:val="nil"/>
              <w:right w:val="nil"/>
            </w:tcBorders>
            <w:shd w:val="clear" w:color="000000" w:fill="FFFFFF"/>
            <w:noWrap/>
            <w:vAlign w:val="bottom"/>
          </w:tcPr>
          <w:p w14:paraId="3DF6A3D7" w14:textId="243F81F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14.5</w:t>
            </w:r>
          </w:p>
        </w:tc>
        <w:tc>
          <w:tcPr>
            <w:tcW w:w="728" w:type="dxa"/>
            <w:tcBorders>
              <w:top w:val="nil"/>
              <w:left w:val="nil"/>
              <w:bottom w:val="nil"/>
              <w:right w:val="nil"/>
            </w:tcBorders>
            <w:shd w:val="clear" w:color="000000" w:fill="FFFFFF"/>
            <w:noWrap/>
            <w:vAlign w:val="bottom"/>
          </w:tcPr>
          <w:p w14:paraId="39F834CA" w14:textId="33688A5D"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12.2%</w:t>
            </w:r>
          </w:p>
        </w:tc>
        <w:tc>
          <w:tcPr>
            <w:tcW w:w="619" w:type="dxa"/>
            <w:gridSpan w:val="2"/>
            <w:tcBorders>
              <w:top w:val="nil"/>
              <w:left w:val="nil"/>
              <w:bottom w:val="nil"/>
              <w:right w:val="nil"/>
            </w:tcBorders>
            <w:shd w:val="clear" w:color="000000" w:fill="FFFFFF"/>
            <w:noWrap/>
            <w:vAlign w:val="bottom"/>
          </w:tcPr>
          <w:p w14:paraId="020E0061" w14:textId="4C90D1C6"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0.001</w:t>
            </w:r>
          </w:p>
        </w:tc>
      </w:tr>
      <w:tr w:rsidR="008F59BB" w:rsidRPr="00EA3957" w14:paraId="0CFC8CC9" w14:textId="77777777" w:rsidTr="00244009">
        <w:trPr>
          <w:trHeight w:val="288"/>
        </w:trPr>
        <w:tc>
          <w:tcPr>
            <w:tcW w:w="1710" w:type="dxa"/>
            <w:tcBorders>
              <w:top w:val="nil"/>
              <w:left w:val="nil"/>
              <w:bottom w:val="nil"/>
              <w:right w:val="nil"/>
            </w:tcBorders>
            <w:shd w:val="clear" w:color="000000" w:fill="FFFFFF"/>
            <w:noWrap/>
            <w:vAlign w:val="bottom"/>
            <w:hideMark/>
          </w:tcPr>
          <w:p w14:paraId="714971C8"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p>
        </w:tc>
        <w:tc>
          <w:tcPr>
            <w:tcW w:w="450" w:type="dxa"/>
            <w:tcBorders>
              <w:top w:val="nil"/>
              <w:left w:val="nil"/>
              <w:bottom w:val="nil"/>
              <w:right w:val="nil"/>
            </w:tcBorders>
            <w:shd w:val="clear" w:color="000000" w:fill="FFFFFF"/>
            <w:noWrap/>
            <w:vAlign w:val="bottom"/>
          </w:tcPr>
          <w:p w14:paraId="299F0303" w14:textId="6ACC776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273</w:t>
            </w:r>
          </w:p>
        </w:tc>
        <w:tc>
          <w:tcPr>
            <w:tcW w:w="630" w:type="dxa"/>
            <w:gridSpan w:val="2"/>
            <w:tcBorders>
              <w:top w:val="nil"/>
              <w:left w:val="nil"/>
              <w:bottom w:val="nil"/>
              <w:right w:val="nil"/>
            </w:tcBorders>
            <w:shd w:val="clear" w:color="000000" w:fill="FFFFFF"/>
            <w:noWrap/>
            <w:vAlign w:val="bottom"/>
          </w:tcPr>
          <w:p w14:paraId="54435F95" w14:textId="410DF93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506</w:t>
            </w:r>
          </w:p>
        </w:tc>
        <w:tc>
          <w:tcPr>
            <w:tcW w:w="99" w:type="dxa"/>
            <w:gridSpan w:val="2"/>
            <w:tcBorders>
              <w:top w:val="nil"/>
              <w:left w:val="nil"/>
              <w:bottom w:val="nil"/>
              <w:right w:val="nil"/>
            </w:tcBorders>
            <w:shd w:val="clear" w:color="000000" w:fill="FFFFFF"/>
            <w:noWrap/>
            <w:vAlign w:val="bottom"/>
          </w:tcPr>
          <w:p w14:paraId="37B6BAA2" w14:textId="501EBFC5"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822BB14" w14:textId="46AFCE0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$768</w:t>
            </w:r>
          </w:p>
        </w:tc>
        <w:tc>
          <w:tcPr>
            <w:tcW w:w="711" w:type="dxa"/>
            <w:gridSpan w:val="2"/>
            <w:tcBorders>
              <w:top w:val="nil"/>
              <w:left w:val="nil"/>
              <w:bottom w:val="nil"/>
              <w:right w:val="nil"/>
            </w:tcBorders>
            <w:shd w:val="clear" w:color="000000" w:fill="FFFFFF"/>
            <w:noWrap/>
            <w:vAlign w:val="bottom"/>
          </w:tcPr>
          <w:p w14:paraId="676FF37C" w14:textId="617F6D6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$801</w:t>
            </w:r>
          </w:p>
        </w:tc>
        <w:tc>
          <w:tcPr>
            <w:tcW w:w="662" w:type="dxa"/>
            <w:tcBorders>
              <w:top w:val="nil"/>
              <w:left w:val="nil"/>
              <w:bottom w:val="nil"/>
              <w:right w:val="nil"/>
            </w:tcBorders>
            <w:shd w:val="clear" w:color="000000" w:fill="FFFFFF"/>
            <w:noWrap/>
            <w:vAlign w:val="bottom"/>
          </w:tcPr>
          <w:p w14:paraId="4CDCDAC0" w14:textId="7095159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$313</w:t>
            </w:r>
          </w:p>
        </w:tc>
        <w:tc>
          <w:tcPr>
            <w:tcW w:w="711" w:type="dxa"/>
            <w:gridSpan w:val="2"/>
            <w:tcBorders>
              <w:top w:val="nil"/>
              <w:left w:val="nil"/>
              <w:bottom w:val="nil"/>
              <w:right w:val="nil"/>
            </w:tcBorders>
            <w:shd w:val="clear" w:color="000000" w:fill="FFFFFF"/>
            <w:noWrap/>
            <w:vAlign w:val="bottom"/>
          </w:tcPr>
          <w:p w14:paraId="4FC0D782" w14:textId="2269D71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$1,185</w:t>
            </w:r>
          </w:p>
        </w:tc>
        <w:tc>
          <w:tcPr>
            <w:tcW w:w="728" w:type="dxa"/>
            <w:tcBorders>
              <w:top w:val="nil"/>
              <w:left w:val="nil"/>
              <w:bottom w:val="nil"/>
              <w:right w:val="nil"/>
            </w:tcBorders>
            <w:shd w:val="clear" w:color="000000" w:fill="FFFFFF"/>
            <w:noWrap/>
            <w:vAlign w:val="bottom"/>
          </w:tcPr>
          <w:p w14:paraId="34187550" w14:textId="516C43DF"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-72.5%</w:t>
            </w:r>
          </w:p>
        </w:tc>
        <w:tc>
          <w:tcPr>
            <w:tcW w:w="584" w:type="dxa"/>
            <w:gridSpan w:val="2"/>
            <w:tcBorders>
              <w:top w:val="nil"/>
              <w:left w:val="nil"/>
              <w:bottom w:val="nil"/>
              <w:right w:val="nil"/>
            </w:tcBorders>
            <w:shd w:val="clear" w:color="000000" w:fill="FFFFFF"/>
            <w:noWrap/>
            <w:vAlign w:val="bottom"/>
          </w:tcPr>
          <w:p w14:paraId="295944CC" w14:textId="4174B1A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0B10B91" w14:textId="34D0463C"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315A221" w14:textId="35233B3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11.0</w:t>
            </w:r>
          </w:p>
        </w:tc>
        <w:tc>
          <w:tcPr>
            <w:tcW w:w="798" w:type="dxa"/>
            <w:gridSpan w:val="2"/>
            <w:tcBorders>
              <w:top w:val="nil"/>
              <w:left w:val="nil"/>
              <w:bottom w:val="nil"/>
              <w:right w:val="nil"/>
            </w:tcBorders>
            <w:shd w:val="clear" w:color="000000" w:fill="FFFFFF"/>
            <w:noWrap/>
            <w:vAlign w:val="bottom"/>
          </w:tcPr>
          <w:p w14:paraId="6FF98767" w14:textId="23A3C1D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500" w:type="dxa"/>
            <w:tcBorders>
              <w:top w:val="nil"/>
              <w:left w:val="nil"/>
              <w:bottom w:val="nil"/>
              <w:right w:val="nil"/>
            </w:tcBorders>
            <w:shd w:val="clear" w:color="000000" w:fill="FFFFFF"/>
            <w:noWrap/>
            <w:vAlign w:val="bottom"/>
          </w:tcPr>
          <w:p w14:paraId="52CC7C32" w14:textId="5C51120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12.9</w:t>
            </w:r>
          </w:p>
        </w:tc>
        <w:tc>
          <w:tcPr>
            <w:tcW w:w="757" w:type="dxa"/>
            <w:gridSpan w:val="2"/>
            <w:tcBorders>
              <w:top w:val="nil"/>
              <w:left w:val="nil"/>
              <w:bottom w:val="nil"/>
              <w:right w:val="nil"/>
            </w:tcBorders>
            <w:shd w:val="clear" w:color="000000" w:fill="FFFFFF"/>
            <w:noWrap/>
            <w:vAlign w:val="bottom"/>
          </w:tcPr>
          <w:p w14:paraId="09C56BCD" w14:textId="2D2E639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11.6</w:t>
            </w:r>
          </w:p>
        </w:tc>
        <w:tc>
          <w:tcPr>
            <w:tcW w:w="728" w:type="dxa"/>
            <w:tcBorders>
              <w:top w:val="nil"/>
              <w:left w:val="nil"/>
              <w:bottom w:val="nil"/>
              <w:right w:val="nil"/>
            </w:tcBorders>
            <w:shd w:val="clear" w:color="000000" w:fill="FFFFFF"/>
            <w:noWrap/>
            <w:vAlign w:val="bottom"/>
          </w:tcPr>
          <w:p w14:paraId="75C53E95" w14:textId="67AFCD7B"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9.2%</w:t>
            </w:r>
          </w:p>
        </w:tc>
        <w:tc>
          <w:tcPr>
            <w:tcW w:w="619" w:type="dxa"/>
            <w:gridSpan w:val="2"/>
            <w:tcBorders>
              <w:top w:val="nil"/>
              <w:left w:val="nil"/>
              <w:bottom w:val="nil"/>
              <w:right w:val="nil"/>
            </w:tcBorders>
            <w:shd w:val="clear" w:color="000000" w:fill="FFFFFF"/>
            <w:noWrap/>
            <w:vAlign w:val="bottom"/>
          </w:tcPr>
          <w:p w14:paraId="2AFED34A" w14:textId="5E6ACCE9"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0.059</w:t>
            </w:r>
          </w:p>
        </w:tc>
      </w:tr>
      <w:tr w:rsidR="008F59BB" w:rsidRPr="00EA3957" w14:paraId="6AA88411" w14:textId="77777777" w:rsidTr="00244009">
        <w:trPr>
          <w:trHeight w:val="288"/>
        </w:trPr>
        <w:tc>
          <w:tcPr>
            <w:tcW w:w="1710" w:type="dxa"/>
            <w:tcBorders>
              <w:top w:val="nil"/>
              <w:left w:val="nil"/>
              <w:bottom w:val="nil"/>
              <w:right w:val="nil"/>
            </w:tcBorders>
            <w:shd w:val="clear" w:color="000000" w:fill="FFFFFF"/>
            <w:noWrap/>
            <w:vAlign w:val="bottom"/>
            <w:hideMark/>
          </w:tcPr>
          <w:p w14:paraId="4FB1B8C3"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7009DE17" w14:textId="4243EFB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418</w:t>
            </w:r>
          </w:p>
        </w:tc>
        <w:tc>
          <w:tcPr>
            <w:tcW w:w="630" w:type="dxa"/>
            <w:gridSpan w:val="2"/>
            <w:tcBorders>
              <w:top w:val="nil"/>
              <w:left w:val="nil"/>
              <w:bottom w:val="nil"/>
              <w:right w:val="nil"/>
            </w:tcBorders>
            <w:shd w:val="clear" w:color="000000" w:fill="FFFFFF"/>
            <w:noWrap/>
            <w:vAlign w:val="bottom"/>
          </w:tcPr>
          <w:p w14:paraId="4599FC9C" w14:textId="434F4C7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827</w:t>
            </w:r>
          </w:p>
        </w:tc>
        <w:tc>
          <w:tcPr>
            <w:tcW w:w="99" w:type="dxa"/>
            <w:gridSpan w:val="2"/>
            <w:tcBorders>
              <w:top w:val="nil"/>
              <w:left w:val="nil"/>
              <w:bottom w:val="nil"/>
              <w:right w:val="nil"/>
            </w:tcBorders>
            <w:shd w:val="clear" w:color="000000" w:fill="FFFFFF"/>
            <w:noWrap/>
            <w:vAlign w:val="bottom"/>
          </w:tcPr>
          <w:p w14:paraId="3F7CC803" w14:textId="54355209"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111DEAD" w14:textId="1C99173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$166</w:t>
            </w:r>
          </w:p>
        </w:tc>
        <w:tc>
          <w:tcPr>
            <w:tcW w:w="711" w:type="dxa"/>
            <w:gridSpan w:val="2"/>
            <w:tcBorders>
              <w:top w:val="nil"/>
              <w:left w:val="nil"/>
              <w:bottom w:val="nil"/>
              <w:right w:val="nil"/>
            </w:tcBorders>
            <w:shd w:val="clear" w:color="000000" w:fill="FFFFFF"/>
            <w:noWrap/>
            <w:vAlign w:val="bottom"/>
          </w:tcPr>
          <w:p w14:paraId="1598668C" w14:textId="381B3FD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$167</w:t>
            </w:r>
          </w:p>
        </w:tc>
        <w:tc>
          <w:tcPr>
            <w:tcW w:w="662" w:type="dxa"/>
            <w:tcBorders>
              <w:top w:val="nil"/>
              <w:left w:val="nil"/>
              <w:bottom w:val="nil"/>
              <w:right w:val="nil"/>
            </w:tcBorders>
            <w:shd w:val="clear" w:color="000000" w:fill="FFFFFF"/>
            <w:noWrap/>
            <w:vAlign w:val="bottom"/>
          </w:tcPr>
          <w:p w14:paraId="12A2B838" w14:textId="086CE5D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$62</w:t>
            </w:r>
          </w:p>
        </w:tc>
        <w:tc>
          <w:tcPr>
            <w:tcW w:w="711" w:type="dxa"/>
            <w:gridSpan w:val="2"/>
            <w:tcBorders>
              <w:top w:val="nil"/>
              <w:left w:val="nil"/>
              <w:bottom w:val="nil"/>
              <w:right w:val="nil"/>
            </w:tcBorders>
            <w:shd w:val="clear" w:color="000000" w:fill="FFFFFF"/>
            <w:noWrap/>
            <w:vAlign w:val="bottom"/>
          </w:tcPr>
          <w:p w14:paraId="0781E808" w14:textId="54B913B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$152</w:t>
            </w:r>
          </w:p>
        </w:tc>
        <w:tc>
          <w:tcPr>
            <w:tcW w:w="728" w:type="dxa"/>
            <w:tcBorders>
              <w:top w:val="nil"/>
              <w:left w:val="nil"/>
              <w:bottom w:val="nil"/>
              <w:right w:val="nil"/>
            </w:tcBorders>
            <w:shd w:val="clear" w:color="000000" w:fill="FFFFFF"/>
            <w:noWrap/>
            <w:vAlign w:val="bottom"/>
          </w:tcPr>
          <w:p w14:paraId="1DAF2A6A" w14:textId="5B35FAF7"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-58.9%</w:t>
            </w:r>
          </w:p>
        </w:tc>
        <w:tc>
          <w:tcPr>
            <w:tcW w:w="584" w:type="dxa"/>
            <w:gridSpan w:val="2"/>
            <w:tcBorders>
              <w:top w:val="nil"/>
              <w:left w:val="nil"/>
              <w:bottom w:val="nil"/>
              <w:right w:val="nil"/>
            </w:tcBorders>
            <w:shd w:val="clear" w:color="000000" w:fill="FFFFFF"/>
            <w:noWrap/>
            <w:vAlign w:val="bottom"/>
          </w:tcPr>
          <w:p w14:paraId="63FADE20" w14:textId="40E9CB5E"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A28659E" w14:textId="642BB5BB"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6ACF18C4" w14:textId="7BE7A5F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5.5</w:t>
            </w:r>
          </w:p>
        </w:tc>
        <w:tc>
          <w:tcPr>
            <w:tcW w:w="798" w:type="dxa"/>
            <w:gridSpan w:val="2"/>
            <w:tcBorders>
              <w:top w:val="nil"/>
              <w:left w:val="nil"/>
              <w:bottom w:val="nil"/>
              <w:right w:val="nil"/>
            </w:tcBorders>
            <w:shd w:val="clear" w:color="000000" w:fill="FFFFFF"/>
            <w:noWrap/>
            <w:vAlign w:val="bottom"/>
          </w:tcPr>
          <w:p w14:paraId="25F60427" w14:textId="00D5F4A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5.8</w:t>
            </w:r>
          </w:p>
        </w:tc>
        <w:tc>
          <w:tcPr>
            <w:tcW w:w="500" w:type="dxa"/>
            <w:tcBorders>
              <w:top w:val="nil"/>
              <w:left w:val="nil"/>
              <w:bottom w:val="nil"/>
              <w:right w:val="nil"/>
            </w:tcBorders>
            <w:shd w:val="clear" w:color="000000" w:fill="FFFFFF"/>
            <w:noWrap/>
            <w:vAlign w:val="bottom"/>
          </w:tcPr>
          <w:p w14:paraId="6A0A03D6" w14:textId="2B1880D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5.1</w:t>
            </w:r>
          </w:p>
        </w:tc>
        <w:tc>
          <w:tcPr>
            <w:tcW w:w="757" w:type="dxa"/>
            <w:gridSpan w:val="2"/>
            <w:tcBorders>
              <w:top w:val="nil"/>
              <w:left w:val="nil"/>
              <w:bottom w:val="nil"/>
              <w:right w:val="nil"/>
            </w:tcBorders>
            <w:shd w:val="clear" w:color="000000" w:fill="FFFFFF"/>
            <w:noWrap/>
            <w:vAlign w:val="bottom"/>
          </w:tcPr>
          <w:p w14:paraId="1D422760" w14:textId="66148D5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4.5</w:t>
            </w:r>
          </w:p>
        </w:tc>
        <w:tc>
          <w:tcPr>
            <w:tcW w:w="728" w:type="dxa"/>
            <w:tcBorders>
              <w:top w:val="nil"/>
              <w:left w:val="nil"/>
              <w:bottom w:val="nil"/>
              <w:right w:val="nil"/>
            </w:tcBorders>
            <w:shd w:val="clear" w:color="000000" w:fill="FFFFFF"/>
            <w:noWrap/>
            <w:vAlign w:val="bottom"/>
          </w:tcPr>
          <w:p w14:paraId="0DED404E" w14:textId="3D7EBC33"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19.9%</w:t>
            </w:r>
          </w:p>
        </w:tc>
        <w:tc>
          <w:tcPr>
            <w:tcW w:w="619" w:type="dxa"/>
            <w:gridSpan w:val="2"/>
            <w:tcBorders>
              <w:top w:val="nil"/>
              <w:left w:val="nil"/>
              <w:bottom w:val="nil"/>
              <w:right w:val="nil"/>
            </w:tcBorders>
            <w:shd w:val="clear" w:color="000000" w:fill="FFFFFF"/>
            <w:noWrap/>
            <w:vAlign w:val="bottom"/>
          </w:tcPr>
          <w:p w14:paraId="61C8AD2D" w14:textId="4206C93E"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0.005</w:t>
            </w:r>
          </w:p>
        </w:tc>
      </w:tr>
      <w:tr w:rsidR="008F59BB" w:rsidRPr="00EA3957" w14:paraId="08FCE2EE" w14:textId="77777777" w:rsidTr="00244009">
        <w:trPr>
          <w:trHeight w:val="288"/>
        </w:trPr>
        <w:tc>
          <w:tcPr>
            <w:tcW w:w="1710" w:type="dxa"/>
            <w:tcBorders>
              <w:top w:val="nil"/>
              <w:left w:val="nil"/>
              <w:bottom w:val="nil"/>
              <w:right w:val="nil"/>
            </w:tcBorders>
            <w:shd w:val="clear" w:color="000000" w:fill="FFFFFF"/>
            <w:noWrap/>
            <w:vAlign w:val="bottom"/>
            <w:hideMark/>
          </w:tcPr>
          <w:p w14:paraId="5DDF6F85"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5FC61802" w14:textId="19632BC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605</w:t>
            </w:r>
          </w:p>
        </w:tc>
        <w:tc>
          <w:tcPr>
            <w:tcW w:w="630" w:type="dxa"/>
            <w:gridSpan w:val="2"/>
            <w:tcBorders>
              <w:top w:val="nil"/>
              <w:left w:val="nil"/>
              <w:bottom w:val="nil"/>
              <w:right w:val="nil"/>
            </w:tcBorders>
            <w:shd w:val="clear" w:color="000000" w:fill="FFFFFF"/>
            <w:noWrap/>
            <w:vAlign w:val="bottom"/>
          </w:tcPr>
          <w:p w14:paraId="4D93E4A2" w14:textId="0C92A25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1165</w:t>
            </w:r>
          </w:p>
        </w:tc>
        <w:tc>
          <w:tcPr>
            <w:tcW w:w="99" w:type="dxa"/>
            <w:gridSpan w:val="2"/>
            <w:tcBorders>
              <w:top w:val="nil"/>
              <w:left w:val="nil"/>
              <w:bottom w:val="nil"/>
              <w:right w:val="nil"/>
            </w:tcBorders>
            <w:shd w:val="clear" w:color="000000" w:fill="FFFFFF"/>
            <w:noWrap/>
            <w:vAlign w:val="bottom"/>
          </w:tcPr>
          <w:p w14:paraId="3DB707DF" w14:textId="7069EC64"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1B5DADE" w14:textId="2A9EB8E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$221</w:t>
            </w:r>
          </w:p>
        </w:tc>
        <w:tc>
          <w:tcPr>
            <w:tcW w:w="711" w:type="dxa"/>
            <w:gridSpan w:val="2"/>
            <w:tcBorders>
              <w:top w:val="nil"/>
              <w:left w:val="nil"/>
              <w:bottom w:val="nil"/>
              <w:right w:val="nil"/>
            </w:tcBorders>
            <w:shd w:val="clear" w:color="000000" w:fill="FFFFFF"/>
            <w:noWrap/>
            <w:vAlign w:val="bottom"/>
          </w:tcPr>
          <w:p w14:paraId="289A3CDC" w14:textId="26286A6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$268</w:t>
            </w:r>
          </w:p>
        </w:tc>
        <w:tc>
          <w:tcPr>
            <w:tcW w:w="662" w:type="dxa"/>
            <w:tcBorders>
              <w:top w:val="nil"/>
              <w:left w:val="nil"/>
              <w:bottom w:val="nil"/>
              <w:right w:val="nil"/>
            </w:tcBorders>
            <w:shd w:val="clear" w:color="000000" w:fill="FFFFFF"/>
            <w:noWrap/>
            <w:vAlign w:val="bottom"/>
          </w:tcPr>
          <w:p w14:paraId="401D7EF7" w14:textId="7787E91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$138</w:t>
            </w:r>
          </w:p>
        </w:tc>
        <w:tc>
          <w:tcPr>
            <w:tcW w:w="711" w:type="dxa"/>
            <w:gridSpan w:val="2"/>
            <w:tcBorders>
              <w:top w:val="nil"/>
              <w:left w:val="nil"/>
              <w:bottom w:val="nil"/>
              <w:right w:val="nil"/>
            </w:tcBorders>
            <w:shd w:val="clear" w:color="000000" w:fill="FFFFFF"/>
            <w:noWrap/>
            <w:vAlign w:val="bottom"/>
          </w:tcPr>
          <w:p w14:paraId="469CA8AA" w14:textId="3406A74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$291</w:t>
            </w:r>
          </w:p>
        </w:tc>
        <w:tc>
          <w:tcPr>
            <w:tcW w:w="728" w:type="dxa"/>
            <w:tcBorders>
              <w:top w:val="nil"/>
              <w:left w:val="nil"/>
              <w:bottom w:val="nil"/>
              <w:right w:val="nil"/>
            </w:tcBorders>
            <w:shd w:val="clear" w:color="000000" w:fill="FFFFFF"/>
            <w:noWrap/>
            <w:vAlign w:val="bottom"/>
          </w:tcPr>
          <w:p w14:paraId="02FF60EC" w14:textId="7E4BE2A5"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-42.7%</w:t>
            </w:r>
          </w:p>
        </w:tc>
        <w:tc>
          <w:tcPr>
            <w:tcW w:w="584" w:type="dxa"/>
            <w:gridSpan w:val="2"/>
            <w:tcBorders>
              <w:top w:val="nil"/>
              <w:left w:val="nil"/>
              <w:bottom w:val="nil"/>
              <w:right w:val="nil"/>
            </w:tcBorders>
            <w:shd w:val="clear" w:color="000000" w:fill="FFFFFF"/>
            <w:noWrap/>
            <w:vAlign w:val="bottom"/>
          </w:tcPr>
          <w:p w14:paraId="1A35E513" w14:textId="4042D95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0A1CB3F" w14:textId="5F97B83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9FEE2FC" w14:textId="5A81F96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798" w:type="dxa"/>
            <w:gridSpan w:val="2"/>
            <w:tcBorders>
              <w:top w:val="nil"/>
              <w:left w:val="nil"/>
              <w:bottom w:val="nil"/>
              <w:right w:val="nil"/>
            </w:tcBorders>
            <w:shd w:val="clear" w:color="000000" w:fill="FFFFFF"/>
            <w:noWrap/>
            <w:vAlign w:val="bottom"/>
          </w:tcPr>
          <w:p w14:paraId="4256D91B" w14:textId="4748E65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500" w:type="dxa"/>
            <w:tcBorders>
              <w:top w:val="nil"/>
              <w:left w:val="nil"/>
              <w:bottom w:val="nil"/>
              <w:right w:val="nil"/>
            </w:tcBorders>
            <w:shd w:val="clear" w:color="000000" w:fill="FFFFFF"/>
            <w:noWrap/>
            <w:vAlign w:val="bottom"/>
          </w:tcPr>
          <w:p w14:paraId="18D3A885" w14:textId="52B8705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12.4</w:t>
            </w:r>
          </w:p>
        </w:tc>
        <w:tc>
          <w:tcPr>
            <w:tcW w:w="757" w:type="dxa"/>
            <w:gridSpan w:val="2"/>
            <w:tcBorders>
              <w:top w:val="nil"/>
              <w:left w:val="nil"/>
              <w:bottom w:val="nil"/>
              <w:right w:val="nil"/>
            </w:tcBorders>
            <w:shd w:val="clear" w:color="000000" w:fill="FFFFFF"/>
            <w:noWrap/>
            <w:vAlign w:val="bottom"/>
          </w:tcPr>
          <w:p w14:paraId="0AF4A347" w14:textId="08BB8FC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11.6</w:t>
            </w:r>
          </w:p>
        </w:tc>
        <w:tc>
          <w:tcPr>
            <w:tcW w:w="728" w:type="dxa"/>
            <w:tcBorders>
              <w:top w:val="nil"/>
              <w:left w:val="nil"/>
              <w:bottom w:val="nil"/>
              <w:right w:val="nil"/>
            </w:tcBorders>
            <w:shd w:val="clear" w:color="000000" w:fill="FFFFFF"/>
            <w:noWrap/>
            <w:vAlign w:val="bottom"/>
          </w:tcPr>
          <w:p w14:paraId="66288DAB" w14:textId="1E889A85"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4.3%</w:t>
            </w:r>
          </w:p>
        </w:tc>
        <w:tc>
          <w:tcPr>
            <w:tcW w:w="619" w:type="dxa"/>
            <w:gridSpan w:val="2"/>
            <w:tcBorders>
              <w:top w:val="nil"/>
              <w:left w:val="nil"/>
              <w:bottom w:val="nil"/>
              <w:right w:val="nil"/>
            </w:tcBorders>
            <w:shd w:val="clear" w:color="000000" w:fill="FFFFFF"/>
            <w:noWrap/>
            <w:vAlign w:val="bottom"/>
          </w:tcPr>
          <w:p w14:paraId="3CCFBFC6" w14:textId="799C9B22"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0.148</w:t>
            </w:r>
          </w:p>
        </w:tc>
      </w:tr>
      <w:tr w:rsidR="008F59BB" w:rsidRPr="00EA3957" w14:paraId="217A0B31" w14:textId="77777777" w:rsidTr="00244009">
        <w:trPr>
          <w:trHeight w:val="288"/>
        </w:trPr>
        <w:tc>
          <w:tcPr>
            <w:tcW w:w="1710" w:type="dxa"/>
            <w:tcBorders>
              <w:top w:val="nil"/>
              <w:left w:val="nil"/>
              <w:bottom w:val="nil"/>
              <w:right w:val="nil"/>
            </w:tcBorders>
            <w:shd w:val="clear" w:color="000000" w:fill="FFFFFF"/>
            <w:noWrap/>
            <w:vAlign w:val="bottom"/>
            <w:hideMark/>
          </w:tcPr>
          <w:p w14:paraId="689A6953"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06C77D15" w14:textId="07F857B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665</w:t>
            </w:r>
          </w:p>
        </w:tc>
        <w:tc>
          <w:tcPr>
            <w:tcW w:w="630" w:type="dxa"/>
            <w:gridSpan w:val="2"/>
            <w:tcBorders>
              <w:top w:val="nil"/>
              <w:left w:val="nil"/>
              <w:bottom w:val="nil"/>
              <w:right w:val="nil"/>
            </w:tcBorders>
            <w:shd w:val="clear" w:color="000000" w:fill="FFFFFF"/>
            <w:noWrap/>
            <w:vAlign w:val="bottom"/>
          </w:tcPr>
          <w:p w14:paraId="2E163FA2" w14:textId="5D4AFF8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1316</w:t>
            </w:r>
          </w:p>
        </w:tc>
        <w:tc>
          <w:tcPr>
            <w:tcW w:w="99" w:type="dxa"/>
            <w:gridSpan w:val="2"/>
            <w:tcBorders>
              <w:top w:val="nil"/>
              <w:left w:val="nil"/>
              <w:bottom w:val="nil"/>
              <w:right w:val="nil"/>
            </w:tcBorders>
            <w:shd w:val="clear" w:color="000000" w:fill="FFFFFF"/>
            <w:noWrap/>
            <w:vAlign w:val="bottom"/>
          </w:tcPr>
          <w:p w14:paraId="2693FBC0" w14:textId="213A6A70"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162DBCAF" w14:textId="5912169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$140</w:t>
            </w:r>
          </w:p>
        </w:tc>
        <w:tc>
          <w:tcPr>
            <w:tcW w:w="711" w:type="dxa"/>
            <w:gridSpan w:val="2"/>
            <w:tcBorders>
              <w:top w:val="nil"/>
              <w:left w:val="nil"/>
              <w:bottom w:val="nil"/>
              <w:right w:val="nil"/>
            </w:tcBorders>
            <w:shd w:val="clear" w:color="000000" w:fill="FFFFFF"/>
            <w:noWrap/>
            <w:vAlign w:val="bottom"/>
          </w:tcPr>
          <w:p w14:paraId="73AC476F" w14:textId="25F978C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$189</w:t>
            </w:r>
          </w:p>
        </w:tc>
        <w:tc>
          <w:tcPr>
            <w:tcW w:w="662" w:type="dxa"/>
            <w:tcBorders>
              <w:top w:val="nil"/>
              <w:left w:val="nil"/>
              <w:bottom w:val="nil"/>
              <w:right w:val="nil"/>
            </w:tcBorders>
            <w:shd w:val="clear" w:color="000000" w:fill="FFFFFF"/>
            <w:noWrap/>
            <w:vAlign w:val="bottom"/>
          </w:tcPr>
          <w:p w14:paraId="333D6091" w14:textId="6E9AF63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711" w:type="dxa"/>
            <w:gridSpan w:val="2"/>
            <w:tcBorders>
              <w:top w:val="nil"/>
              <w:left w:val="nil"/>
              <w:bottom w:val="nil"/>
              <w:right w:val="nil"/>
            </w:tcBorders>
            <w:shd w:val="clear" w:color="000000" w:fill="FFFFFF"/>
            <w:noWrap/>
            <w:vAlign w:val="bottom"/>
          </w:tcPr>
          <w:p w14:paraId="54AE5C3D" w14:textId="49E4248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$207</w:t>
            </w:r>
          </w:p>
        </w:tc>
        <w:tc>
          <w:tcPr>
            <w:tcW w:w="728" w:type="dxa"/>
            <w:tcBorders>
              <w:top w:val="nil"/>
              <w:left w:val="nil"/>
              <w:bottom w:val="nil"/>
              <w:right w:val="nil"/>
            </w:tcBorders>
            <w:shd w:val="clear" w:color="000000" w:fill="FFFFFF"/>
            <w:noWrap/>
            <w:vAlign w:val="bottom"/>
          </w:tcPr>
          <w:p w14:paraId="40156787" w14:textId="5059F76E"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-38.6%</w:t>
            </w:r>
          </w:p>
        </w:tc>
        <w:tc>
          <w:tcPr>
            <w:tcW w:w="584" w:type="dxa"/>
            <w:gridSpan w:val="2"/>
            <w:tcBorders>
              <w:top w:val="nil"/>
              <w:left w:val="nil"/>
              <w:bottom w:val="nil"/>
              <w:right w:val="nil"/>
            </w:tcBorders>
            <w:shd w:val="clear" w:color="000000" w:fill="FFFFFF"/>
            <w:noWrap/>
            <w:vAlign w:val="bottom"/>
          </w:tcPr>
          <w:p w14:paraId="103177F1" w14:textId="26760D21"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54D3207B" w14:textId="19E2807C"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291F6E9" w14:textId="2167D23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16.1</w:t>
            </w:r>
          </w:p>
        </w:tc>
        <w:tc>
          <w:tcPr>
            <w:tcW w:w="798" w:type="dxa"/>
            <w:gridSpan w:val="2"/>
            <w:tcBorders>
              <w:top w:val="nil"/>
              <w:left w:val="nil"/>
              <w:bottom w:val="nil"/>
              <w:right w:val="nil"/>
            </w:tcBorders>
            <w:shd w:val="clear" w:color="000000" w:fill="FFFFFF"/>
            <w:noWrap/>
            <w:vAlign w:val="bottom"/>
          </w:tcPr>
          <w:p w14:paraId="74BA1585" w14:textId="26F75DA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16.7</w:t>
            </w:r>
          </w:p>
        </w:tc>
        <w:tc>
          <w:tcPr>
            <w:tcW w:w="500" w:type="dxa"/>
            <w:tcBorders>
              <w:top w:val="nil"/>
              <w:left w:val="nil"/>
              <w:bottom w:val="nil"/>
              <w:right w:val="nil"/>
            </w:tcBorders>
            <w:shd w:val="clear" w:color="000000" w:fill="FFFFFF"/>
            <w:noWrap/>
            <w:vAlign w:val="bottom"/>
          </w:tcPr>
          <w:p w14:paraId="21D87718" w14:textId="7AD147F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19.3</w:t>
            </w:r>
          </w:p>
        </w:tc>
        <w:tc>
          <w:tcPr>
            <w:tcW w:w="757" w:type="dxa"/>
            <w:gridSpan w:val="2"/>
            <w:tcBorders>
              <w:top w:val="nil"/>
              <w:left w:val="nil"/>
              <w:bottom w:val="nil"/>
              <w:right w:val="nil"/>
            </w:tcBorders>
            <w:shd w:val="clear" w:color="000000" w:fill="FFFFFF"/>
            <w:noWrap/>
            <w:vAlign w:val="bottom"/>
          </w:tcPr>
          <w:p w14:paraId="085D9D3A" w14:textId="49C3406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18.6</w:t>
            </w:r>
          </w:p>
        </w:tc>
        <w:tc>
          <w:tcPr>
            <w:tcW w:w="728" w:type="dxa"/>
            <w:tcBorders>
              <w:top w:val="nil"/>
              <w:left w:val="nil"/>
              <w:bottom w:val="nil"/>
              <w:right w:val="nil"/>
            </w:tcBorders>
            <w:shd w:val="clear" w:color="000000" w:fill="FFFFFF"/>
            <w:noWrap/>
            <w:vAlign w:val="bottom"/>
          </w:tcPr>
          <w:p w14:paraId="0A6574D1" w14:textId="628974C5"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8.0%</w:t>
            </w:r>
          </w:p>
        </w:tc>
        <w:tc>
          <w:tcPr>
            <w:tcW w:w="619" w:type="dxa"/>
            <w:gridSpan w:val="2"/>
            <w:tcBorders>
              <w:top w:val="nil"/>
              <w:left w:val="nil"/>
              <w:bottom w:val="nil"/>
              <w:right w:val="nil"/>
            </w:tcBorders>
            <w:shd w:val="clear" w:color="000000" w:fill="FFFFFF"/>
            <w:noWrap/>
            <w:vAlign w:val="bottom"/>
          </w:tcPr>
          <w:p w14:paraId="713F38FC" w14:textId="4E5197DC"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0.008</w:t>
            </w:r>
          </w:p>
        </w:tc>
      </w:tr>
      <w:tr w:rsidR="008F59BB" w:rsidRPr="00EA3957" w14:paraId="4073593C" w14:textId="77777777" w:rsidTr="00244009">
        <w:trPr>
          <w:trHeight w:val="288"/>
        </w:trPr>
        <w:tc>
          <w:tcPr>
            <w:tcW w:w="1710" w:type="dxa"/>
            <w:tcBorders>
              <w:top w:val="nil"/>
              <w:left w:val="nil"/>
              <w:bottom w:val="nil"/>
              <w:right w:val="nil"/>
            </w:tcBorders>
            <w:shd w:val="clear" w:color="000000" w:fill="FFFFFF"/>
            <w:noWrap/>
            <w:vAlign w:val="bottom"/>
            <w:hideMark/>
          </w:tcPr>
          <w:p w14:paraId="620C2327"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06AD6C88" w14:textId="2B3BBB2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630" w:type="dxa"/>
            <w:gridSpan w:val="2"/>
            <w:tcBorders>
              <w:top w:val="nil"/>
              <w:left w:val="nil"/>
              <w:bottom w:val="nil"/>
              <w:right w:val="nil"/>
            </w:tcBorders>
            <w:shd w:val="clear" w:color="000000" w:fill="FFFFFF"/>
            <w:noWrap/>
            <w:vAlign w:val="bottom"/>
          </w:tcPr>
          <w:p w14:paraId="46295D52" w14:textId="2D876DA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202</w:t>
            </w:r>
          </w:p>
        </w:tc>
        <w:tc>
          <w:tcPr>
            <w:tcW w:w="99" w:type="dxa"/>
            <w:gridSpan w:val="2"/>
            <w:tcBorders>
              <w:top w:val="nil"/>
              <w:left w:val="nil"/>
              <w:bottom w:val="nil"/>
              <w:right w:val="nil"/>
            </w:tcBorders>
            <w:shd w:val="clear" w:color="000000" w:fill="FFFFFF"/>
            <w:noWrap/>
            <w:vAlign w:val="bottom"/>
          </w:tcPr>
          <w:p w14:paraId="3BEDEA4E" w14:textId="3F8793FD"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3142922C" w14:textId="4F451A5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$264</w:t>
            </w:r>
          </w:p>
        </w:tc>
        <w:tc>
          <w:tcPr>
            <w:tcW w:w="711" w:type="dxa"/>
            <w:gridSpan w:val="2"/>
            <w:tcBorders>
              <w:top w:val="nil"/>
              <w:left w:val="nil"/>
              <w:bottom w:val="nil"/>
              <w:right w:val="nil"/>
            </w:tcBorders>
            <w:shd w:val="clear" w:color="000000" w:fill="FFFFFF"/>
            <w:noWrap/>
            <w:vAlign w:val="bottom"/>
          </w:tcPr>
          <w:p w14:paraId="61EE61AC" w14:textId="291055B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$228</w:t>
            </w:r>
          </w:p>
        </w:tc>
        <w:tc>
          <w:tcPr>
            <w:tcW w:w="662" w:type="dxa"/>
            <w:tcBorders>
              <w:top w:val="nil"/>
              <w:left w:val="nil"/>
              <w:bottom w:val="nil"/>
              <w:right w:val="nil"/>
            </w:tcBorders>
            <w:shd w:val="clear" w:color="000000" w:fill="FFFFFF"/>
            <w:noWrap/>
            <w:vAlign w:val="bottom"/>
          </w:tcPr>
          <w:p w14:paraId="1125EC76" w14:textId="72B6479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$124</w:t>
            </w:r>
          </w:p>
        </w:tc>
        <w:tc>
          <w:tcPr>
            <w:tcW w:w="711" w:type="dxa"/>
            <w:gridSpan w:val="2"/>
            <w:tcBorders>
              <w:top w:val="nil"/>
              <w:left w:val="nil"/>
              <w:bottom w:val="nil"/>
              <w:right w:val="nil"/>
            </w:tcBorders>
            <w:shd w:val="clear" w:color="000000" w:fill="FFFFFF"/>
            <w:noWrap/>
            <w:vAlign w:val="bottom"/>
          </w:tcPr>
          <w:p w14:paraId="76ED30B3" w14:textId="55E474F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$202</w:t>
            </w:r>
          </w:p>
        </w:tc>
        <w:tc>
          <w:tcPr>
            <w:tcW w:w="728" w:type="dxa"/>
            <w:tcBorders>
              <w:top w:val="nil"/>
              <w:left w:val="nil"/>
              <w:bottom w:val="nil"/>
              <w:right w:val="nil"/>
            </w:tcBorders>
            <w:shd w:val="clear" w:color="000000" w:fill="FFFFFF"/>
            <w:noWrap/>
            <w:vAlign w:val="bottom"/>
          </w:tcPr>
          <w:p w14:paraId="047227F6" w14:textId="386737B7"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-46.6%</w:t>
            </w:r>
          </w:p>
        </w:tc>
        <w:tc>
          <w:tcPr>
            <w:tcW w:w="584" w:type="dxa"/>
            <w:gridSpan w:val="2"/>
            <w:tcBorders>
              <w:top w:val="nil"/>
              <w:left w:val="nil"/>
              <w:bottom w:val="nil"/>
              <w:right w:val="nil"/>
            </w:tcBorders>
            <w:shd w:val="clear" w:color="000000" w:fill="FFFFFF"/>
            <w:noWrap/>
            <w:vAlign w:val="bottom"/>
          </w:tcPr>
          <w:p w14:paraId="2A73AF42" w14:textId="6AD12C1D"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0.010</w:t>
            </w:r>
          </w:p>
        </w:tc>
        <w:tc>
          <w:tcPr>
            <w:tcW w:w="82" w:type="dxa"/>
            <w:gridSpan w:val="2"/>
            <w:tcBorders>
              <w:top w:val="nil"/>
              <w:left w:val="nil"/>
              <w:bottom w:val="nil"/>
              <w:right w:val="nil"/>
            </w:tcBorders>
            <w:shd w:val="clear" w:color="000000" w:fill="FFFFFF"/>
            <w:noWrap/>
            <w:vAlign w:val="bottom"/>
          </w:tcPr>
          <w:p w14:paraId="331734DE" w14:textId="75963D0F"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C5403D7" w14:textId="1FB1514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10.6</w:t>
            </w:r>
          </w:p>
        </w:tc>
        <w:tc>
          <w:tcPr>
            <w:tcW w:w="798" w:type="dxa"/>
            <w:gridSpan w:val="2"/>
            <w:tcBorders>
              <w:top w:val="nil"/>
              <w:left w:val="nil"/>
              <w:bottom w:val="nil"/>
              <w:right w:val="nil"/>
            </w:tcBorders>
            <w:shd w:val="clear" w:color="000000" w:fill="FFFFFF"/>
            <w:noWrap/>
            <w:vAlign w:val="bottom"/>
          </w:tcPr>
          <w:p w14:paraId="5E2404C1" w14:textId="7087C8C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500" w:type="dxa"/>
            <w:tcBorders>
              <w:top w:val="nil"/>
              <w:left w:val="nil"/>
              <w:bottom w:val="nil"/>
              <w:right w:val="nil"/>
            </w:tcBorders>
            <w:shd w:val="clear" w:color="000000" w:fill="FFFFFF"/>
            <w:noWrap/>
            <w:vAlign w:val="bottom"/>
          </w:tcPr>
          <w:p w14:paraId="26D73C0D" w14:textId="242DD4F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10.5</w:t>
            </w:r>
          </w:p>
        </w:tc>
        <w:tc>
          <w:tcPr>
            <w:tcW w:w="757" w:type="dxa"/>
            <w:gridSpan w:val="2"/>
            <w:tcBorders>
              <w:top w:val="nil"/>
              <w:left w:val="nil"/>
              <w:bottom w:val="nil"/>
              <w:right w:val="nil"/>
            </w:tcBorders>
            <w:shd w:val="clear" w:color="000000" w:fill="FFFFFF"/>
            <w:noWrap/>
            <w:vAlign w:val="bottom"/>
          </w:tcPr>
          <w:p w14:paraId="2A2793B1" w14:textId="0D5069A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9.0</w:t>
            </w:r>
          </w:p>
        </w:tc>
        <w:tc>
          <w:tcPr>
            <w:tcW w:w="728" w:type="dxa"/>
            <w:tcBorders>
              <w:top w:val="nil"/>
              <w:left w:val="nil"/>
              <w:bottom w:val="nil"/>
              <w:right w:val="nil"/>
            </w:tcBorders>
            <w:shd w:val="clear" w:color="000000" w:fill="FFFFFF"/>
            <w:noWrap/>
            <w:vAlign w:val="bottom"/>
          </w:tcPr>
          <w:p w14:paraId="4B59C664" w14:textId="60F184DA"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4.4%</w:t>
            </w:r>
          </w:p>
        </w:tc>
        <w:tc>
          <w:tcPr>
            <w:tcW w:w="619" w:type="dxa"/>
            <w:gridSpan w:val="2"/>
            <w:tcBorders>
              <w:top w:val="nil"/>
              <w:left w:val="nil"/>
              <w:bottom w:val="nil"/>
              <w:right w:val="nil"/>
            </w:tcBorders>
            <w:shd w:val="clear" w:color="000000" w:fill="FFFFFF"/>
            <w:noWrap/>
            <w:vAlign w:val="bottom"/>
          </w:tcPr>
          <w:p w14:paraId="4E1CC30B" w14:textId="2C829BF4"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0.646</w:t>
            </w:r>
          </w:p>
        </w:tc>
      </w:tr>
      <w:tr w:rsidR="008F59BB" w:rsidRPr="00EA3957" w14:paraId="78E502F7" w14:textId="77777777" w:rsidTr="00244009">
        <w:trPr>
          <w:trHeight w:val="288"/>
        </w:trPr>
        <w:tc>
          <w:tcPr>
            <w:tcW w:w="1710" w:type="dxa"/>
            <w:tcBorders>
              <w:top w:val="nil"/>
              <w:left w:val="nil"/>
              <w:bottom w:val="nil"/>
              <w:right w:val="nil"/>
            </w:tcBorders>
            <w:shd w:val="clear" w:color="000000" w:fill="FFFFFF"/>
            <w:noWrap/>
            <w:vAlign w:val="bottom"/>
            <w:hideMark/>
          </w:tcPr>
          <w:p w14:paraId="24331D47"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57F6F566" w14:textId="29A5A3A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133</w:t>
            </w:r>
          </w:p>
        </w:tc>
        <w:tc>
          <w:tcPr>
            <w:tcW w:w="630" w:type="dxa"/>
            <w:gridSpan w:val="2"/>
            <w:tcBorders>
              <w:top w:val="nil"/>
              <w:left w:val="nil"/>
              <w:bottom w:val="nil"/>
              <w:right w:val="nil"/>
            </w:tcBorders>
            <w:shd w:val="clear" w:color="000000" w:fill="FFFFFF"/>
            <w:noWrap/>
            <w:vAlign w:val="bottom"/>
          </w:tcPr>
          <w:p w14:paraId="38312445" w14:textId="5284FAF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241</w:t>
            </w:r>
          </w:p>
        </w:tc>
        <w:tc>
          <w:tcPr>
            <w:tcW w:w="99" w:type="dxa"/>
            <w:gridSpan w:val="2"/>
            <w:tcBorders>
              <w:top w:val="nil"/>
              <w:left w:val="nil"/>
              <w:bottom w:val="nil"/>
              <w:right w:val="nil"/>
            </w:tcBorders>
            <w:shd w:val="clear" w:color="000000" w:fill="FFFFFF"/>
            <w:noWrap/>
            <w:vAlign w:val="bottom"/>
          </w:tcPr>
          <w:p w14:paraId="50493937" w14:textId="529D9F44"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424DE21" w14:textId="03F3C80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$237</w:t>
            </w:r>
          </w:p>
        </w:tc>
        <w:tc>
          <w:tcPr>
            <w:tcW w:w="711" w:type="dxa"/>
            <w:gridSpan w:val="2"/>
            <w:tcBorders>
              <w:top w:val="nil"/>
              <w:left w:val="nil"/>
              <w:bottom w:val="nil"/>
              <w:right w:val="nil"/>
            </w:tcBorders>
            <w:shd w:val="clear" w:color="000000" w:fill="FFFFFF"/>
            <w:noWrap/>
            <w:vAlign w:val="bottom"/>
          </w:tcPr>
          <w:p w14:paraId="356A6816" w14:textId="3A4C68B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$178</w:t>
            </w:r>
          </w:p>
        </w:tc>
        <w:tc>
          <w:tcPr>
            <w:tcW w:w="662" w:type="dxa"/>
            <w:tcBorders>
              <w:top w:val="nil"/>
              <w:left w:val="nil"/>
              <w:bottom w:val="nil"/>
              <w:right w:val="nil"/>
            </w:tcBorders>
            <w:shd w:val="clear" w:color="000000" w:fill="FFFFFF"/>
            <w:noWrap/>
            <w:vAlign w:val="bottom"/>
          </w:tcPr>
          <w:p w14:paraId="4E27F480" w14:textId="205AF21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$116</w:t>
            </w:r>
          </w:p>
        </w:tc>
        <w:tc>
          <w:tcPr>
            <w:tcW w:w="711" w:type="dxa"/>
            <w:gridSpan w:val="2"/>
            <w:tcBorders>
              <w:top w:val="nil"/>
              <w:left w:val="nil"/>
              <w:bottom w:val="nil"/>
              <w:right w:val="nil"/>
            </w:tcBorders>
            <w:shd w:val="clear" w:color="000000" w:fill="FFFFFF"/>
            <w:noWrap/>
            <w:vAlign w:val="bottom"/>
          </w:tcPr>
          <w:p w14:paraId="6DDBAA8A" w14:textId="5C06A84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$158</w:t>
            </w:r>
          </w:p>
        </w:tc>
        <w:tc>
          <w:tcPr>
            <w:tcW w:w="728" w:type="dxa"/>
            <w:tcBorders>
              <w:top w:val="nil"/>
              <w:left w:val="nil"/>
              <w:bottom w:val="nil"/>
              <w:right w:val="nil"/>
            </w:tcBorders>
            <w:shd w:val="clear" w:color="000000" w:fill="FFFFFF"/>
            <w:noWrap/>
            <w:vAlign w:val="bottom"/>
          </w:tcPr>
          <w:p w14:paraId="1F2A5A62" w14:textId="0673C8E0"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-45.0%</w:t>
            </w:r>
          </w:p>
        </w:tc>
        <w:tc>
          <w:tcPr>
            <w:tcW w:w="584" w:type="dxa"/>
            <w:gridSpan w:val="2"/>
            <w:tcBorders>
              <w:top w:val="nil"/>
              <w:left w:val="nil"/>
              <w:bottom w:val="nil"/>
              <w:right w:val="nil"/>
            </w:tcBorders>
            <w:shd w:val="clear" w:color="000000" w:fill="FFFFFF"/>
            <w:noWrap/>
            <w:vAlign w:val="bottom"/>
          </w:tcPr>
          <w:p w14:paraId="36DA2AF5" w14:textId="22EDFB9D"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AAECC2C" w14:textId="1EDA7F6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EDBA5A6" w14:textId="3F55F28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6.3</w:t>
            </w:r>
          </w:p>
        </w:tc>
        <w:tc>
          <w:tcPr>
            <w:tcW w:w="798" w:type="dxa"/>
            <w:gridSpan w:val="2"/>
            <w:tcBorders>
              <w:top w:val="nil"/>
              <w:left w:val="nil"/>
              <w:bottom w:val="nil"/>
              <w:right w:val="nil"/>
            </w:tcBorders>
            <w:shd w:val="clear" w:color="000000" w:fill="FFFFFF"/>
            <w:noWrap/>
            <w:vAlign w:val="bottom"/>
          </w:tcPr>
          <w:p w14:paraId="5B6EC032" w14:textId="5F44E3C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5.6</w:t>
            </w:r>
          </w:p>
        </w:tc>
        <w:tc>
          <w:tcPr>
            <w:tcW w:w="500" w:type="dxa"/>
            <w:tcBorders>
              <w:top w:val="nil"/>
              <w:left w:val="nil"/>
              <w:bottom w:val="nil"/>
              <w:right w:val="nil"/>
            </w:tcBorders>
            <w:shd w:val="clear" w:color="000000" w:fill="FFFFFF"/>
            <w:noWrap/>
            <w:vAlign w:val="bottom"/>
          </w:tcPr>
          <w:p w14:paraId="42D037C6" w14:textId="70E41E5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5.9</w:t>
            </w:r>
          </w:p>
        </w:tc>
        <w:tc>
          <w:tcPr>
            <w:tcW w:w="757" w:type="dxa"/>
            <w:gridSpan w:val="2"/>
            <w:tcBorders>
              <w:top w:val="nil"/>
              <w:left w:val="nil"/>
              <w:bottom w:val="nil"/>
              <w:right w:val="nil"/>
            </w:tcBorders>
            <w:shd w:val="clear" w:color="000000" w:fill="FFFFFF"/>
            <w:noWrap/>
            <w:vAlign w:val="bottom"/>
          </w:tcPr>
          <w:p w14:paraId="48F87933" w14:textId="7A6DCF6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28" w:type="dxa"/>
            <w:tcBorders>
              <w:top w:val="nil"/>
              <w:left w:val="nil"/>
              <w:bottom w:val="nil"/>
              <w:right w:val="nil"/>
            </w:tcBorders>
            <w:shd w:val="clear" w:color="000000" w:fill="FFFFFF"/>
            <w:noWrap/>
            <w:vAlign w:val="bottom"/>
          </w:tcPr>
          <w:p w14:paraId="7F4E844C" w14:textId="61BA2809"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9.6%</w:t>
            </w:r>
          </w:p>
        </w:tc>
        <w:tc>
          <w:tcPr>
            <w:tcW w:w="619" w:type="dxa"/>
            <w:gridSpan w:val="2"/>
            <w:tcBorders>
              <w:top w:val="nil"/>
              <w:left w:val="nil"/>
              <w:bottom w:val="nil"/>
              <w:right w:val="nil"/>
            </w:tcBorders>
            <w:shd w:val="clear" w:color="000000" w:fill="FFFFFF"/>
            <w:noWrap/>
            <w:vAlign w:val="bottom"/>
          </w:tcPr>
          <w:p w14:paraId="02365199" w14:textId="3D9ED316"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0.400</w:t>
            </w:r>
          </w:p>
        </w:tc>
      </w:tr>
      <w:tr w:rsidR="008F59BB" w:rsidRPr="00EA3957" w14:paraId="78061983" w14:textId="77777777" w:rsidTr="00244009">
        <w:trPr>
          <w:trHeight w:val="288"/>
        </w:trPr>
        <w:tc>
          <w:tcPr>
            <w:tcW w:w="1710" w:type="dxa"/>
            <w:tcBorders>
              <w:top w:val="nil"/>
              <w:left w:val="nil"/>
              <w:bottom w:val="nil"/>
              <w:right w:val="nil"/>
            </w:tcBorders>
            <w:shd w:val="clear" w:color="000000" w:fill="FFFFFF"/>
            <w:noWrap/>
            <w:vAlign w:val="bottom"/>
            <w:hideMark/>
          </w:tcPr>
          <w:p w14:paraId="04AFBA45"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648988E9" w14:textId="1114C97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260</w:t>
            </w:r>
          </w:p>
        </w:tc>
        <w:tc>
          <w:tcPr>
            <w:tcW w:w="630" w:type="dxa"/>
            <w:gridSpan w:val="2"/>
            <w:tcBorders>
              <w:top w:val="nil"/>
              <w:left w:val="nil"/>
              <w:bottom w:val="nil"/>
              <w:right w:val="nil"/>
            </w:tcBorders>
            <w:shd w:val="clear" w:color="000000" w:fill="FFFFFF"/>
            <w:noWrap/>
            <w:vAlign w:val="bottom"/>
          </w:tcPr>
          <w:p w14:paraId="0B56340E" w14:textId="65817ED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506</w:t>
            </w:r>
          </w:p>
        </w:tc>
        <w:tc>
          <w:tcPr>
            <w:tcW w:w="99" w:type="dxa"/>
            <w:gridSpan w:val="2"/>
            <w:tcBorders>
              <w:top w:val="nil"/>
              <w:left w:val="nil"/>
              <w:bottom w:val="nil"/>
              <w:right w:val="nil"/>
            </w:tcBorders>
            <w:shd w:val="clear" w:color="000000" w:fill="FFFFFF"/>
            <w:noWrap/>
            <w:vAlign w:val="bottom"/>
          </w:tcPr>
          <w:p w14:paraId="0517B5A9" w14:textId="33ED0409"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9A0CD30" w14:textId="26C08AA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$149</w:t>
            </w:r>
          </w:p>
        </w:tc>
        <w:tc>
          <w:tcPr>
            <w:tcW w:w="711" w:type="dxa"/>
            <w:gridSpan w:val="2"/>
            <w:tcBorders>
              <w:top w:val="nil"/>
              <w:left w:val="nil"/>
              <w:bottom w:val="nil"/>
              <w:right w:val="nil"/>
            </w:tcBorders>
            <w:shd w:val="clear" w:color="000000" w:fill="FFFFFF"/>
            <w:noWrap/>
            <w:vAlign w:val="bottom"/>
          </w:tcPr>
          <w:p w14:paraId="28EC9E81" w14:textId="43935FF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$153</w:t>
            </w:r>
          </w:p>
        </w:tc>
        <w:tc>
          <w:tcPr>
            <w:tcW w:w="662" w:type="dxa"/>
            <w:tcBorders>
              <w:top w:val="nil"/>
              <w:left w:val="nil"/>
              <w:bottom w:val="nil"/>
              <w:right w:val="nil"/>
            </w:tcBorders>
            <w:shd w:val="clear" w:color="000000" w:fill="FFFFFF"/>
            <w:noWrap/>
            <w:vAlign w:val="bottom"/>
          </w:tcPr>
          <w:p w14:paraId="18897C47" w14:textId="07D63F6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$165</w:t>
            </w:r>
          </w:p>
        </w:tc>
        <w:tc>
          <w:tcPr>
            <w:tcW w:w="711" w:type="dxa"/>
            <w:gridSpan w:val="2"/>
            <w:tcBorders>
              <w:top w:val="nil"/>
              <w:left w:val="nil"/>
              <w:bottom w:val="nil"/>
              <w:right w:val="nil"/>
            </w:tcBorders>
            <w:shd w:val="clear" w:color="000000" w:fill="FFFFFF"/>
            <w:noWrap/>
            <w:vAlign w:val="bottom"/>
          </w:tcPr>
          <w:p w14:paraId="6D717938" w14:textId="414B521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$176</w:t>
            </w:r>
          </w:p>
        </w:tc>
        <w:tc>
          <w:tcPr>
            <w:tcW w:w="728" w:type="dxa"/>
            <w:tcBorders>
              <w:top w:val="nil"/>
              <w:left w:val="nil"/>
              <w:bottom w:val="nil"/>
              <w:right w:val="nil"/>
            </w:tcBorders>
            <w:shd w:val="clear" w:color="000000" w:fill="FFFFFF"/>
            <w:noWrap/>
            <w:vAlign w:val="bottom"/>
          </w:tcPr>
          <w:p w14:paraId="354459D9" w14:textId="01995058"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-3.8%</w:t>
            </w:r>
          </w:p>
        </w:tc>
        <w:tc>
          <w:tcPr>
            <w:tcW w:w="584" w:type="dxa"/>
            <w:gridSpan w:val="2"/>
            <w:tcBorders>
              <w:top w:val="nil"/>
              <w:left w:val="nil"/>
              <w:bottom w:val="nil"/>
              <w:right w:val="nil"/>
            </w:tcBorders>
            <w:shd w:val="clear" w:color="000000" w:fill="FFFFFF"/>
            <w:noWrap/>
            <w:vAlign w:val="bottom"/>
          </w:tcPr>
          <w:p w14:paraId="1A37A117" w14:textId="71ABE97A"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0.767</w:t>
            </w:r>
          </w:p>
        </w:tc>
        <w:tc>
          <w:tcPr>
            <w:tcW w:w="82" w:type="dxa"/>
            <w:gridSpan w:val="2"/>
            <w:tcBorders>
              <w:top w:val="nil"/>
              <w:left w:val="nil"/>
              <w:bottom w:val="nil"/>
              <w:right w:val="nil"/>
            </w:tcBorders>
            <w:shd w:val="clear" w:color="000000" w:fill="FFFFFF"/>
            <w:noWrap/>
            <w:vAlign w:val="bottom"/>
          </w:tcPr>
          <w:p w14:paraId="632BBF3A" w14:textId="6B28DF4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2054060A" w14:textId="1A0AE38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9.8</w:t>
            </w:r>
          </w:p>
        </w:tc>
        <w:tc>
          <w:tcPr>
            <w:tcW w:w="798" w:type="dxa"/>
            <w:gridSpan w:val="2"/>
            <w:tcBorders>
              <w:top w:val="nil"/>
              <w:left w:val="nil"/>
              <w:bottom w:val="nil"/>
              <w:right w:val="nil"/>
            </w:tcBorders>
            <w:shd w:val="clear" w:color="000000" w:fill="FFFFFF"/>
            <w:noWrap/>
            <w:vAlign w:val="bottom"/>
          </w:tcPr>
          <w:p w14:paraId="52786BAC" w14:textId="2EC7EDE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10.2</w:t>
            </w:r>
          </w:p>
        </w:tc>
        <w:tc>
          <w:tcPr>
            <w:tcW w:w="500" w:type="dxa"/>
            <w:tcBorders>
              <w:top w:val="nil"/>
              <w:left w:val="nil"/>
              <w:bottom w:val="nil"/>
              <w:right w:val="nil"/>
            </w:tcBorders>
            <w:shd w:val="clear" w:color="000000" w:fill="FFFFFF"/>
            <w:noWrap/>
            <w:vAlign w:val="bottom"/>
          </w:tcPr>
          <w:p w14:paraId="70C78E9B" w14:textId="46FE059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9.5</w:t>
            </w:r>
          </w:p>
        </w:tc>
        <w:tc>
          <w:tcPr>
            <w:tcW w:w="757" w:type="dxa"/>
            <w:gridSpan w:val="2"/>
            <w:tcBorders>
              <w:top w:val="nil"/>
              <w:left w:val="nil"/>
              <w:bottom w:val="nil"/>
              <w:right w:val="nil"/>
            </w:tcBorders>
            <w:shd w:val="clear" w:color="000000" w:fill="FFFFFF"/>
            <w:noWrap/>
            <w:vAlign w:val="bottom"/>
          </w:tcPr>
          <w:p w14:paraId="32B6CA71" w14:textId="1A2A444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728" w:type="dxa"/>
            <w:tcBorders>
              <w:top w:val="nil"/>
              <w:left w:val="nil"/>
              <w:bottom w:val="nil"/>
              <w:right w:val="nil"/>
            </w:tcBorders>
            <w:shd w:val="clear" w:color="000000" w:fill="FFFFFF"/>
            <w:noWrap/>
            <w:vAlign w:val="bottom"/>
          </w:tcPr>
          <w:p w14:paraId="29812DE3" w14:textId="628B503B"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-0.5%</w:t>
            </w:r>
          </w:p>
        </w:tc>
        <w:tc>
          <w:tcPr>
            <w:tcW w:w="619" w:type="dxa"/>
            <w:gridSpan w:val="2"/>
            <w:tcBorders>
              <w:top w:val="nil"/>
              <w:left w:val="nil"/>
              <w:bottom w:val="nil"/>
              <w:right w:val="nil"/>
            </w:tcBorders>
            <w:shd w:val="clear" w:color="000000" w:fill="FFFFFF"/>
            <w:noWrap/>
            <w:vAlign w:val="bottom"/>
          </w:tcPr>
          <w:p w14:paraId="5BCA3953" w14:textId="1591D6DB"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0.901</w:t>
            </w:r>
          </w:p>
        </w:tc>
      </w:tr>
      <w:tr w:rsidR="008F59BB" w:rsidRPr="00EA3957" w14:paraId="729D7AB4" w14:textId="77777777" w:rsidTr="00244009">
        <w:trPr>
          <w:trHeight w:val="288"/>
        </w:trPr>
        <w:tc>
          <w:tcPr>
            <w:tcW w:w="1710" w:type="dxa"/>
            <w:tcBorders>
              <w:top w:val="nil"/>
              <w:left w:val="nil"/>
              <w:bottom w:val="nil"/>
              <w:right w:val="nil"/>
            </w:tcBorders>
            <w:shd w:val="clear" w:color="000000" w:fill="FFFFFF"/>
            <w:noWrap/>
            <w:vAlign w:val="bottom"/>
            <w:hideMark/>
          </w:tcPr>
          <w:p w14:paraId="1D0DBA2B"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32ABB599" w14:textId="16EC46D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165</w:t>
            </w:r>
          </w:p>
        </w:tc>
        <w:tc>
          <w:tcPr>
            <w:tcW w:w="630" w:type="dxa"/>
            <w:gridSpan w:val="2"/>
            <w:tcBorders>
              <w:top w:val="nil"/>
              <w:left w:val="nil"/>
              <w:bottom w:val="nil"/>
              <w:right w:val="nil"/>
            </w:tcBorders>
            <w:shd w:val="clear" w:color="000000" w:fill="FFFFFF"/>
            <w:noWrap/>
            <w:vAlign w:val="bottom"/>
          </w:tcPr>
          <w:p w14:paraId="00628E58" w14:textId="01671B5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342</w:t>
            </w:r>
          </w:p>
        </w:tc>
        <w:tc>
          <w:tcPr>
            <w:tcW w:w="99" w:type="dxa"/>
            <w:gridSpan w:val="2"/>
            <w:tcBorders>
              <w:top w:val="nil"/>
              <w:left w:val="nil"/>
              <w:bottom w:val="nil"/>
              <w:right w:val="nil"/>
            </w:tcBorders>
            <w:shd w:val="clear" w:color="000000" w:fill="FFFFFF"/>
            <w:noWrap/>
            <w:vAlign w:val="bottom"/>
          </w:tcPr>
          <w:p w14:paraId="5FFB7EB0" w14:textId="6B90EC5D"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4E381309" w14:textId="31C88D1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$168</w:t>
            </w:r>
          </w:p>
        </w:tc>
        <w:tc>
          <w:tcPr>
            <w:tcW w:w="711" w:type="dxa"/>
            <w:gridSpan w:val="2"/>
            <w:tcBorders>
              <w:top w:val="nil"/>
              <w:left w:val="nil"/>
              <w:bottom w:val="nil"/>
              <w:right w:val="nil"/>
            </w:tcBorders>
            <w:shd w:val="clear" w:color="000000" w:fill="FFFFFF"/>
            <w:noWrap/>
            <w:vAlign w:val="bottom"/>
          </w:tcPr>
          <w:p w14:paraId="583F141D" w14:textId="75DA9B7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$132</w:t>
            </w:r>
          </w:p>
        </w:tc>
        <w:tc>
          <w:tcPr>
            <w:tcW w:w="662" w:type="dxa"/>
            <w:tcBorders>
              <w:top w:val="nil"/>
              <w:left w:val="nil"/>
              <w:bottom w:val="nil"/>
              <w:right w:val="nil"/>
            </w:tcBorders>
            <w:shd w:val="clear" w:color="000000" w:fill="FFFFFF"/>
            <w:noWrap/>
            <w:vAlign w:val="bottom"/>
          </w:tcPr>
          <w:p w14:paraId="06F38032" w14:textId="5E8B808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$154</w:t>
            </w:r>
          </w:p>
        </w:tc>
        <w:tc>
          <w:tcPr>
            <w:tcW w:w="711" w:type="dxa"/>
            <w:gridSpan w:val="2"/>
            <w:tcBorders>
              <w:top w:val="nil"/>
              <w:left w:val="nil"/>
              <w:bottom w:val="nil"/>
              <w:right w:val="nil"/>
            </w:tcBorders>
            <w:shd w:val="clear" w:color="000000" w:fill="FFFFFF"/>
            <w:noWrap/>
            <w:vAlign w:val="bottom"/>
          </w:tcPr>
          <w:p w14:paraId="4689A19B" w14:textId="28CE490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$145</w:t>
            </w:r>
          </w:p>
        </w:tc>
        <w:tc>
          <w:tcPr>
            <w:tcW w:w="728" w:type="dxa"/>
            <w:tcBorders>
              <w:top w:val="nil"/>
              <w:left w:val="nil"/>
              <w:bottom w:val="nil"/>
              <w:right w:val="nil"/>
            </w:tcBorders>
            <w:shd w:val="clear" w:color="000000" w:fill="FFFFFF"/>
            <w:noWrap/>
            <w:vAlign w:val="bottom"/>
          </w:tcPr>
          <w:p w14:paraId="29098DED" w14:textId="0CD576A8"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-16.7%</w:t>
            </w:r>
          </w:p>
        </w:tc>
        <w:tc>
          <w:tcPr>
            <w:tcW w:w="584" w:type="dxa"/>
            <w:gridSpan w:val="2"/>
            <w:tcBorders>
              <w:top w:val="nil"/>
              <w:left w:val="nil"/>
              <w:bottom w:val="nil"/>
              <w:right w:val="nil"/>
            </w:tcBorders>
            <w:shd w:val="clear" w:color="000000" w:fill="FFFFFF"/>
            <w:noWrap/>
            <w:vAlign w:val="bottom"/>
          </w:tcPr>
          <w:p w14:paraId="6E969609" w14:textId="7435B2F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0.266</w:t>
            </w:r>
          </w:p>
        </w:tc>
        <w:tc>
          <w:tcPr>
            <w:tcW w:w="82" w:type="dxa"/>
            <w:gridSpan w:val="2"/>
            <w:tcBorders>
              <w:top w:val="nil"/>
              <w:left w:val="nil"/>
              <w:bottom w:val="nil"/>
              <w:right w:val="nil"/>
            </w:tcBorders>
            <w:shd w:val="clear" w:color="000000" w:fill="FFFFFF"/>
            <w:noWrap/>
            <w:vAlign w:val="bottom"/>
          </w:tcPr>
          <w:p w14:paraId="2206C86A" w14:textId="4B1FA6D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94348C5" w14:textId="184F67C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8.1</w:t>
            </w:r>
          </w:p>
        </w:tc>
        <w:tc>
          <w:tcPr>
            <w:tcW w:w="798" w:type="dxa"/>
            <w:gridSpan w:val="2"/>
            <w:tcBorders>
              <w:top w:val="nil"/>
              <w:left w:val="nil"/>
              <w:bottom w:val="nil"/>
              <w:right w:val="nil"/>
            </w:tcBorders>
            <w:shd w:val="clear" w:color="000000" w:fill="FFFFFF"/>
            <w:noWrap/>
            <w:vAlign w:val="bottom"/>
          </w:tcPr>
          <w:p w14:paraId="254BAB99" w14:textId="394D44E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7.7</w:t>
            </w:r>
          </w:p>
        </w:tc>
        <w:tc>
          <w:tcPr>
            <w:tcW w:w="500" w:type="dxa"/>
            <w:tcBorders>
              <w:top w:val="nil"/>
              <w:left w:val="nil"/>
              <w:bottom w:val="nil"/>
              <w:right w:val="nil"/>
            </w:tcBorders>
            <w:shd w:val="clear" w:color="000000" w:fill="FFFFFF"/>
            <w:noWrap/>
            <w:vAlign w:val="bottom"/>
          </w:tcPr>
          <w:p w14:paraId="6302D423" w14:textId="6459960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8.3</w:t>
            </w:r>
          </w:p>
        </w:tc>
        <w:tc>
          <w:tcPr>
            <w:tcW w:w="757" w:type="dxa"/>
            <w:gridSpan w:val="2"/>
            <w:tcBorders>
              <w:top w:val="nil"/>
              <w:left w:val="nil"/>
              <w:bottom w:val="nil"/>
              <w:right w:val="nil"/>
            </w:tcBorders>
            <w:shd w:val="clear" w:color="000000" w:fill="FFFFFF"/>
            <w:noWrap/>
            <w:vAlign w:val="bottom"/>
          </w:tcPr>
          <w:p w14:paraId="7E912E75" w14:textId="5BDC8BC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7.6</w:t>
            </w:r>
          </w:p>
        </w:tc>
        <w:tc>
          <w:tcPr>
            <w:tcW w:w="728" w:type="dxa"/>
            <w:tcBorders>
              <w:top w:val="nil"/>
              <w:left w:val="nil"/>
              <w:bottom w:val="nil"/>
              <w:right w:val="nil"/>
            </w:tcBorders>
            <w:shd w:val="clear" w:color="000000" w:fill="FFFFFF"/>
            <w:noWrap/>
            <w:vAlign w:val="bottom"/>
          </w:tcPr>
          <w:p w14:paraId="22B0465A" w14:textId="36EAAB28"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4.0%</w:t>
            </w:r>
          </w:p>
        </w:tc>
        <w:tc>
          <w:tcPr>
            <w:tcW w:w="619" w:type="dxa"/>
            <w:gridSpan w:val="2"/>
            <w:tcBorders>
              <w:top w:val="nil"/>
              <w:left w:val="nil"/>
              <w:bottom w:val="nil"/>
              <w:right w:val="nil"/>
            </w:tcBorders>
            <w:shd w:val="clear" w:color="000000" w:fill="FFFFFF"/>
            <w:noWrap/>
            <w:vAlign w:val="bottom"/>
          </w:tcPr>
          <w:p w14:paraId="5F87AA4F" w14:textId="63B4E5E9"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0.469</w:t>
            </w:r>
          </w:p>
        </w:tc>
      </w:tr>
      <w:tr w:rsidR="008F59BB" w:rsidRPr="00EA3957" w14:paraId="3F4EB350" w14:textId="77777777" w:rsidTr="00244009">
        <w:trPr>
          <w:trHeight w:val="288"/>
        </w:trPr>
        <w:tc>
          <w:tcPr>
            <w:tcW w:w="1710" w:type="dxa"/>
            <w:tcBorders>
              <w:top w:val="nil"/>
              <w:left w:val="nil"/>
              <w:bottom w:val="nil"/>
              <w:right w:val="nil"/>
            </w:tcBorders>
            <w:shd w:val="clear" w:color="000000" w:fill="FFFFFF"/>
            <w:noWrap/>
            <w:vAlign w:val="bottom"/>
            <w:hideMark/>
          </w:tcPr>
          <w:p w14:paraId="1E793BB6"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2BF47362" w14:textId="2DE5075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890</w:t>
            </w:r>
          </w:p>
        </w:tc>
        <w:tc>
          <w:tcPr>
            <w:tcW w:w="630" w:type="dxa"/>
            <w:gridSpan w:val="2"/>
            <w:tcBorders>
              <w:top w:val="nil"/>
              <w:left w:val="nil"/>
              <w:bottom w:val="nil"/>
              <w:right w:val="nil"/>
            </w:tcBorders>
            <w:shd w:val="clear" w:color="000000" w:fill="FFFFFF"/>
            <w:noWrap/>
            <w:vAlign w:val="bottom"/>
          </w:tcPr>
          <w:p w14:paraId="5BFB4E44" w14:textId="465688F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1762</w:t>
            </w:r>
          </w:p>
        </w:tc>
        <w:tc>
          <w:tcPr>
            <w:tcW w:w="99" w:type="dxa"/>
            <w:gridSpan w:val="2"/>
            <w:tcBorders>
              <w:top w:val="nil"/>
              <w:left w:val="nil"/>
              <w:bottom w:val="nil"/>
              <w:right w:val="nil"/>
            </w:tcBorders>
            <w:shd w:val="clear" w:color="000000" w:fill="FFFFFF"/>
            <w:noWrap/>
            <w:vAlign w:val="bottom"/>
          </w:tcPr>
          <w:p w14:paraId="52F67479" w14:textId="00D04937"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53DF23C4" w14:textId="5195774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$338</w:t>
            </w:r>
          </w:p>
        </w:tc>
        <w:tc>
          <w:tcPr>
            <w:tcW w:w="711" w:type="dxa"/>
            <w:gridSpan w:val="2"/>
            <w:tcBorders>
              <w:top w:val="nil"/>
              <w:left w:val="nil"/>
              <w:bottom w:val="nil"/>
              <w:right w:val="nil"/>
            </w:tcBorders>
            <w:shd w:val="clear" w:color="000000" w:fill="FFFFFF"/>
            <w:noWrap/>
            <w:vAlign w:val="bottom"/>
          </w:tcPr>
          <w:p w14:paraId="326BFFEE" w14:textId="6E0DD6C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$333</w:t>
            </w:r>
          </w:p>
        </w:tc>
        <w:tc>
          <w:tcPr>
            <w:tcW w:w="662" w:type="dxa"/>
            <w:tcBorders>
              <w:top w:val="nil"/>
              <w:left w:val="nil"/>
              <w:bottom w:val="nil"/>
              <w:right w:val="nil"/>
            </w:tcBorders>
            <w:shd w:val="clear" w:color="000000" w:fill="FFFFFF"/>
            <w:noWrap/>
            <w:vAlign w:val="bottom"/>
          </w:tcPr>
          <w:p w14:paraId="74460C3F" w14:textId="23F4880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$367</w:t>
            </w:r>
          </w:p>
        </w:tc>
        <w:tc>
          <w:tcPr>
            <w:tcW w:w="711" w:type="dxa"/>
            <w:gridSpan w:val="2"/>
            <w:tcBorders>
              <w:top w:val="nil"/>
              <w:left w:val="nil"/>
              <w:bottom w:val="nil"/>
              <w:right w:val="nil"/>
            </w:tcBorders>
            <w:shd w:val="clear" w:color="000000" w:fill="FFFFFF"/>
            <w:noWrap/>
            <w:vAlign w:val="bottom"/>
          </w:tcPr>
          <w:p w14:paraId="3E50D555" w14:textId="7712326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$396</w:t>
            </w:r>
          </w:p>
        </w:tc>
        <w:tc>
          <w:tcPr>
            <w:tcW w:w="728" w:type="dxa"/>
            <w:tcBorders>
              <w:top w:val="nil"/>
              <w:left w:val="nil"/>
              <w:bottom w:val="nil"/>
              <w:right w:val="nil"/>
            </w:tcBorders>
            <w:shd w:val="clear" w:color="000000" w:fill="FFFFFF"/>
            <w:noWrap/>
            <w:vAlign w:val="bottom"/>
          </w:tcPr>
          <w:p w14:paraId="3E14EEE0" w14:textId="1024816C"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-8.6%</w:t>
            </w:r>
          </w:p>
        </w:tc>
        <w:tc>
          <w:tcPr>
            <w:tcW w:w="584" w:type="dxa"/>
            <w:gridSpan w:val="2"/>
            <w:tcBorders>
              <w:top w:val="nil"/>
              <w:left w:val="nil"/>
              <w:bottom w:val="nil"/>
              <w:right w:val="nil"/>
            </w:tcBorders>
            <w:shd w:val="clear" w:color="000000" w:fill="FFFFFF"/>
            <w:noWrap/>
            <w:vAlign w:val="bottom"/>
          </w:tcPr>
          <w:p w14:paraId="441CEEC7" w14:textId="6385C434"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0.124</w:t>
            </w:r>
          </w:p>
        </w:tc>
        <w:tc>
          <w:tcPr>
            <w:tcW w:w="82" w:type="dxa"/>
            <w:gridSpan w:val="2"/>
            <w:tcBorders>
              <w:top w:val="nil"/>
              <w:left w:val="nil"/>
              <w:bottom w:val="nil"/>
              <w:right w:val="nil"/>
            </w:tcBorders>
            <w:shd w:val="clear" w:color="000000" w:fill="FFFFFF"/>
            <w:noWrap/>
            <w:vAlign w:val="bottom"/>
          </w:tcPr>
          <w:p w14:paraId="2501153F" w14:textId="1DC4F30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598DA45" w14:textId="27AC423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14.0</w:t>
            </w:r>
          </w:p>
        </w:tc>
        <w:tc>
          <w:tcPr>
            <w:tcW w:w="798" w:type="dxa"/>
            <w:gridSpan w:val="2"/>
            <w:tcBorders>
              <w:top w:val="nil"/>
              <w:left w:val="nil"/>
              <w:bottom w:val="nil"/>
              <w:right w:val="nil"/>
            </w:tcBorders>
            <w:shd w:val="clear" w:color="000000" w:fill="FFFFFF"/>
            <w:noWrap/>
            <w:vAlign w:val="bottom"/>
          </w:tcPr>
          <w:p w14:paraId="43FA4E60" w14:textId="1674F65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14.5</w:t>
            </w:r>
          </w:p>
        </w:tc>
        <w:tc>
          <w:tcPr>
            <w:tcW w:w="500" w:type="dxa"/>
            <w:tcBorders>
              <w:top w:val="nil"/>
              <w:left w:val="nil"/>
              <w:bottom w:val="nil"/>
              <w:right w:val="nil"/>
            </w:tcBorders>
            <w:shd w:val="clear" w:color="000000" w:fill="FFFFFF"/>
            <w:noWrap/>
            <w:vAlign w:val="bottom"/>
          </w:tcPr>
          <w:p w14:paraId="749D9363" w14:textId="201A866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16.2</w:t>
            </w:r>
          </w:p>
        </w:tc>
        <w:tc>
          <w:tcPr>
            <w:tcW w:w="757" w:type="dxa"/>
            <w:gridSpan w:val="2"/>
            <w:tcBorders>
              <w:top w:val="nil"/>
              <w:left w:val="nil"/>
              <w:bottom w:val="nil"/>
              <w:right w:val="nil"/>
            </w:tcBorders>
            <w:shd w:val="clear" w:color="000000" w:fill="FFFFFF"/>
            <w:noWrap/>
            <w:vAlign w:val="bottom"/>
          </w:tcPr>
          <w:p w14:paraId="5C2C26FD" w14:textId="34A3C6E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15.9</w:t>
            </w:r>
          </w:p>
        </w:tc>
        <w:tc>
          <w:tcPr>
            <w:tcW w:w="728" w:type="dxa"/>
            <w:tcBorders>
              <w:top w:val="nil"/>
              <w:left w:val="nil"/>
              <w:bottom w:val="nil"/>
              <w:right w:val="nil"/>
            </w:tcBorders>
            <w:shd w:val="clear" w:color="000000" w:fill="FFFFFF"/>
            <w:noWrap/>
            <w:vAlign w:val="bottom"/>
          </w:tcPr>
          <w:p w14:paraId="24E092A6" w14:textId="0A11AA4A"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5.9%</w:t>
            </w:r>
          </w:p>
        </w:tc>
        <w:tc>
          <w:tcPr>
            <w:tcW w:w="619" w:type="dxa"/>
            <w:gridSpan w:val="2"/>
            <w:tcBorders>
              <w:top w:val="nil"/>
              <w:left w:val="nil"/>
              <w:bottom w:val="nil"/>
              <w:right w:val="nil"/>
            </w:tcBorders>
            <w:shd w:val="clear" w:color="000000" w:fill="FFFFFF"/>
            <w:noWrap/>
            <w:vAlign w:val="bottom"/>
          </w:tcPr>
          <w:p w14:paraId="5666C2DE" w14:textId="62BE98B8"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0.033</w:t>
            </w:r>
          </w:p>
        </w:tc>
      </w:tr>
      <w:tr w:rsidR="006C5A87" w:rsidRPr="00EA3957" w14:paraId="049FA1B6" w14:textId="77777777" w:rsidTr="00244009">
        <w:trPr>
          <w:trHeight w:val="288"/>
        </w:trPr>
        <w:tc>
          <w:tcPr>
            <w:tcW w:w="1710" w:type="dxa"/>
            <w:tcBorders>
              <w:top w:val="nil"/>
              <w:left w:val="nil"/>
              <w:bottom w:val="nil"/>
              <w:right w:val="nil"/>
            </w:tcBorders>
            <w:shd w:val="clear" w:color="000000" w:fill="FFFFFF"/>
            <w:noWrap/>
            <w:vAlign w:val="bottom"/>
            <w:hideMark/>
          </w:tcPr>
          <w:p w14:paraId="4941D6C8" w14:textId="592752D4" w:rsidR="006C5A87" w:rsidRPr="00C2204F" w:rsidRDefault="008F59BB" w:rsidP="00244009">
            <w:pPr>
              <w:spacing w:after="0" w:line="240" w:lineRule="auto"/>
              <w:rPr>
                <w:rFonts w:ascii="Calibri" w:eastAsia="Times New Roman" w:hAnsi="Calibri"/>
                <w:b/>
                <w:bCs/>
                <w:sz w:val="16"/>
                <w:szCs w:val="16"/>
                <w:u w:val="single"/>
              </w:rPr>
            </w:pPr>
            <w:r>
              <w:rPr>
                <w:rFonts w:ascii="Calibri" w:hAnsi="Calibri"/>
                <w:b/>
                <w:bCs/>
                <w:sz w:val="16"/>
                <w:szCs w:val="16"/>
                <w:u w:val="single"/>
              </w:rPr>
              <w:t xml:space="preserve">&lt;75% white </w:t>
            </w:r>
            <w:proofErr w:type="spellStart"/>
            <w:r>
              <w:rPr>
                <w:rFonts w:ascii="Calibri" w:hAnsi="Calibri"/>
                <w:b/>
                <w:bCs/>
                <w:sz w:val="16"/>
                <w:szCs w:val="16"/>
                <w:u w:val="single"/>
              </w:rPr>
              <w:t>nbhd</w:t>
            </w:r>
            <w:proofErr w:type="spellEnd"/>
            <w:r>
              <w:rPr>
                <w:rFonts w:ascii="Calibri" w:hAnsi="Calibri"/>
                <w:b/>
                <w:bCs/>
                <w:sz w:val="16"/>
                <w:szCs w:val="16"/>
                <w:u w:val="single"/>
              </w:rPr>
              <w:t>. &amp;&amp;</w:t>
            </w:r>
          </w:p>
        </w:tc>
        <w:tc>
          <w:tcPr>
            <w:tcW w:w="450" w:type="dxa"/>
            <w:tcBorders>
              <w:top w:val="nil"/>
              <w:left w:val="nil"/>
              <w:bottom w:val="nil"/>
              <w:right w:val="nil"/>
            </w:tcBorders>
            <w:shd w:val="clear" w:color="000000" w:fill="FFFFFF"/>
            <w:noWrap/>
            <w:vAlign w:val="bottom"/>
          </w:tcPr>
          <w:p w14:paraId="7DD9A4DF" w14:textId="77777777" w:rsidR="006C5A87" w:rsidRPr="00EA3957" w:rsidRDefault="006C5A87" w:rsidP="00244009">
            <w:pPr>
              <w:spacing w:after="0" w:line="240" w:lineRule="auto"/>
              <w:rPr>
                <w:rFonts w:ascii="Calibri" w:eastAsia="Times New Roman" w:hAnsi="Calibri" w:cs="Times New Roman"/>
                <w:sz w:val="16"/>
                <w:szCs w:val="16"/>
              </w:rPr>
            </w:pPr>
          </w:p>
        </w:tc>
        <w:tc>
          <w:tcPr>
            <w:tcW w:w="630" w:type="dxa"/>
            <w:gridSpan w:val="2"/>
            <w:tcBorders>
              <w:top w:val="nil"/>
              <w:left w:val="nil"/>
              <w:bottom w:val="nil"/>
              <w:right w:val="nil"/>
            </w:tcBorders>
            <w:shd w:val="clear" w:color="000000" w:fill="FFFFFF"/>
            <w:noWrap/>
            <w:vAlign w:val="bottom"/>
          </w:tcPr>
          <w:p w14:paraId="219706A2" w14:textId="77777777" w:rsidR="006C5A87" w:rsidRPr="00EA3957" w:rsidRDefault="006C5A87" w:rsidP="00244009">
            <w:pPr>
              <w:spacing w:after="0" w:line="240" w:lineRule="auto"/>
              <w:rPr>
                <w:rFonts w:ascii="Calibri" w:eastAsia="Times New Roman" w:hAnsi="Calibri" w:cs="Times New Roman"/>
                <w:sz w:val="16"/>
                <w:szCs w:val="16"/>
              </w:rPr>
            </w:pPr>
          </w:p>
        </w:tc>
        <w:tc>
          <w:tcPr>
            <w:tcW w:w="99" w:type="dxa"/>
            <w:gridSpan w:val="2"/>
            <w:tcBorders>
              <w:top w:val="nil"/>
              <w:left w:val="nil"/>
              <w:bottom w:val="nil"/>
              <w:right w:val="nil"/>
            </w:tcBorders>
            <w:shd w:val="clear" w:color="000000" w:fill="FFFFFF"/>
            <w:noWrap/>
            <w:vAlign w:val="bottom"/>
          </w:tcPr>
          <w:p w14:paraId="39E64600" w14:textId="77777777" w:rsidR="006C5A87" w:rsidRPr="00EA3957" w:rsidRDefault="006C5A87" w:rsidP="00244009">
            <w:pPr>
              <w:spacing w:after="0" w:line="240" w:lineRule="auto"/>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52183CF9" w14:textId="77777777" w:rsidR="006C5A87" w:rsidRPr="00EA3957" w:rsidRDefault="006C5A87" w:rsidP="00244009">
            <w:pPr>
              <w:spacing w:after="0" w:line="240" w:lineRule="auto"/>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06E80789" w14:textId="77777777" w:rsidR="006C5A87" w:rsidRPr="00EA3957" w:rsidRDefault="006C5A87" w:rsidP="00244009">
            <w:pPr>
              <w:spacing w:after="0" w:line="240" w:lineRule="auto"/>
              <w:rPr>
                <w:rFonts w:ascii="Calibri" w:eastAsia="Times New Roman" w:hAnsi="Calibri" w:cs="Times New Roman"/>
                <w:sz w:val="16"/>
                <w:szCs w:val="16"/>
              </w:rPr>
            </w:pPr>
          </w:p>
        </w:tc>
        <w:tc>
          <w:tcPr>
            <w:tcW w:w="662" w:type="dxa"/>
            <w:tcBorders>
              <w:top w:val="nil"/>
              <w:left w:val="nil"/>
              <w:bottom w:val="nil"/>
              <w:right w:val="nil"/>
            </w:tcBorders>
            <w:shd w:val="clear" w:color="000000" w:fill="FFFFFF"/>
            <w:noWrap/>
            <w:vAlign w:val="bottom"/>
          </w:tcPr>
          <w:p w14:paraId="0E75B58A" w14:textId="77777777" w:rsidR="006C5A87" w:rsidRPr="00EA3957" w:rsidRDefault="006C5A87" w:rsidP="00244009">
            <w:pPr>
              <w:spacing w:after="0" w:line="240" w:lineRule="auto"/>
              <w:rPr>
                <w:rFonts w:ascii="Calibri" w:eastAsia="Times New Roman" w:hAnsi="Calibri" w:cs="Times New Roman"/>
                <w:sz w:val="16"/>
                <w:szCs w:val="16"/>
              </w:rPr>
            </w:pPr>
          </w:p>
        </w:tc>
        <w:tc>
          <w:tcPr>
            <w:tcW w:w="711" w:type="dxa"/>
            <w:gridSpan w:val="2"/>
            <w:tcBorders>
              <w:top w:val="nil"/>
              <w:left w:val="nil"/>
              <w:bottom w:val="nil"/>
              <w:right w:val="nil"/>
            </w:tcBorders>
            <w:shd w:val="clear" w:color="000000" w:fill="FFFFFF"/>
            <w:noWrap/>
            <w:vAlign w:val="bottom"/>
          </w:tcPr>
          <w:p w14:paraId="54C22D66" w14:textId="77777777" w:rsidR="006C5A87" w:rsidRPr="00EA3957" w:rsidRDefault="006C5A87" w:rsidP="00244009">
            <w:pPr>
              <w:spacing w:after="0" w:line="240" w:lineRule="auto"/>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385479B9" w14:textId="77777777" w:rsidR="006C5A87" w:rsidRPr="00EA3957" w:rsidRDefault="006C5A87" w:rsidP="00244009">
            <w:pPr>
              <w:spacing w:after="0" w:line="240" w:lineRule="auto"/>
              <w:rPr>
                <w:rFonts w:ascii="Calibri" w:eastAsia="Times New Roman" w:hAnsi="Calibri" w:cs="Times New Roman"/>
                <w:sz w:val="16"/>
                <w:szCs w:val="16"/>
              </w:rPr>
            </w:pPr>
          </w:p>
        </w:tc>
        <w:tc>
          <w:tcPr>
            <w:tcW w:w="584" w:type="dxa"/>
            <w:gridSpan w:val="2"/>
            <w:tcBorders>
              <w:top w:val="nil"/>
              <w:left w:val="nil"/>
              <w:bottom w:val="nil"/>
              <w:right w:val="nil"/>
            </w:tcBorders>
            <w:shd w:val="clear" w:color="000000" w:fill="FFFFFF"/>
            <w:noWrap/>
            <w:vAlign w:val="bottom"/>
          </w:tcPr>
          <w:p w14:paraId="1BCE759E" w14:textId="77777777" w:rsidR="006C5A87" w:rsidRPr="00EA3957" w:rsidRDefault="006C5A87" w:rsidP="00244009">
            <w:pPr>
              <w:spacing w:after="0" w:line="240" w:lineRule="auto"/>
              <w:rPr>
                <w:rFonts w:ascii="Calibri" w:eastAsia="Times New Roman" w:hAnsi="Calibri" w:cs="Times New Roman"/>
                <w:sz w:val="16"/>
                <w:szCs w:val="16"/>
              </w:rPr>
            </w:pPr>
          </w:p>
        </w:tc>
        <w:tc>
          <w:tcPr>
            <w:tcW w:w="82" w:type="dxa"/>
            <w:gridSpan w:val="2"/>
            <w:tcBorders>
              <w:top w:val="nil"/>
              <w:left w:val="nil"/>
              <w:bottom w:val="nil"/>
              <w:right w:val="nil"/>
            </w:tcBorders>
            <w:shd w:val="clear" w:color="000000" w:fill="FFFFFF"/>
            <w:noWrap/>
            <w:vAlign w:val="bottom"/>
          </w:tcPr>
          <w:p w14:paraId="5A82E5D8" w14:textId="77777777" w:rsidR="006C5A87" w:rsidRPr="00EA3957" w:rsidRDefault="006C5A87" w:rsidP="00244009">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6AB87931" w14:textId="77777777" w:rsidR="006C5A87" w:rsidRPr="00EA3957" w:rsidRDefault="006C5A87" w:rsidP="00244009">
            <w:pPr>
              <w:spacing w:after="0" w:line="240" w:lineRule="auto"/>
              <w:rPr>
                <w:rFonts w:ascii="Calibri" w:eastAsia="Times New Roman" w:hAnsi="Calibri" w:cs="Times New Roman"/>
                <w:sz w:val="16"/>
                <w:szCs w:val="16"/>
              </w:rPr>
            </w:pPr>
          </w:p>
        </w:tc>
        <w:tc>
          <w:tcPr>
            <w:tcW w:w="798" w:type="dxa"/>
            <w:gridSpan w:val="2"/>
            <w:tcBorders>
              <w:top w:val="nil"/>
              <w:left w:val="nil"/>
              <w:bottom w:val="nil"/>
              <w:right w:val="nil"/>
            </w:tcBorders>
            <w:shd w:val="clear" w:color="000000" w:fill="FFFFFF"/>
            <w:noWrap/>
            <w:vAlign w:val="bottom"/>
          </w:tcPr>
          <w:p w14:paraId="420E31F4" w14:textId="77777777" w:rsidR="006C5A87" w:rsidRPr="00EA3957" w:rsidRDefault="006C5A87" w:rsidP="00244009">
            <w:pPr>
              <w:spacing w:after="0" w:line="240" w:lineRule="auto"/>
              <w:rPr>
                <w:rFonts w:ascii="Calibri" w:eastAsia="Times New Roman" w:hAnsi="Calibri" w:cs="Times New Roman"/>
                <w:sz w:val="16"/>
                <w:szCs w:val="16"/>
              </w:rPr>
            </w:pPr>
          </w:p>
        </w:tc>
        <w:tc>
          <w:tcPr>
            <w:tcW w:w="500" w:type="dxa"/>
            <w:tcBorders>
              <w:top w:val="nil"/>
              <w:left w:val="nil"/>
              <w:bottom w:val="nil"/>
              <w:right w:val="nil"/>
            </w:tcBorders>
            <w:shd w:val="clear" w:color="000000" w:fill="FFFFFF"/>
            <w:noWrap/>
            <w:vAlign w:val="bottom"/>
          </w:tcPr>
          <w:p w14:paraId="359F3FB9" w14:textId="77777777" w:rsidR="006C5A87" w:rsidRPr="00EA3957" w:rsidRDefault="006C5A87" w:rsidP="00244009">
            <w:pPr>
              <w:spacing w:after="0" w:line="240" w:lineRule="auto"/>
              <w:rPr>
                <w:rFonts w:ascii="Calibri" w:eastAsia="Times New Roman" w:hAnsi="Calibri" w:cs="Times New Roman"/>
                <w:sz w:val="16"/>
                <w:szCs w:val="16"/>
              </w:rPr>
            </w:pPr>
          </w:p>
        </w:tc>
        <w:tc>
          <w:tcPr>
            <w:tcW w:w="757" w:type="dxa"/>
            <w:gridSpan w:val="2"/>
            <w:tcBorders>
              <w:top w:val="nil"/>
              <w:left w:val="nil"/>
              <w:bottom w:val="nil"/>
              <w:right w:val="nil"/>
            </w:tcBorders>
            <w:shd w:val="clear" w:color="000000" w:fill="FFFFFF"/>
            <w:noWrap/>
            <w:vAlign w:val="bottom"/>
          </w:tcPr>
          <w:p w14:paraId="395C6D21" w14:textId="77777777" w:rsidR="006C5A87" w:rsidRPr="00EA3957" w:rsidRDefault="006C5A87" w:rsidP="00244009">
            <w:pPr>
              <w:spacing w:after="0" w:line="240" w:lineRule="auto"/>
              <w:rPr>
                <w:rFonts w:ascii="Calibri" w:eastAsia="Times New Roman" w:hAnsi="Calibri" w:cs="Times New Roman"/>
                <w:sz w:val="16"/>
                <w:szCs w:val="16"/>
              </w:rPr>
            </w:pPr>
          </w:p>
        </w:tc>
        <w:tc>
          <w:tcPr>
            <w:tcW w:w="728" w:type="dxa"/>
            <w:tcBorders>
              <w:top w:val="nil"/>
              <w:left w:val="nil"/>
              <w:bottom w:val="nil"/>
              <w:right w:val="nil"/>
            </w:tcBorders>
            <w:shd w:val="clear" w:color="000000" w:fill="FFFFFF"/>
            <w:noWrap/>
            <w:vAlign w:val="bottom"/>
          </w:tcPr>
          <w:p w14:paraId="29D36B6C" w14:textId="77777777" w:rsidR="006C5A87" w:rsidRPr="00EA3957" w:rsidRDefault="006C5A87" w:rsidP="00244009">
            <w:pPr>
              <w:spacing w:after="0" w:line="240" w:lineRule="auto"/>
              <w:rPr>
                <w:rFonts w:ascii="Calibri" w:eastAsia="Times New Roman" w:hAnsi="Calibri" w:cs="Times New Roman"/>
                <w:sz w:val="16"/>
                <w:szCs w:val="16"/>
              </w:rPr>
            </w:pPr>
          </w:p>
        </w:tc>
        <w:tc>
          <w:tcPr>
            <w:tcW w:w="619" w:type="dxa"/>
            <w:gridSpan w:val="2"/>
            <w:tcBorders>
              <w:top w:val="nil"/>
              <w:left w:val="nil"/>
              <w:bottom w:val="nil"/>
              <w:right w:val="nil"/>
            </w:tcBorders>
            <w:shd w:val="clear" w:color="000000" w:fill="FFFFFF"/>
            <w:noWrap/>
            <w:vAlign w:val="bottom"/>
          </w:tcPr>
          <w:p w14:paraId="2ECCDF4F" w14:textId="77777777" w:rsidR="006C5A87" w:rsidRPr="00EA3957" w:rsidRDefault="006C5A87" w:rsidP="00244009">
            <w:pPr>
              <w:spacing w:after="0" w:line="240" w:lineRule="auto"/>
              <w:rPr>
                <w:rFonts w:ascii="Calibri" w:eastAsia="Times New Roman" w:hAnsi="Calibri" w:cs="Times New Roman"/>
                <w:sz w:val="16"/>
                <w:szCs w:val="16"/>
              </w:rPr>
            </w:pPr>
          </w:p>
        </w:tc>
      </w:tr>
      <w:tr w:rsidR="008F59BB" w:rsidRPr="00EA3957" w14:paraId="26293876" w14:textId="77777777" w:rsidTr="00244009">
        <w:trPr>
          <w:trHeight w:val="288"/>
        </w:trPr>
        <w:tc>
          <w:tcPr>
            <w:tcW w:w="1710" w:type="dxa"/>
            <w:tcBorders>
              <w:top w:val="nil"/>
              <w:left w:val="nil"/>
              <w:bottom w:val="nil"/>
              <w:right w:val="nil"/>
            </w:tcBorders>
            <w:shd w:val="clear" w:color="000000" w:fill="FFFFFF"/>
            <w:noWrap/>
            <w:vAlign w:val="bottom"/>
            <w:hideMark/>
          </w:tcPr>
          <w:p w14:paraId="7B0B6595"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medications</w:t>
            </w:r>
          </w:p>
        </w:tc>
        <w:tc>
          <w:tcPr>
            <w:tcW w:w="450" w:type="dxa"/>
            <w:tcBorders>
              <w:top w:val="nil"/>
              <w:left w:val="nil"/>
              <w:bottom w:val="nil"/>
              <w:right w:val="nil"/>
            </w:tcBorders>
            <w:shd w:val="clear" w:color="000000" w:fill="FFFFFF"/>
            <w:noWrap/>
            <w:vAlign w:val="bottom"/>
          </w:tcPr>
          <w:p w14:paraId="7F44F43E" w14:textId="5AFFBE5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644</w:t>
            </w:r>
          </w:p>
        </w:tc>
        <w:tc>
          <w:tcPr>
            <w:tcW w:w="630" w:type="dxa"/>
            <w:gridSpan w:val="2"/>
            <w:tcBorders>
              <w:top w:val="nil"/>
              <w:left w:val="nil"/>
              <w:bottom w:val="nil"/>
              <w:right w:val="nil"/>
            </w:tcBorders>
            <w:shd w:val="clear" w:color="000000" w:fill="FFFFFF"/>
            <w:noWrap/>
            <w:vAlign w:val="bottom"/>
          </w:tcPr>
          <w:p w14:paraId="135AFD1D" w14:textId="2037030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1156</w:t>
            </w:r>
          </w:p>
        </w:tc>
        <w:tc>
          <w:tcPr>
            <w:tcW w:w="99" w:type="dxa"/>
            <w:gridSpan w:val="2"/>
            <w:tcBorders>
              <w:top w:val="nil"/>
              <w:left w:val="nil"/>
              <w:bottom w:val="nil"/>
              <w:right w:val="nil"/>
            </w:tcBorders>
            <w:shd w:val="clear" w:color="000000" w:fill="FFFFFF"/>
            <w:noWrap/>
            <w:vAlign w:val="bottom"/>
          </w:tcPr>
          <w:p w14:paraId="24AD0E7D" w14:textId="797BE613"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1E1199CB" w14:textId="2136727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$1,448</w:t>
            </w:r>
          </w:p>
        </w:tc>
        <w:tc>
          <w:tcPr>
            <w:tcW w:w="711" w:type="dxa"/>
            <w:gridSpan w:val="2"/>
            <w:tcBorders>
              <w:top w:val="nil"/>
              <w:left w:val="nil"/>
              <w:bottom w:val="nil"/>
              <w:right w:val="nil"/>
            </w:tcBorders>
            <w:shd w:val="clear" w:color="000000" w:fill="FFFFFF"/>
            <w:noWrap/>
            <w:vAlign w:val="bottom"/>
          </w:tcPr>
          <w:p w14:paraId="2445C60F" w14:textId="40D334E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$1,529</w:t>
            </w:r>
          </w:p>
        </w:tc>
        <w:tc>
          <w:tcPr>
            <w:tcW w:w="662" w:type="dxa"/>
            <w:tcBorders>
              <w:top w:val="nil"/>
              <w:left w:val="nil"/>
              <w:bottom w:val="nil"/>
              <w:right w:val="nil"/>
            </w:tcBorders>
            <w:shd w:val="clear" w:color="000000" w:fill="FFFFFF"/>
            <w:noWrap/>
            <w:vAlign w:val="bottom"/>
          </w:tcPr>
          <w:p w14:paraId="23CBE19A" w14:textId="01A12F5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$1,389</w:t>
            </w:r>
          </w:p>
        </w:tc>
        <w:tc>
          <w:tcPr>
            <w:tcW w:w="711" w:type="dxa"/>
            <w:gridSpan w:val="2"/>
            <w:tcBorders>
              <w:top w:val="nil"/>
              <w:left w:val="nil"/>
              <w:bottom w:val="nil"/>
              <w:right w:val="nil"/>
            </w:tcBorders>
            <w:shd w:val="clear" w:color="000000" w:fill="FFFFFF"/>
            <w:noWrap/>
            <w:vAlign w:val="bottom"/>
          </w:tcPr>
          <w:p w14:paraId="5F9A949B" w14:textId="1FA15FD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$2,093</w:t>
            </w:r>
          </w:p>
        </w:tc>
        <w:tc>
          <w:tcPr>
            <w:tcW w:w="728" w:type="dxa"/>
            <w:tcBorders>
              <w:top w:val="nil"/>
              <w:left w:val="nil"/>
              <w:bottom w:val="nil"/>
              <w:right w:val="nil"/>
            </w:tcBorders>
            <w:shd w:val="clear" w:color="000000" w:fill="FFFFFF"/>
            <w:noWrap/>
            <w:vAlign w:val="bottom"/>
          </w:tcPr>
          <w:p w14:paraId="4843D8F9" w14:textId="0CE68909"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-29.9%</w:t>
            </w:r>
          </w:p>
        </w:tc>
        <w:tc>
          <w:tcPr>
            <w:tcW w:w="584" w:type="dxa"/>
            <w:gridSpan w:val="2"/>
            <w:tcBorders>
              <w:top w:val="nil"/>
              <w:left w:val="nil"/>
              <w:bottom w:val="nil"/>
              <w:right w:val="nil"/>
            </w:tcBorders>
            <w:shd w:val="clear" w:color="000000" w:fill="FFFFFF"/>
            <w:noWrap/>
            <w:vAlign w:val="bottom"/>
          </w:tcPr>
          <w:p w14:paraId="6DE79A0D" w14:textId="0323D9A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690DDD81" w14:textId="1161A06B"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53F79692" w14:textId="6953E24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43.3</w:t>
            </w:r>
          </w:p>
        </w:tc>
        <w:tc>
          <w:tcPr>
            <w:tcW w:w="798" w:type="dxa"/>
            <w:gridSpan w:val="2"/>
            <w:tcBorders>
              <w:top w:val="nil"/>
              <w:left w:val="nil"/>
              <w:bottom w:val="nil"/>
              <w:right w:val="nil"/>
            </w:tcBorders>
            <w:shd w:val="clear" w:color="000000" w:fill="FFFFFF"/>
            <w:noWrap/>
            <w:vAlign w:val="bottom"/>
          </w:tcPr>
          <w:p w14:paraId="5C5850C7" w14:textId="521DB0B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42.9</w:t>
            </w:r>
          </w:p>
        </w:tc>
        <w:tc>
          <w:tcPr>
            <w:tcW w:w="500" w:type="dxa"/>
            <w:tcBorders>
              <w:top w:val="nil"/>
              <w:left w:val="nil"/>
              <w:bottom w:val="nil"/>
              <w:right w:val="nil"/>
            </w:tcBorders>
            <w:shd w:val="clear" w:color="000000" w:fill="FFFFFF"/>
            <w:noWrap/>
            <w:vAlign w:val="bottom"/>
          </w:tcPr>
          <w:p w14:paraId="431FD828" w14:textId="58119E6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54.4</w:t>
            </w:r>
          </w:p>
        </w:tc>
        <w:tc>
          <w:tcPr>
            <w:tcW w:w="757" w:type="dxa"/>
            <w:gridSpan w:val="2"/>
            <w:tcBorders>
              <w:top w:val="nil"/>
              <w:left w:val="nil"/>
              <w:bottom w:val="nil"/>
              <w:right w:val="nil"/>
            </w:tcBorders>
            <w:shd w:val="clear" w:color="000000" w:fill="FFFFFF"/>
            <w:noWrap/>
            <w:vAlign w:val="bottom"/>
          </w:tcPr>
          <w:p w14:paraId="37B445A8" w14:textId="36F665D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48.9</w:t>
            </w:r>
          </w:p>
        </w:tc>
        <w:tc>
          <w:tcPr>
            <w:tcW w:w="728" w:type="dxa"/>
            <w:tcBorders>
              <w:top w:val="nil"/>
              <w:left w:val="nil"/>
              <w:bottom w:val="nil"/>
              <w:right w:val="nil"/>
            </w:tcBorders>
            <w:shd w:val="clear" w:color="000000" w:fill="FFFFFF"/>
            <w:noWrap/>
            <w:vAlign w:val="bottom"/>
          </w:tcPr>
          <w:p w14:paraId="19E110AE" w14:textId="25AD4764"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10.4%</w:t>
            </w:r>
          </w:p>
        </w:tc>
        <w:tc>
          <w:tcPr>
            <w:tcW w:w="619" w:type="dxa"/>
            <w:gridSpan w:val="2"/>
            <w:tcBorders>
              <w:top w:val="nil"/>
              <w:left w:val="nil"/>
              <w:bottom w:val="nil"/>
              <w:right w:val="nil"/>
            </w:tcBorders>
            <w:shd w:val="clear" w:color="000000" w:fill="FFFFFF"/>
            <w:noWrap/>
            <w:vAlign w:val="bottom"/>
          </w:tcPr>
          <w:p w14:paraId="6A49A419" w14:textId="039884D9"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0.002</w:t>
            </w:r>
          </w:p>
        </w:tc>
      </w:tr>
      <w:tr w:rsidR="008F59BB" w:rsidRPr="00EA3957" w14:paraId="2112A8D0" w14:textId="77777777" w:rsidTr="00244009">
        <w:trPr>
          <w:trHeight w:val="288"/>
        </w:trPr>
        <w:tc>
          <w:tcPr>
            <w:tcW w:w="1710" w:type="dxa"/>
            <w:tcBorders>
              <w:top w:val="nil"/>
              <w:left w:val="nil"/>
              <w:bottom w:val="nil"/>
              <w:right w:val="nil"/>
            </w:tcBorders>
            <w:shd w:val="clear" w:color="000000" w:fill="FFFFFF"/>
            <w:noWrap/>
            <w:vAlign w:val="bottom"/>
            <w:hideMark/>
          </w:tcPr>
          <w:p w14:paraId="1667D77E"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Oral antidiabetic</w:t>
            </w:r>
          </w:p>
        </w:tc>
        <w:tc>
          <w:tcPr>
            <w:tcW w:w="450" w:type="dxa"/>
            <w:tcBorders>
              <w:top w:val="nil"/>
              <w:left w:val="nil"/>
              <w:bottom w:val="nil"/>
              <w:right w:val="nil"/>
            </w:tcBorders>
            <w:shd w:val="clear" w:color="000000" w:fill="FFFFFF"/>
            <w:noWrap/>
            <w:vAlign w:val="bottom"/>
          </w:tcPr>
          <w:p w14:paraId="28C2C156" w14:textId="0D2D312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393</w:t>
            </w:r>
          </w:p>
        </w:tc>
        <w:tc>
          <w:tcPr>
            <w:tcW w:w="630" w:type="dxa"/>
            <w:gridSpan w:val="2"/>
            <w:tcBorders>
              <w:top w:val="nil"/>
              <w:left w:val="nil"/>
              <w:bottom w:val="nil"/>
              <w:right w:val="nil"/>
            </w:tcBorders>
            <w:shd w:val="clear" w:color="000000" w:fill="FFFFFF"/>
            <w:noWrap/>
            <w:vAlign w:val="bottom"/>
          </w:tcPr>
          <w:p w14:paraId="527FBB6F" w14:textId="19C47BF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727</w:t>
            </w:r>
          </w:p>
        </w:tc>
        <w:tc>
          <w:tcPr>
            <w:tcW w:w="99" w:type="dxa"/>
            <w:gridSpan w:val="2"/>
            <w:tcBorders>
              <w:top w:val="nil"/>
              <w:left w:val="nil"/>
              <w:bottom w:val="nil"/>
              <w:right w:val="nil"/>
            </w:tcBorders>
            <w:shd w:val="clear" w:color="000000" w:fill="FFFFFF"/>
            <w:noWrap/>
            <w:vAlign w:val="bottom"/>
          </w:tcPr>
          <w:p w14:paraId="09467E33" w14:textId="21D48CCC"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0641B14" w14:textId="722A2E5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$326</w:t>
            </w:r>
          </w:p>
        </w:tc>
        <w:tc>
          <w:tcPr>
            <w:tcW w:w="711" w:type="dxa"/>
            <w:gridSpan w:val="2"/>
            <w:tcBorders>
              <w:top w:val="nil"/>
              <w:left w:val="nil"/>
              <w:bottom w:val="nil"/>
              <w:right w:val="nil"/>
            </w:tcBorders>
            <w:shd w:val="clear" w:color="000000" w:fill="FFFFFF"/>
            <w:noWrap/>
            <w:vAlign w:val="bottom"/>
          </w:tcPr>
          <w:p w14:paraId="4B6FC314" w14:textId="573FF32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$341</w:t>
            </w:r>
          </w:p>
        </w:tc>
        <w:tc>
          <w:tcPr>
            <w:tcW w:w="662" w:type="dxa"/>
            <w:tcBorders>
              <w:top w:val="nil"/>
              <w:left w:val="nil"/>
              <w:bottom w:val="nil"/>
              <w:right w:val="nil"/>
            </w:tcBorders>
            <w:shd w:val="clear" w:color="000000" w:fill="FFFFFF"/>
            <w:noWrap/>
            <w:vAlign w:val="bottom"/>
          </w:tcPr>
          <w:p w14:paraId="199BB700" w14:textId="4B60FB0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$237</w:t>
            </w:r>
          </w:p>
        </w:tc>
        <w:tc>
          <w:tcPr>
            <w:tcW w:w="711" w:type="dxa"/>
            <w:gridSpan w:val="2"/>
            <w:tcBorders>
              <w:top w:val="nil"/>
              <w:left w:val="nil"/>
              <w:bottom w:val="nil"/>
              <w:right w:val="nil"/>
            </w:tcBorders>
            <w:shd w:val="clear" w:color="000000" w:fill="FFFFFF"/>
            <w:noWrap/>
            <w:vAlign w:val="bottom"/>
          </w:tcPr>
          <w:p w14:paraId="05C84196" w14:textId="628C560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$503</w:t>
            </w:r>
          </w:p>
        </w:tc>
        <w:tc>
          <w:tcPr>
            <w:tcW w:w="728" w:type="dxa"/>
            <w:tcBorders>
              <w:top w:val="nil"/>
              <w:left w:val="nil"/>
              <w:bottom w:val="nil"/>
              <w:right w:val="nil"/>
            </w:tcBorders>
            <w:shd w:val="clear" w:color="000000" w:fill="FFFFFF"/>
            <w:noWrap/>
            <w:vAlign w:val="bottom"/>
          </w:tcPr>
          <w:p w14:paraId="6E88CF03" w14:textId="3CCC18E3"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-50.8%</w:t>
            </w:r>
          </w:p>
        </w:tc>
        <w:tc>
          <w:tcPr>
            <w:tcW w:w="584" w:type="dxa"/>
            <w:gridSpan w:val="2"/>
            <w:tcBorders>
              <w:top w:val="nil"/>
              <w:left w:val="nil"/>
              <w:bottom w:val="nil"/>
              <w:right w:val="nil"/>
            </w:tcBorders>
            <w:shd w:val="clear" w:color="000000" w:fill="FFFFFF"/>
            <w:noWrap/>
            <w:vAlign w:val="bottom"/>
          </w:tcPr>
          <w:p w14:paraId="117A96C9" w14:textId="7CE3A2F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26F757B1" w14:textId="43EFCA2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79EBDD64" w14:textId="612B0DB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11.5</w:t>
            </w:r>
          </w:p>
        </w:tc>
        <w:tc>
          <w:tcPr>
            <w:tcW w:w="798" w:type="dxa"/>
            <w:gridSpan w:val="2"/>
            <w:tcBorders>
              <w:top w:val="nil"/>
              <w:left w:val="nil"/>
              <w:bottom w:val="nil"/>
              <w:right w:val="nil"/>
            </w:tcBorders>
            <w:shd w:val="clear" w:color="000000" w:fill="FFFFFF"/>
            <w:noWrap/>
            <w:vAlign w:val="bottom"/>
          </w:tcPr>
          <w:p w14:paraId="68993917" w14:textId="4BB9ED4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500" w:type="dxa"/>
            <w:tcBorders>
              <w:top w:val="nil"/>
              <w:left w:val="nil"/>
              <w:bottom w:val="nil"/>
              <w:right w:val="nil"/>
            </w:tcBorders>
            <w:shd w:val="clear" w:color="000000" w:fill="FFFFFF"/>
            <w:noWrap/>
            <w:vAlign w:val="bottom"/>
          </w:tcPr>
          <w:p w14:paraId="5930199F" w14:textId="36CFFDA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13.8</w:t>
            </w:r>
          </w:p>
        </w:tc>
        <w:tc>
          <w:tcPr>
            <w:tcW w:w="757" w:type="dxa"/>
            <w:gridSpan w:val="2"/>
            <w:tcBorders>
              <w:top w:val="nil"/>
              <w:left w:val="nil"/>
              <w:bottom w:val="nil"/>
              <w:right w:val="nil"/>
            </w:tcBorders>
            <w:shd w:val="clear" w:color="000000" w:fill="FFFFFF"/>
            <w:noWrap/>
            <w:vAlign w:val="bottom"/>
          </w:tcPr>
          <w:p w14:paraId="2553C2AD" w14:textId="6441DE9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12.5</w:t>
            </w:r>
          </w:p>
        </w:tc>
        <w:tc>
          <w:tcPr>
            <w:tcW w:w="728" w:type="dxa"/>
            <w:tcBorders>
              <w:top w:val="nil"/>
              <w:left w:val="nil"/>
              <w:bottom w:val="nil"/>
              <w:right w:val="nil"/>
            </w:tcBorders>
            <w:shd w:val="clear" w:color="000000" w:fill="FFFFFF"/>
            <w:noWrap/>
            <w:vAlign w:val="bottom"/>
          </w:tcPr>
          <w:p w14:paraId="19603F7E" w14:textId="4E05C756"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9.4%</w:t>
            </w:r>
          </w:p>
        </w:tc>
        <w:tc>
          <w:tcPr>
            <w:tcW w:w="619" w:type="dxa"/>
            <w:gridSpan w:val="2"/>
            <w:tcBorders>
              <w:top w:val="nil"/>
              <w:left w:val="nil"/>
              <w:bottom w:val="nil"/>
              <w:right w:val="nil"/>
            </w:tcBorders>
            <w:shd w:val="clear" w:color="000000" w:fill="FFFFFF"/>
            <w:noWrap/>
            <w:vAlign w:val="bottom"/>
          </w:tcPr>
          <w:p w14:paraId="1C7073AE" w14:textId="4EBCFEB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0.054</w:t>
            </w:r>
          </w:p>
        </w:tc>
      </w:tr>
      <w:tr w:rsidR="008F59BB" w:rsidRPr="00EA3957" w14:paraId="3954ADA5" w14:textId="77777777" w:rsidTr="00244009">
        <w:trPr>
          <w:trHeight w:val="288"/>
        </w:trPr>
        <w:tc>
          <w:tcPr>
            <w:tcW w:w="1710" w:type="dxa"/>
            <w:tcBorders>
              <w:top w:val="nil"/>
              <w:left w:val="nil"/>
              <w:bottom w:val="nil"/>
              <w:right w:val="nil"/>
            </w:tcBorders>
            <w:shd w:val="clear" w:color="000000" w:fill="FFFFFF"/>
            <w:noWrap/>
            <w:vAlign w:val="bottom"/>
            <w:hideMark/>
          </w:tcPr>
          <w:p w14:paraId="63E2FBCB" w14:textId="75637B8A"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Insulin</w:t>
            </w:r>
            <w:r>
              <w:rPr>
                <w:rFonts w:ascii="Calibri" w:eastAsia="Times New Roman" w:hAnsi="Calibri" w:cs="Times New Roman"/>
                <w:sz w:val="16"/>
                <w:szCs w:val="16"/>
              </w:rPr>
              <w:t xml:space="preserve"> </w:t>
            </w:r>
          </w:p>
        </w:tc>
        <w:tc>
          <w:tcPr>
            <w:tcW w:w="450" w:type="dxa"/>
            <w:tcBorders>
              <w:top w:val="nil"/>
              <w:left w:val="nil"/>
              <w:bottom w:val="nil"/>
              <w:right w:val="nil"/>
            </w:tcBorders>
            <w:shd w:val="clear" w:color="000000" w:fill="FFFFFF"/>
            <w:noWrap/>
            <w:vAlign w:val="bottom"/>
          </w:tcPr>
          <w:p w14:paraId="15E2787C" w14:textId="43848F7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155</w:t>
            </w:r>
          </w:p>
        </w:tc>
        <w:tc>
          <w:tcPr>
            <w:tcW w:w="630" w:type="dxa"/>
            <w:gridSpan w:val="2"/>
            <w:tcBorders>
              <w:top w:val="nil"/>
              <w:left w:val="nil"/>
              <w:bottom w:val="nil"/>
              <w:right w:val="nil"/>
            </w:tcBorders>
            <w:shd w:val="clear" w:color="000000" w:fill="FFFFFF"/>
            <w:noWrap/>
            <w:vAlign w:val="bottom"/>
          </w:tcPr>
          <w:p w14:paraId="2C34E971" w14:textId="4F80B20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249</w:t>
            </w:r>
          </w:p>
        </w:tc>
        <w:tc>
          <w:tcPr>
            <w:tcW w:w="99" w:type="dxa"/>
            <w:gridSpan w:val="2"/>
            <w:tcBorders>
              <w:top w:val="nil"/>
              <w:left w:val="nil"/>
              <w:bottom w:val="nil"/>
              <w:right w:val="nil"/>
            </w:tcBorders>
            <w:shd w:val="clear" w:color="000000" w:fill="FFFFFF"/>
            <w:noWrap/>
            <w:vAlign w:val="bottom"/>
          </w:tcPr>
          <w:p w14:paraId="04EC56F7" w14:textId="173AA2AB"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9D0FD12" w14:textId="3F7F31B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$714</w:t>
            </w:r>
          </w:p>
        </w:tc>
        <w:tc>
          <w:tcPr>
            <w:tcW w:w="711" w:type="dxa"/>
            <w:gridSpan w:val="2"/>
            <w:tcBorders>
              <w:top w:val="nil"/>
              <w:left w:val="nil"/>
              <w:bottom w:val="nil"/>
              <w:right w:val="nil"/>
            </w:tcBorders>
            <w:shd w:val="clear" w:color="000000" w:fill="FFFFFF"/>
            <w:noWrap/>
            <w:vAlign w:val="bottom"/>
          </w:tcPr>
          <w:p w14:paraId="61899658" w14:textId="0DA3312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$731</w:t>
            </w:r>
          </w:p>
        </w:tc>
        <w:tc>
          <w:tcPr>
            <w:tcW w:w="662" w:type="dxa"/>
            <w:tcBorders>
              <w:top w:val="nil"/>
              <w:left w:val="nil"/>
              <w:bottom w:val="nil"/>
              <w:right w:val="nil"/>
            </w:tcBorders>
            <w:shd w:val="clear" w:color="000000" w:fill="FFFFFF"/>
            <w:noWrap/>
            <w:vAlign w:val="bottom"/>
          </w:tcPr>
          <w:p w14:paraId="7659A314" w14:textId="48A10EF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$333</w:t>
            </w:r>
          </w:p>
        </w:tc>
        <w:tc>
          <w:tcPr>
            <w:tcW w:w="711" w:type="dxa"/>
            <w:gridSpan w:val="2"/>
            <w:tcBorders>
              <w:top w:val="nil"/>
              <w:left w:val="nil"/>
              <w:bottom w:val="nil"/>
              <w:right w:val="nil"/>
            </w:tcBorders>
            <w:shd w:val="clear" w:color="000000" w:fill="FFFFFF"/>
            <w:noWrap/>
            <w:vAlign w:val="bottom"/>
          </w:tcPr>
          <w:p w14:paraId="67D232CB" w14:textId="65C8E2B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$902</w:t>
            </w:r>
          </w:p>
        </w:tc>
        <w:tc>
          <w:tcPr>
            <w:tcW w:w="728" w:type="dxa"/>
            <w:tcBorders>
              <w:top w:val="nil"/>
              <w:left w:val="nil"/>
              <w:bottom w:val="nil"/>
              <w:right w:val="nil"/>
            </w:tcBorders>
            <w:shd w:val="clear" w:color="000000" w:fill="FFFFFF"/>
            <w:noWrap/>
            <w:vAlign w:val="bottom"/>
          </w:tcPr>
          <w:p w14:paraId="05F391C2" w14:textId="66AF5CE7"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-62.2%</w:t>
            </w:r>
          </w:p>
        </w:tc>
        <w:tc>
          <w:tcPr>
            <w:tcW w:w="584" w:type="dxa"/>
            <w:gridSpan w:val="2"/>
            <w:tcBorders>
              <w:top w:val="nil"/>
              <w:left w:val="nil"/>
              <w:bottom w:val="nil"/>
              <w:right w:val="nil"/>
            </w:tcBorders>
            <w:shd w:val="clear" w:color="000000" w:fill="FFFFFF"/>
            <w:noWrap/>
            <w:vAlign w:val="bottom"/>
          </w:tcPr>
          <w:p w14:paraId="6C2B6430" w14:textId="708BE78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57AF85CA" w14:textId="423D14AF"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3AC7612" w14:textId="3C4F48B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98" w:type="dxa"/>
            <w:gridSpan w:val="2"/>
            <w:tcBorders>
              <w:top w:val="nil"/>
              <w:left w:val="nil"/>
              <w:bottom w:val="nil"/>
              <w:right w:val="nil"/>
            </w:tcBorders>
            <w:shd w:val="clear" w:color="000000" w:fill="FFFFFF"/>
            <w:noWrap/>
            <w:vAlign w:val="bottom"/>
          </w:tcPr>
          <w:p w14:paraId="0A3A424C" w14:textId="48A5E88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9.8</w:t>
            </w:r>
          </w:p>
        </w:tc>
        <w:tc>
          <w:tcPr>
            <w:tcW w:w="500" w:type="dxa"/>
            <w:tcBorders>
              <w:top w:val="nil"/>
              <w:left w:val="nil"/>
              <w:bottom w:val="nil"/>
              <w:right w:val="nil"/>
            </w:tcBorders>
            <w:shd w:val="clear" w:color="000000" w:fill="FFFFFF"/>
            <w:noWrap/>
            <w:vAlign w:val="bottom"/>
          </w:tcPr>
          <w:p w14:paraId="780E0219" w14:textId="1FD65E8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11.5</w:t>
            </w:r>
          </w:p>
        </w:tc>
        <w:tc>
          <w:tcPr>
            <w:tcW w:w="757" w:type="dxa"/>
            <w:gridSpan w:val="2"/>
            <w:tcBorders>
              <w:top w:val="nil"/>
              <w:left w:val="nil"/>
              <w:bottom w:val="nil"/>
              <w:right w:val="nil"/>
            </w:tcBorders>
            <w:shd w:val="clear" w:color="000000" w:fill="FFFFFF"/>
            <w:noWrap/>
            <w:vAlign w:val="bottom"/>
          </w:tcPr>
          <w:p w14:paraId="4C736487" w14:textId="7DF558E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728" w:type="dxa"/>
            <w:tcBorders>
              <w:top w:val="nil"/>
              <w:left w:val="nil"/>
              <w:bottom w:val="nil"/>
              <w:right w:val="nil"/>
            </w:tcBorders>
            <w:shd w:val="clear" w:color="000000" w:fill="FFFFFF"/>
            <w:noWrap/>
            <w:vAlign w:val="bottom"/>
          </w:tcPr>
          <w:p w14:paraId="01E47B2B" w14:textId="48616DEA"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13.7%</w:t>
            </w:r>
          </w:p>
        </w:tc>
        <w:tc>
          <w:tcPr>
            <w:tcW w:w="619" w:type="dxa"/>
            <w:gridSpan w:val="2"/>
            <w:tcBorders>
              <w:top w:val="nil"/>
              <w:left w:val="nil"/>
              <w:bottom w:val="nil"/>
              <w:right w:val="nil"/>
            </w:tcBorders>
            <w:shd w:val="clear" w:color="000000" w:fill="FFFFFF"/>
            <w:noWrap/>
            <w:vAlign w:val="bottom"/>
          </w:tcPr>
          <w:p w14:paraId="3555D838" w14:textId="5CC2808C"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0.090</w:t>
            </w:r>
          </w:p>
        </w:tc>
      </w:tr>
      <w:tr w:rsidR="008F59BB" w:rsidRPr="00EA3957" w14:paraId="5C59AB56" w14:textId="77777777" w:rsidTr="00244009">
        <w:trPr>
          <w:trHeight w:val="288"/>
        </w:trPr>
        <w:tc>
          <w:tcPr>
            <w:tcW w:w="1710" w:type="dxa"/>
            <w:tcBorders>
              <w:top w:val="nil"/>
              <w:left w:val="nil"/>
              <w:bottom w:val="nil"/>
              <w:right w:val="nil"/>
            </w:tcBorders>
            <w:shd w:val="clear" w:color="000000" w:fill="FFFFFF"/>
            <w:noWrap/>
            <w:vAlign w:val="bottom"/>
            <w:hideMark/>
          </w:tcPr>
          <w:p w14:paraId="0096607F"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Diabetes test strip</w:t>
            </w:r>
          </w:p>
        </w:tc>
        <w:tc>
          <w:tcPr>
            <w:tcW w:w="450" w:type="dxa"/>
            <w:tcBorders>
              <w:top w:val="nil"/>
              <w:left w:val="nil"/>
              <w:bottom w:val="nil"/>
              <w:right w:val="nil"/>
            </w:tcBorders>
            <w:shd w:val="clear" w:color="000000" w:fill="FFFFFF"/>
            <w:noWrap/>
            <w:vAlign w:val="bottom"/>
          </w:tcPr>
          <w:p w14:paraId="24009B8A" w14:textId="2CCA733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238</w:t>
            </w:r>
          </w:p>
        </w:tc>
        <w:tc>
          <w:tcPr>
            <w:tcW w:w="630" w:type="dxa"/>
            <w:gridSpan w:val="2"/>
            <w:tcBorders>
              <w:top w:val="nil"/>
              <w:left w:val="nil"/>
              <w:bottom w:val="nil"/>
              <w:right w:val="nil"/>
            </w:tcBorders>
            <w:shd w:val="clear" w:color="000000" w:fill="FFFFFF"/>
            <w:noWrap/>
            <w:vAlign w:val="bottom"/>
          </w:tcPr>
          <w:p w14:paraId="465BC7D6" w14:textId="6DB2141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427</w:t>
            </w:r>
          </w:p>
        </w:tc>
        <w:tc>
          <w:tcPr>
            <w:tcW w:w="99" w:type="dxa"/>
            <w:gridSpan w:val="2"/>
            <w:tcBorders>
              <w:top w:val="nil"/>
              <w:left w:val="nil"/>
              <w:bottom w:val="nil"/>
              <w:right w:val="nil"/>
            </w:tcBorders>
            <w:shd w:val="clear" w:color="000000" w:fill="FFFFFF"/>
            <w:noWrap/>
            <w:vAlign w:val="bottom"/>
          </w:tcPr>
          <w:p w14:paraId="4A0E45C1" w14:textId="63B88DEA"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096D994" w14:textId="3A293D9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$169</w:t>
            </w:r>
          </w:p>
        </w:tc>
        <w:tc>
          <w:tcPr>
            <w:tcW w:w="711" w:type="dxa"/>
            <w:gridSpan w:val="2"/>
            <w:tcBorders>
              <w:top w:val="nil"/>
              <w:left w:val="nil"/>
              <w:bottom w:val="nil"/>
              <w:right w:val="nil"/>
            </w:tcBorders>
            <w:shd w:val="clear" w:color="000000" w:fill="FFFFFF"/>
            <w:noWrap/>
            <w:vAlign w:val="bottom"/>
          </w:tcPr>
          <w:p w14:paraId="5625BBC9" w14:textId="5B2DE10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$176</w:t>
            </w:r>
          </w:p>
        </w:tc>
        <w:tc>
          <w:tcPr>
            <w:tcW w:w="662" w:type="dxa"/>
            <w:tcBorders>
              <w:top w:val="nil"/>
              <w:left w:val="nil"/>
              <w:bottom w:val="nil"/>
              <w:right w:val="nil"/>
            </w:tcBorders>
            <w:shd w:val="clear" w:color="000000" w:fill="FFFFFF"/>
            <w:noWrap/>
            <w:vAlign w:val="bottom"/>
          </w:tcPr>
          <w:p w14:paraId="00A1F0A1" w14:textId="0A1E31A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$41</w:t>
            </w:r>
          </w:p>
        </w:tc>
        <w:tc>
          <w:tcPr>
            <w:tcW w:w="711" w:type="dxa"/>
            <w:gridSpan w:val="2"/>
            <w:tcBorders>
              <w:top w:val="nil"/>
              <w:left w:val="nil"/>
              <w:bottom w:val="nil"/>
              <w:right w:val="nil"/>
            </w:tcBorders>
            <w:shd w:val="clear" w:color="000000" w:fill="FFFFFF"/>
            <w:noWrap/>
            <w:vAlign w:val="bottom"/>
          </w:tcPr>
          <w:p w14:paraId="5F990576" w14:textId="43633C9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$135</w:t>
            </w:r>
          </w:p>
        </w:tc>
        <w:tc>
          <w:tcPr>
            <w:tcW w:w="728" w:type="dxa"/>
            <w:tcBorders>
              <w:top w:val="nil"/>
              <w:left w:val="nil"/>
              <w:bottom w:val="nil"/>
              <w:right w:val="nil"/>
            </w:tcBorders>
            <w:shd w:val="clear" w:color="000000" w:fill="FFFFFF"/>
            <w:noWrap/>
            <w:vAlign w:val="bottom"/>
          </w:tcPr>
          <w:p w14:paraId="0C7369D2" w14:textId="511848CB"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-68.4%</w:t>
            </w:r>
          </w:p>
        </w:tc>
        <w:tc>
          <w:tcPr>
            <w:tcW w:w="584" w:type="dxa"/>
            <w:gridSpan w:val="2"/>
            <w:tcBorders>
              <w:top w:val="nil"/>
              <w:left w:val="nil"/>
              <w:bottom w:val="nil"/>
              <w:right w:val="nil"/>
            </w:tcBorders>
            <w:shd w:val="clear" w:color="000000" w:fill="FFFFFF"/>
            <w:noWrap/>
            <w:vAlign w:val="bottom"/>
          </w:tcPr>
          <w:p w14:paraId="42AF5616" w14:textId="2BAD68B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5B8657B1" w14:textId="36970D92"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BDF0900" w14:textId="5BF072C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98" w:type="dxa"/>
            <w:gridSpan w:val="2"/>
            <w:tcBorders>
              <w:top w:val="nil"/>
              <w:left w:val="nil"/>
              <w:bottom w:val="nil"/>
              <w:right w:val="nil"/>
            </w:tcBorders>
            <w:shd w:val="clear" w:color="000000" w:fill="FFFFFF"/>
            <w:noWrap/>
            <w:vAlign w:val="bottom"/>
          </w:tcPr>
          <w:p w14:paraId="46692DD3" w14:textId="326F325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5.5</w:t>
            </w:r>
          </w:p>
        </w:tc>
        <w:tc>
          <w:tcPr>
            <w:tcW w:w="500" w:type="dxa"/>
            <w:tcBorders>
              <w:top w:val="nil"/>
              <w:left w:val="nil"/>
              <w:bottom w:val="nil"/>
              <w:right w:val="nil"/>
            </w:tcBorders>
            <w:shd w:val="clear" w:color="000000" w:fill="FFFFFF"/>
            <w:noWrap/>
            <w:vAlign w:val="bottom"/>
          </w:tcPr>
          <w:p w14:paraId="4C0FD5E9" w14:textId="6EEB712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57" w:type="dxa"/>
            <w:gridSpan w:val="2"/>
            <w:tcBorders>
              <w:top w:val="nil"/>
              <w:left w:val="nil"/>
              <w:bottom w:val="nil"/>
              <w:right w:val="nil"/>
            </w:tcBorders>
            <w:shd w:val="clear" w:color="000000" w:fill="FFFFFF"/>
            <w:noWrap/>
            <w:vAlign w:val="bottom"/>
          </w:tcPr>
          <w:p w14:paraId="168E38D1" w14:textId="596193F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3.7</w:t>
            </w:r>
          </w:p>
        </w:tc>
        <w:tc>
          <w:tcPr>
            <w:tcW w:w="728" w:type="dxa"/>
            <w:tcBorders>
              <w:top w:val="nil"/>
              <w:left w:val="nil"/>
              <w:bottom w:val="nil"/>
              <w:right w:val="nil"/>
            </w:tcBorders>
            <w:shd w:val="clear" w:color="000000" w:fill="FFFFFF"/>
            <w:noWrap/>
            <w:vAlign w:val="bottom"/>
          </w:tcPr>
          <w:p w14:paraId="6926765A" w14:textId="0F75D1EF"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45.9%</w:t>
            </w:r>
          </w:p>
        </w:tc>
        <w:tc>
          <w:tcPr>
            <w:tcW w:w="619" w:type="dxa"/>
            <w:gridSpan w:val="2"/>
            <w:tcBorders>
              <w:top w:val="nil"/>
              <w:left w:val="nil"/>
              <w:bottom w:val="nil"/>
              <w:right w:val="nil"/>
            </w:tcBorders>
            <w:shd w:val="clear" w:color="000000" w:fill="FFFFFF"/>
            <w:noWrap/>
            <w:vAlign w:val="bottom"/>
          </w:tcPr>
          <w:p w14:paraId="03973F07" w14:textId="36036C95"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r>
      <w:tr w:rsidR="008F59BB" w:rsidRPr="00EA3957" w14:paraId="52CEDF74" w14:textId="77777777" w:rsidTr="00244009">
        <w:trPr>
          <w:trHeight w:val="288"/>
        </w:trPr>
        <w:tc>
          <w:tcPr>
            <w:tcW w:w="1710" w:type="dxa"/>
            <w:tcBorders>
              <w:top w:val="nil"/>
              <w:left w:val="nil"/>
              <w:bottom w:val="nil"/>
              <w:right w:val="nil"/>
            </w:tcBorders>
            <w:shd w:val="clear" w:color="000000" w:fill="FFFFFF"/>
            <w:noWrap/>
            <w:vAlign w:val="bottom"/>
            <w:hideMark/>
          </w:tcPr>
          <w:p w14:paraId="770EDA21"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Lipid lowering</w:t>
            </w:r>
          </w:p>
        </w:tc>
        <w:tc>
          <w:tcPr>
            <w:tcW w:w="450" w:type="dxa"/>
            <w:tcBorders>
              <w:top w:val="nil"/>
              <w:left w:val="nil"/>
              <w:bottom w:val="nil"/>
              <w:right w:val="nil"/>
            </w:tcBorders>
            <w:shd w:val="clear" w:color="000000" w:fill="FFFFFF"/>
            <w:noWrap/>
            <w:vAlign w:val="bottom"/>
          </w:tcPr>
          <w:p w14:paraId="0FD326AB" w14:textId="3C6950C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352</w:t>
            </w:r>
          </w:p>
        </w:tc>
        <w:tc>
          <w:tcPr>
            <w:tcW w:w="630" w:type="dxa"/>
            <w:gridSpan w:val="2"/>
            <w:tcBorders>
              <w:top w:val="nil"/>
              <w:left w:val="nil"/>
              <w:bottom w:val="nil"/>
              <w:right w:val="nil"/>
            </w:tcBorders>
            <w:shd w:val="clear" w:color="000000" w:fill="FFFFFF"/>
            <w:noWrap/>
            <w:vAlign w:val="bottom"/>
          </w:tcPr>
          <w:p w14:paraId="327F1935" w14:textId="2F4D4C3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585</w:t>
            </w:r>
          </w:p>
        </w:tc>
        <w:tc>
          <w:tcPr>
            <w:tcW w:w="99" w:type="dxa"/>
            <w:gridSpan w:val="2"/>
            <w:tcBorders>
              <w:top w:val="nil"/>
              <w:left w:val="nil"/>
              <w:bottom w:val="nil"/>
              <w:right w:val="nil"/>
            </w:tcBorders>
            <w:shd w:val="clear" w:color="000000" w:fill="FFFFFF"/>
            <w:noWrap/>
            <w:vAlign w:val="bottom"/>
          </w:tcPr>
          <w:p w14:paraId="50F6CABD" w14:textId="4371DD54"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26CC8F40" w14:textId="0244C95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$222</w:t>
            </w:r>
          </w:p>
        </w:tc>
        <w:tc>
          <w:tcPr>
            <w:tcW w:w="711" w:type="dxa"/>
            <w:gridSpan w:val="2"/>
            <w:tcBorders>
              <w:top w:val="nil"/>
              <w:left w:val="nil"/>
              <w:bottom w:val="nil"/>
              <w:right w:val="nil"/>
            </w:tcBorders>
            <w:shd w:val="clear" w:color="000000" w:fill="FFFFFF"/>
            <w:noWrap/>
            <w:vAlign w:val="bottom"/>
          </w:tcPr>
          <w:p w14:paraId="10A054E2" w14:textId="23EBEE3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$277</w:t>
            </w:r>
          </w:p>
        </w:tc>
        <w:tc>
          <w:tcPr>
            <w:tcW w:w="662" w:type="dxa"/>
            <w:tcBorders>
              <w:top w:val="nil"/>
              <w:left w:val="nil"/>
              <w:bottom w:val="nil"/>
              <w:right w:val="nil"/>
            </w:tcBorders>
            <w:shd w:val="clear" w:color="000000" w:fill="FFFFFF"/>
            <w:noWrap/>
            <w:vAlign w:val="bottom"/>
          </w:tcPr>
          <w:p w14:paraId="71E51247" w14:textId="2D1D5F0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$114</w:t>
            </w:r>
          </w:p>
        </w:tc>
        <w:tc>
          <w:tcPr>
            <w:tcW w:w="711" w:type="dxa"/>
            <w:gridSpan w:val="2"/>
            <w:tcBorders>
              <w:top w:val="nil"/>
              <w:left w:val="nil"/>
              <w:bottom w:val="nil"/>
              <w:right w:val="nil"/>
            </w:tcBorders>
            <w:shd w:val="clear" w:color="000000" w:fill="FFFFFF"/>
            <w:noWrap/>
            <w:vAlign w:val="bottom"/>
          </w:tcPr>
          <w:p w14:paraId="7BFB2620" w14:textId="5AD3C49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$280</w:t>
            </w:r>
          </w:p>
        </w:tc>
        <w:tc>
          <w:tcPr>
            <w:tcW w:w="728" w:type="dxa"/>
            <w:tcBorders>
              <w:top w:val="nil"/>
              <w:left w:val="nil"/>
              <w:bottom w:val="nil"/>
              <w:right w:val="nil"/>
            </w:tcBorders>
            <w:shd w:val="clear" w:color="000000" w:fill="FFFFFF"/>
            <w:noWrap/>
            <w:vAlign w:val="bottom"/>
          </w:tcPr>
          <w:p w14:paraId="6CF28F09" w14:textId="0928E8E3"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-49.1%</w:t>
            </w:r>
          </w:p>
        </w:tc>
        <w:tc>
          <w:tcPr>
            <w:tcW w:w="584" w:type="dxa"/>
            <w:gridSpan w:val="2"/>
            <w:tcBorders>
              <w:top w:val="nil"/>
              <w:left w:val="nil"/>
              <w:bottom w:val="nil"/>
              <w:right w:val="nil"/>
            </w:tcBorders>
            <w:shd w:val="clear" w:color="000000" w:fill="FFFFFF"/>
            <w:noWrap/>
            <w:vAlign w:val="bottom"/>
          </w:tcPr>
          <w:p w14:paraId="30663E63" w14:textId="017B09C3"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5D742804" w14:textId="68322147"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C30094E" w14:textId="66339DC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9.5</w:t>
            </w:r>
          </w:p>
        </w:tc>
        <w:tc>
          <w:tcPr>
            <w:tcW w:w="798" w:type="dxa"/>
            <w:gridSpan w:val="2"/>
            <w:tcBorders>
              <w:top w:val="nil"/>
              <w:left w:val="nil"/>
              <w:bottom w:val="nil"/>
              <w:right w:val="nil"/>
            </w:tcBorders>
            <w:shd w:val="clear" w:color="000000" w:fill="FFFFFF"/>
            <w:noWrap/>
            <w:vAlign w:val="bottom"/>
          </w:tcPr>
          <w:p w14:paraId="69E1C5BB" w14:textId="6538995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9.4</w:t>
            </w:r>
          </w:p>
        </w:tc>
        <w:tc>
          <w:tcPr>
            <w:tcW w:w="500" w:type="dxa"/>
            <w:tcBorders>
              <w:top w:val="nil"/>
              <w:left w:val="nil"/>
              <w:bottom w:val="nil"/>
              <w:right w:val="nil"/>
            </w:tcBorders>
            <w:shd w:val="clear" w:color="000000" w:fill="FFFFFF"/>
            <w:noWrap/>
            <w:vAlign w:val="bottom"/>
          </w:tcPr>
          <w:p w14:paraId="156B9351" w14:textId="475F3B0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10.8</w:t>
            </w:r>
          </w:p>
        </w:tc>
        <w:tc>
          <w:tcPr>
            <w:tcW w:w="757" w:type="dxa"/>
            <w:gridSpan w:val="2"/>
            <w:tcBorders>
              <w:top w:val="nil"/>
              <w:left w:val="nil"/>
              <w:bottom w:val="nil"/>
              <w:right w:val="nil"/>
            </w:tcBorders>
            <w:shd w:val="clear" w:color="000000" w:fill="FFFFFF"/>
            <w:noWrap/>
            <w:vAlign w:val="bottom"/>
          </w:tcPr>
          <w:p w14:paraId="5AFF51FB" w14:textId="2B67692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28" w:type="dxa"/>
            <w:tcBorders>
              <w:top w:val="nil"/>
              <w:left w:val="nil"/>
              <w:bottom w:val="nil"/>
              <w:right w:val="nil"/>
            </w:tcBorders>
            <w:shd w:val="clear" w:color="000000" w:fill="FFFFFF"/>
            <w:noWrap/>
            <w:vAlign w:val="bottom"/>
          </w:tcPr>
          <w:p w14:paraId="0FF8F5EF" w14:textId="39391A0A"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7.8%</w:t>
            </w:r>
          </w:p>
        </w:tc>
        <w:tc>
          <w:tcPr>
            <w:tcW w:w="619" w:type="dxa"/>
            <w:gridSpan w:val="2"/>
            <w:tcBorders>
              <w:top w:val="nil"/>
              <w:left w:val="nil"/>
              <w:bottom w:val="nil"/>
              <w:right w:val="nil"/>
            </w:tcBorders>
            <w:shd w:val="clear" w:color="000000" w:fill="FFFFFF"/>
            <w:noWrap/>
            <w:vAlign w:val="bottom"/>
          </w:tcPr>
          <w:p w14:paraId="5CFF8CF1" w14:textId="5EA8BF8F"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0.088</w:t>
            </w:r>
          </w:p>
        </w:tc>
      </w:tr>
      <w:tr w:rsidR="008F59BB" w:rsidRPr="00EA3957" w14:paraId="3C02F07B" w14:textId="77777777" w:rsidTr="00244009">
        <w:trPr>
          <w:trHeight w:val="288"/>
        </w:trPr>
        <w:tc>
          <w:tcPr>
            <w:tcW w:w="1710" w:type="dxa"/>
            <w:tcBorders>
              <w:top w:val="nil"/>
              <w:left w:val="nil"/>
              <w:bottom w:val="nil"/>
              <w:right w:val="nil"/>
            </w:tcBorders>
            <w:shd w:val="clear" w:color="000000" w:fill="FFFFFF"/>
            <w:noWrap/>
            <w:vAlign w:val="bottom"/>
            <w:hideMark/>
          </w:tcPr>
          <w:p w14:paraId="655F402D"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Antihypertensive</w:t>
            </w:r>
          </w:p>
        </w:tc>
        <w:tc>
          <w:tcPr>
            <w:tcW w:w="450" w:type="dxa"/>
            <w:tcBorders>
              <w:top w:val="nil"/>
              <w:left w:val="nil"/>
              <w:bottom w:val="nil"/>
              <w:right w:val="nil"/>
            </w:tcBorders>
            <w:shd w:val="clear" w:color="000000" w:fill="FFFFFF"/>
            <w:noWrap/>
            <w:vAlign w:val="bottom"/>
          </w:tcPr>
          <w:p w14:paraId="122DF2CA" w14:textId="0AC9A73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408</w:t>
            </w:r>
          </w:p>
        </w:tc>
        <w:tc>
          <w:tcPr>
            <w:tcW w:w="630" w:type="dxa"/>
            <w:gridSpan w:val="2"/>
            <w:tcBorders>
              <w:top w:val="nil"/>
              <w:left w:val="nil"/>
              <w:bottom w:val="nil"/>
              <w:right w:val="nil"/>
            </w:tcBorders>
            <w:shd w:val="clear" w:color="000000" w:fill="FFFFFF"/>
            <w:noWrap/>
            <w:vAlign w:val="bottom"/>
          </w:tcPr>
          <w:p w14:paraId="07C7ED34" w14:textId="751FDF4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710</w:t>
            </w:r>
          </w:p>
        </w:tc>
        <w:tc>
          <w:tcPr>
            <w:tcW w:w="99" w:type="dxa"/>
            <w:gridSpan w:val="2"/>
            <w:tcBorders>
              <w:top w:val="nil"/>
              <w:left w:val="nil"/>
              <w:bottom w:val="nil"/>
              <w:right w:val="nil"/>
            </w:tcBorders>
            <w:shd w:val="clear" w:color="000000" w:fill="FFFFFF"/>
            <w:noWrap/>
            <w:vAlign w:val="bottom"/>
          </w:tcPr>
          <w:p w14:paraId="1BE391C0" w14:textId="62C4ECB9"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045B2C86" w14:textId="37BA57E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$118</w:t>
            </w:r>
          </w:p>
        </w:tc>
        <w:tc>
          <w:tcPr>
            <w:tcW w:w="711" w:type="dxa"/>
            <w:gridSpan w:val="2"/>
            <w:tcBorders>
              <w:top w:val="nil"/>
              <w:left w:val="nil"/>
              <w:bottom w:val="nil"/>
              <w:right w:val="nil"/>
            </w:tcBorders>
            <w:shd w:val="clear" w:color="000000" w:fill="FFFFFF"/>
            <w:noWrap/>
            <w:vAlign w:val="bottom"/>
          </w:tcPr>
          <w:p w14:paraId="38C7C5E1" w14:textId="02CA81C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$185</w:t>
            </w:r>
          </w:p>
        </w:tc>
        <w:tc>
          <w:tcPr>
            <w:tcW w:w="662" w:type="dxa"/>
            <w:tcBorders>
              <w:top w:val="nil"/>
              <w:left w:val="nil"/>
              <w:bottom w:val="nil"/>
              <w:right w:val="nil"/>
            </w:tcBorders>
            <w:shd w:val="clear" w:color="000000" w:fill="FFFFFF"/>
            <w:noWrap/>
            <w:vAlign w:val="bottom"/>
          </w:tcPr>
          <w:p w14:paraId="62FF213A" w14:textId="2DE1486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$71</w:t>
            </w:r>
          </w:p>
        </w:tc>
        <w:tc>
          <w:tcPr>
            <w:tcW w:w="711" w:type="dxa"/>
            <w:gridSpan w:val="2"/>
            <w:tcBorders>
              <w:top w:val="nil"/>
              <w:left w:val="nil"/>
              <w:bottom w:val="nil"/>
              <w:right w:val="nil"/>
            </w:tcBorders>
            <w:shd w:val="clear" w:color="000000" w:fill="FFFFFF"/>
            <w:noWrap/>
            <w:vAlign w:val="bottom"/>
          </w:tcPr>
          <w:p w14:paraId="70AA9BC3" w14:textId="36A31EC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$219</w:t>
            </w:r>
          </w:p>
        </w:tc>
        <w:tc>
          <w:tcPr>
            <w:tcW w:w="728" w:type="dxa"/>
            <w:tcBorders>
              <w:top w:val="nil"/>
              <w:left w:val="nil"/>
              <w:bottom w:val="nil"/>
              <w:right w:val="nil"/>
            </w:tcBorders>
            <w:shd w:val="clear" w:color="000000" w:fill="FFFFFF"/>
            <w:noWrap/>
            <w:vAlign w:val="bottom"/>
          </w:tcPr>
          <w:p w14:paraId="5C26850B" w14:textId="2AE0080A"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-49.3%</w:t>
            </w:r>
          </w:p>
        </w:tc>
        <w:tc>
          <w:tcPr>
            <w:tcW w:w="584" w:type="dxa"/>
            <w:gridSpan w:val="2"/>
            <w:tcBorders>
              <w:top w:val="nil"/>
              <w:left w:val="nil"/>
              <w:bottom w:val="nil"/>
              <w:right w:val="nil"/>
            </w:tcBorders>
            <w:shd w:val="clear" w:color="000000" w:fill="FFFFFF"/>
            <w:noWrap/>
            <w:vAlign w:val="bottom"/>
          </w:tcPr>
          <w:p w14:paraId="4CCAE4EA" w14:textId="6FA1425E"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EBCD0C2" w14:textId="187C0F1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CA15D98" w14:textId="6A5B40B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15.6</w:t>
            </w:r>
          </w:p>
        </w:tc>
        <w:tc>
          <w:tcPr>
            <w:tcW w:w="798" w:type="dxa"/>
            <w:gridSpan w:val="2"/>
            <w:tcBorders>
              <w:top w:val="nil"/>
              <w:left w:val="nil"/>
              <w:bottom w:val="nil"/>
              <w:right w:val="nil"/>
            </w:tcBorders>
            <w:shd w:val="clear" w:color="000000" w:fill="FFFFFF"/>
            <w:noWrap/>
            <w:vAlign w:val="bottom"/>
          </w:tcPr>
          <w:p w14:paraId="6590761F" w14:textId="49CE8D2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15.4</w:t>
            </w:r>
          </w:p>
        </w:tc>
        <w:tc>
          <w:tcPr>
            <w:tcW w:w="500" w:type="dxa"/>
            <w:tcBorders>
              <w:top w:val="nil"/>
              <w:left w:val="nil"/>
              <w:bottom w:val="nil"/>
              <w:right w:val="nil"/>
            </w:tcBorders>
            <w:shd w:val="clear" w:color="000000" w:fill="FFFFFF"/>
            <w:noWrap/>
            <w:vAlign w:val="bottom"/>
          </w:tcPr>
          <w:p w14:paraId="72105E4C" w14:textId="14095DB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18.4</w:t>
            </w:r>
          </w:p>
        </w:tc>
        <w:tc>
          <w:tcPr>
            <w:tcW w:w="757" w:type="dxa"/>
            <w:gridSpan w:val="2"/>
            <w:tcBorders>
              <w:top w:val="nil"/>
              <w:left w:val="nil"/>
              <w:bottom w:val="nil"/>
              <w:right w:val="nil"/>
            </w:tcBorders>
            <w:shd w:val="clear" w:color="000000" w:fill="FFFFFF"/>
            <w:noWrap/>
            <w:vAlign w:val="bottom"/>
          </w:tcPr>
          <w:p w14:paraId="78FE7E0B" w14:textId="465C314F"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17.3</w:t>
            </w:r>
          </w:p>
        </w:tc>
        <w:tc>
          <w:tcPr>
            <w:tcW w:w="728" w:type="dxa"/>
            <w:tcBorders>
              <w:top w:val="nil"/>
              <w:left w:val="nil"/>
              <w:bottom w:val="nil"/>
              <w:right w:val="nil"/>
            </w:tcBorders>
            <w:shd w:val="clear" w:color="000000" w:fill="FFFFFF"/>
            <w:noWrap/>
            <w:vAlign w:val="bottom"/>
          </w:tcPr>
          <w:p w14:paraId="563676B0" w14:textId="59DC6DA7"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5.5%</w:t>
            </w:r>
          </w:p>
        </w:tc>
        <w:tc>
          <w:tcPr>
            <w:tcW w:w="619" w:type="dxa"/>
            <w:gridSpan w:val="2"/>
            <w:tcBorders>
              <w:top w:val="nil"/>
              <w:left w:val="nil"/>
              <w:bottom w:val="nil"/>
              <w:right w:val="nil"/>
            </w:tcBorders>
            <w:shd w:val="clear" w:color="000000" w:fill="FFFFFF"/>
            <w:noWrap/>
            <w:vAlign w:val="bottom"/>
          </w:tcPr>
          <w:p w14:paraId="0274202C" w14:textId="78678438"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0.170</w:t>
            </w:r>
          </w:p>
        </w:tc>
      </w:tr>
      <w:tr w:rsidR="008F59BB" w:rsidRPr="00EA3957" w14:paraId="00A5E1CD" w14:textId="77777777" w:rsidTr="00244009">
        <w:trPr>
          <w:trHeight w:val="288"/>
        </w:trPr>
        <w:tc>
          <w:tcPr>
            <w:tcW w:w="1710" w:type="dxa"/>
            <w:tcBorders>
              <w:top w:val="nil"/>
              <w:left w:val="nil"/>
              <w:bottom w:val="nil"/>
              <w:right w:val="nil"/>
            </w:tcBorders>
            <w:shd w:val="clear" w:color="000000" w:fill="FFFFFF"/>
            <w:noWrap/>
            <w:vAlign w:val="bottom"/>
            <w:hideMark/>
          </w:tcPr>
          <w:p w14:paraId="57D076E0"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Other cardiovascular</w:t>
            </w:r>
          </w:p>
        </w:tc>
        <w:tc>
          <w:tcPr>
            <w:tcW w:w="450" w:type="dxa"/>
            <w:tcBorders>
              <w:top w:val="nil"/>
              <w:left w:val="nil"/>
              <w:bottom w:val="nil"/>
              <w:right w:val="nil"/>
            </w:tcBorders>
            <w:shd w:val="clear" w:color="000000" w:fill="FFFFFF"/>
            <w:noWrap/>
            <w:vAlign w:val="bottom"/>
          </w:tcPr>
          <w:p w14:paraId="736D5832" w14:textId="36484F6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49</w:t>
            </w:r>
          </w:p>
        </w:tc>
        <w:tc>
          <w:tcPr>
            <w:tcW w:w="630" w:type="dxa"/>
            <w:gridSpan w:val="2"/>
            <w:tcBorders>
              <w:top w:val="nil"/>
              <w:left w:val="nil"/>
              <w:bottom w:val="nil"/>
              <w:right w:val="nil"/>
            </w:tcBorders>
            <w:shd w:val="clear" w:color="000000" w:fill="FFFFFF"/>
            <w:noWrap/>
            <w:vAlign w:val="bottom"/>
          </w:tcPr>
          <w:p w14:paraId="44DD7ACA" w14:textId="0F1B146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91</w:t>
            </w:r>
          </w:p>
        </w:tc>
        <w:tc>
          <w:tcPr>
            <w:tcW w:w="99" w:type="dxa"/>
            <w:gridSpan w:val="2"/>
            <w:tcBorders>
              <w:top w:val="nil"/>
              <w:left w:val="nil"/>
              <w:bottom w:val="nil"/>
              <w:right w:val="nil"/>
            </w:tcBorders>
            <w:shd w:val="clear" w:color="000000" w:fill="FFFFFF"/>
            <w:noWrap/>
            <w:vAlign w:val="bottom"/>
          </w:tcPr>
          <w:p w14:paraId="7FBC5E56" w14:textId="1CE9D802"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87C09F7" w14:textId="5210877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$127</w:t>
            </w:r>
          </w:p>
        </w:tc>
        <w:tc>
          <w:tcPr>
            <w:tcW w:w="711" w:type="dxa"/>
            <w:gridSpan w:val="2"/>
            <w:tcBorders>
              <w:top w:val="nil"/>
              <w:left w:val="nil"/>
              <w:bottom w:val="nil"/>
              <w:right w:val="nil"/>
            </w:tcBorders>
            <w:shd w:val="clear" w:color="000000" w:fill="FFFFFF"/>
            <w:noWrap/>
            <w:vAlign w:val="bottom"/>
          </w:tcPr>
          <w:p w14:paraId="49974B55" w14:textId="5F2A9A2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$208</w:t>
            </w:r>
          </w:p>
        </w:tc>
        <w:tc>
          <w:tcPr>
            <w:tcW w:w="662" w:type="dxa"/>
            <w:tcBorders>
              <w:top w:val="nil"/>
              <w:left w:val="nil"/>
              <w:bottom w:val="nil"/>
              <w:right w:val="nil"/>
            </w:tcBorders>
            <w:shd w:val="clear" w:color="000000" w:fill="FFFFFF"/>
            <w:noWrap/>
            <w:vAlign w:val="bottom"/>
          </w:tcPr>
          <w:p w14:paraId="4C31C66F" w14:textId="0069B36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$74</w:t>
            </w:r>
          </w:p>
        </w:tc>
        <w:tc>
          <w:tcPr>
            <w:tcW w:w="711" w:type="dxa"/>
            <w:gridSpan w:val="2"/>
            <w:tcBorders>
              <w:top w:val="nil"/>
              <w:left w:val="nil"/>
              <w:bottom w:val="nil"/>
              <w:right w:val="nil"/>
            </w:tcBorders>
            <w:shd w:val="clear" w:color="000000" w:fill="FFFFFF"/>
            <w:noWrap/>
            <w:vAlign w:val="bottom"/>
          </w:tcPr>
          <w:p w14:paraId="2C965FE6" w14:textId="72141DF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$183</w:t>
            </w:r>
          </w:p>
        </w:tc>
        <w:tc>
          <w:tcPr>
            <w:tcW w:w="728" w:type="dxa"/>
            <w:tcBorders>
              <w:top w:val="nil"/>
              <w:left w:val="nil"/>
              <w:bottom w:val="nil"/>
              <w:right w:val="nil"/>
            </w:tcBorders>
            <w:shd w:val="clear" w:color="000000" w:fill="FFFFFF"/>
            <w:noWrap/>
            <w:vAlign w:val="bottom"/>
          </w:tcPr>
          <w:p w14:paraId="1FE9D0A6" w14:textId="08CEFC6E"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-34.5%</w:t>
            </w:r>
          </w:p>
        </w:tc>
        <w:tc>
          <w:tcPr>
            <w:tcW w:w="584" w:type="dxa"/>
            <w:gridSpan w:val="2"/>
            <w:tcBorders>
              <w:top w:val="nil"/>
              <w:left w:val="nil"/>
              <w:bottom w:val="nil"/>
              <w:right w:val="nil"/>
            </w:tcBorders>
            <w:shd w:val="clear" w:color="000000" w:fill="FFFFFF"/>
            <w:noWrap/>
            <w:vAlign w:val="bottom"/>
          </w:tcPr>
          <w:p w14:paraId="67F63ED4" w14:textId="07B6CC86"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0.299</w:t>
            </w:r>
          </w:p>
        </w:tc>
        <w:tc>
          <w:tcPr>
            <w:tcW w:w="82" w:type="dxa"/>
            <w:gridSpan w:val="2"/>
            <w:tcBorders>
              <w:top w:val="nil"/>
              <w:left w:val="nil"/>
              <w:bottom w:val="nil"/>
              <w:right w:val="nil"/>
            </w:tcBorders>
            <w:shd w:val="clear" w:color="000000" w:fill="FFFFFF"/>
            <w:noWrap/>
            <w:vAlign w:val="bottom"/>
          </w:tcPr>
          <w:p w14:paraId="6CD532A4" w14:textId="0AD0EBE0"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A049F6F" w14:textId="0BF5B6E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7.5</w:t>
            </w:r>
          </w:p>
        </w:tc>
        <w:tc>
          <w:tcPr>
            <w:tcW w:w="798" w:type="dxa"/>
            <w:gridSpan w:val="2"/>
            <w:tcBorders>
              <w:top w:val="nil"/>
              <w:left w:val="nil"/>
              <w:bottom w:val="nil"/>
              <w:right w:val="nil"/>
            </w:tcBorders>
            <w:shd w:val="clear" w:color="000000" w:fill="FFFFFF"/>
            <w:noWrap/>
            <w:vAlign w:val="bottom"/>
          </w:tcPr>
          <w:p w14:paraId="2E6547DB" w14:textId="6C75D30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9.9</w:t>
            </w:r>
          </w:p>
        </w:tc>
        <w:tc>
          <w:tcPr>
            <w:tcW w:w="500" w:type="dxa"/>
            <w:tcBorders>
              <w:top w:val="nil"/>
              <w:left w:val="nil"/>
              <w:bottom w:val="nil"/>
              <w:right w:val="nil"/>
            </w:tcBorders>
            <w:shd w:val="clear" w:color="000000" w:fill="FFFFFF"/>
            <w:noWrap/>
            <w:vAlign w:val="bottom"/>
          </w:tcPr>
          <w:p w14:paraId="7E8270ED" w14:textId="7F2D354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9.2</w:t>
            </w:r>
          </w:p>
        </w:tc>
        <w:tc>
          <w:tcPr>
            <w:tcW w:w="757" w:type="dxa"/>
            <w:gridSpan w:val="2"/>
            <w:tcBorders>
              <w:top w:val="nil"/>
              <w:left w:val="nil"/>
              <w:bottom w:val="nil"/>
              <w:right w:val="nil"/>
            </w:tcBorders>
            <w:shd w:val="clear" w:color="000000" w:fill="FFFFFF"/>
            <w:noWrap/>
            <w:vAlign w:val="bottom"/>
          </w:tcPr>
          <w:p w14:paraId="6D33222A" w14:textId="0461527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8.7</w:t>
            </w:r>
          </w:p>
        </w:tc>
        <w:tc>
          <w:tcPr>
            <w:tcW w:w="728" w:type="dxa"/>
            <w:tcBorders>
              <w:top w:val="nil"/>
              <w:left w:val="nil"/>
              <w:bottom w:val="nil"/>
              <w:right w:val="nil"/>
            </w:tcBorders>
            <w:shd w:val="clear" w:color="000000" w:fill="FFFFFF"/>
            <w:noWrap/>
            <w:vAlign w:val="bottom"/>
          </w:tcPr>
          <w:p w14:paraId="5DB29F04" w14:textId="24A45959"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38.9%</w:t>
            </w:r>
          </w:p>
        </w:tc>
        <w:tc>
          <w:tcPr>
            <w:tcW w:w="619" w:type="dxa"/>
            <w:gridSpan w:val="2"/>
            <w:tcBorders>
              <w:top w:val="nil"/>
              <w:left w:val="nil"/>
              <w:bottom w:val="nil"/>
              <w:right w:val="nil"/>
            </w:tcBorders>
            <w:shd w:val="clear" w:color="000000" w:fill="FFFFFF"/>
            <w:noWrap/>
            <w:vAlign w:val="bottom"/>
          </w:tcPr>
          <w:p w14:paraId="288B3CBD" w14:textId="500469D2"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0.037</w:t>
            </w:r>
          </w:p>
        </w:tc>
      </w:tr>
      <w:tr w:rsidR="008F59BB" w:rsidRPr="00EA3957" w14:paraId="37FE1E06" w14:textId="77777777" w:rsidTr="00244009">
        <w:trPr>
          <w:trHeight w:val="288"/>
        </w:trPr>
        <w:tc>
          <w:tcPr>
            <w:tcW w:w="1710" w:type="dxa"/>
            <w:tcBorders>
              <w:top w:val="nil"/>
              <w:left w:val="nil"/>
              <w:bottom w:val="nil"/>
              <w:right w:val="nil"/>
            </w:tcBorders>
            <w:shd w:val="clear" w:color="000000" w:fill="FFFFFF"/>
            <w:noWrap/>
            <w:vAlign w:val="bottom"/>
            <w:hideMark/>
          </w:tcPr>
          <w:p w14:paraId="76D41F5B"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Asthma</w:t>
            </w:r>
          </w:p>
        </w:tc>
        <w:tc>
          <w:tcPr>
            <w:tcW w:w="450" w:type="dxa"/>
            <w:tcBorders>
              <w:top w:val="nil"/>
              <w:left w:val="nil"/>
              <w:bottom w:val="nil"/>
              <w:right w:val="nil"/>
            </w:tcBorders>
            <w:shd w:val="clear" w:color="000000" w:fill="FFFFFF"/>
            <w:noWrap/>
            <w:vAlign w:val="bottom"/>
          </w:tcPr>
          <w:p w14:paraId="42C3D481" w14:textId="545C89D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86</w:t>
            </w:r>
          </w:p>
        </w:tc>
        <w:tc>
          <w:tcPr>
            <w:tcW w:w="630" w:type="dxa"/>
            <w:gridSpan w:val="2"/>
            <w:tcBorders>
              <w:top w:val="nil"/>
              <w:left w:val="nil"/>
              <w:bottom w:val="nil"/>
              <w:right w:val="nil"/>
            </w:tcBorders>
            <w:shd w:val="clear" w:color="000000" w:fill="FFFFFF"/>
            <w:noWrap/>
            <w:vAlign w:val="bottom"/>
          </w:tcPr>
          <w:p w14:paraId="6DBC3433" w14:textId="7D219E5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118</w:t>
            </w:r>
          </w:p>
        </w:tc>
        <w:tc>
          <w:tcPr>
            <w:tcW w:w="99" w:type="dxa"/>
            <w:gridSpan w:val="2"/>
            <w:tcBorders>
              <w:top w:val="nil"/>
              <w:left w:val="nil"/>
              <w:bottom w:val="nil"/>
              <w:right w:val="nil"/>
            </w:tcBorders>
            <w:shd w:val="clear" w:color="000000" w:fill="FFFFFF"/>
            <w:noWrap/>
            <w:vAlign w:val="bottom"/>
          </w:tcPr>
          <w:p w14:paraId="682B7279" w14:textId="0DC3DB74"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5D3862A" w14:textId="2DC6AA0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$77</w:t>
            </w:r>
          </w:p>
        </w:tc>
        <w:tc>
          <w:tcPr>
            <w:tcW w:w="711" w:type="dxa"/>
            <w:gridSpan w:val="2"/>
            <w:tcBorders>
              <w:top w:val="nil"/>
              <w:left w:val="nil"/>
              <w:bottom w:val="nil"/>
              <w:right w:val="nil"/>
            </w:tcBorders>
            <w:shd w:val="clear" w:color="000000" w:fill="FFFFFF"/>
            <w:noWrap/>
            <w:vAlign w:val="bottom"/>
          </w:tcPr>
          <w:p w14:paraId="7ECEDCE9" w14:textId="397509C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$140</w:t>
            </w:r>
          </w:p>
        </w:tc>
        <w:tc>
          <w:tcPr>
            <w:tcW w:w="662" w:type="dxa"/>
            <w:tcBorders>
              <w:top w:val="nil"/>
              <w:left w:val="nil"/>
              <w:bottom w:val="nil"/>
              <w:right w:val="nil"/>
            </w:tcBorders>
            <w:shd w:val="clear" w:color="000000" w:fill="FFFFFF"/>
            <w:noWrap/>
            <w:vAlign w:val="bottom"/>
          </w:tcPr>
          <w:p w14:paraId="60FDC6CF" w14:textId="5A043B0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11" w:type="dxa"/>
            <w:gridSpan w:val="2"/>
            <w:tcBorders>
              <w:top w:val="nil"/>
              <w:left w:val="nil"/>
              <w:bottom w:val="nil"/>
              <w:right w:val="nil"/>
            </w:tcBorders>
            <w:shd w:val="clear" w:color="000000" w:fill="FFFFFF"/>
            <w:noWrap/>
            <w:vAlign w:val="bottom"/>
          </w:tcPr>
          <w:p w14:paraId="02C0F042" w14:textId="6F5A714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$152</w:t>
            </w:r>
          </w:p>
        </w:tc>
        <w:tc>
          <w:tcPr>
            <w:tcW w:w="728" w:type="dxa"/>
            <w:tcBorders>
              <w:top w:val="nil"/>
              <w:left w:val="nil"/>
              <w:bottom w:val="nil"/>
              <w:right w:val="nil"/>
            </w:tcBorders>
            <w:shd w:val="clear" w:color="000000" w:fill="FFFFFF"/>
            <w:noWrap/>
            <w:vAlign w:val="bottom"/>
          </w:tcPr>
          <w:p w14:paraId="3ECDCD86" w14:textId="7BB8D841"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b/>
                <w:bCs/>
                <w:color w:val="000000"/>
                <w:sz w:val="16"/>
                <w:szCs w:val="16"/>
              </w:rPr>
              <w:t>-42.3%</w:t>
            </w:r>
          </w:p>
        </w:tc>
        <w:tc>
          <w:tcPr>
            <w:tcW w:w="584" w:type="dxa"/>
            <w:gridSpan w:val="2"/>
            <w:tcBorders>
              <w:top w:val="nil"/>
              <w:left w:val="nil"/>
              <w:bottom w:val="nil"/>
              <w:right w:val="nil"/>
            </w:tcBorders>
            <w:shd w:val="clear" w:color="000000" w:fill="FFFFFF"/>
            <w:noWrap/>
            <w:vAlign w:val="bottom"/>
          </w:tcPr>
          <w:p w14:paraId="78525456" w14:textId="7D4D349D"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0.015</w:t>
            </w:r>
          </w:p>
        </w:tc>
        <w:tc>
          <w:tcPr>
            <w:tcW w:w="82" w:type="dxa"/>
            <w:gridSpan w:val="2"/>
            <w:tcBorders>
              <w:top w:val="nil"/>
              <w:left w:val="nil"/>
              <w:bottom w:val="nil"/>
              <w:right w:val="nil"/>
            </w:tcBorders>
            <w:shd w:val="clear" w:color="000000" w:fill="FFFFFF"/>
            <w:noWrap/>
            <w:vAlign w:val="bottom"/>
          </w:tcPr>
          <w:p w14:paraId="097A631A" w14:textId="15E866BF"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373899AA" w14:textId="0FBA5CA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4.4</w:t>
            </w:r>
          </w:p>
        </w:tc>
        <w:tc>
          <w:tcPr>
            <w:tcW w:w="798" w:type="dxa"/>
            <w:gridSpan w:val="2"/>
            <w:tcBorders>
              <w:top w:val="nil"/>
              <w:left w:val="nil"/>
              <w:bottom w:val="nil"/>
              <w:right w:val="nil"/>
            </w:tcBorders>
            <w:shd w:val="clear" w:color="000000" w:fill="FFFFFF"/>
            <w:noWrap/>
            <w:vAlign w:val="bottom"/>
          </w:tcPr>
          <w:p w14:paraId="116BD199" w14:textId="7B81D73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4.9</w:t>
            </w:r>
          </w:p>
        </w:tc>
        <w:tc>
          <w:tcPr>
            <w:tcW w:w="500" w:type="dxa"/>
            <w:tcBorders>
              <w:top w:val="nil"/>
              <w:left w:val="nil"/>
              <w:bottom w:val="nil"/>
              <w:right w:val="nil"/>
            </w:tcBorders>
            <w:shd w:val="clear" w:color="000000" w:fill="FFFFFF"/>
            <w:noWrap/>
            <w:vAlign w:val="bottom"/>
          </w:tcPr>
          <w:p w14:paraId="70548EF4" w14:textId="3F29998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57" w:type="dxa"/>
            <w:gridSpan w:val="2"/>
            <w:tcBorders>
              <w:top w:val="nil"/>
              <w:left w:val="nil"/>
              <w:bottom w:val="nil"/>
              <w:right w:val="nil"/>
            </w:tcBorders>
            <w:shd w:val="clear" w:color="000000" w:fill="FFFFFF"/>
            <w:noWrap/>
            <w:vAlign w:val="bottom"/>
          </w:tcPr>
          <w:p w14:paraId="76FD2591" w14:textId="39F33CA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4.8</w:t>
            </w:r>
          </w:p>
        </w:tc>
        <w:tc>
          <w:tcPr>
            <w:tcW w:w="728" w:type="dxa"/>
            <w:tcBorders>
              <w:top w:val="nil"/>
              <w:left w:val="nil"/>
              <w:bottom w:val="nil"/>
              <w:right w:val="nil"/>
            </w:tcBorders>
            <w:shd w:val="clear" w:color="000000" w:fill="FFFFFF"/>
            <w:noWrap/>
            <w:vAlign w:val="bottom"/>
          </w:tcPr>
          <w:p w14:paraId="6897207D" w14:textId="436A1155"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11.2%</w:t>
            </w:r>
          </w:p>
        </w:tc>
        <w:tc>
          <w:tcPr>
            <w:tcW w:w="619" w:type="dxa"/>
            <w:gridSpan w:val="2"/>
            <w:tcBorders>
              <w:top w:val="nil"/>
              <w:left w:val="nil"/>
              <w:bottom w:val="nil"/>
              <w:right w:val="nil"/>
            </w:tcBorders>
            <w:shd w:val="clear" w:color="000000" w:fill="FFFFFF"/>
            <w:noWrap/>
            <w:vAlign w:val="bottom"/>
          </w:tcPr>
          <w:p w14:paraId="08C63C25" w14:textId="5727B4BB"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0.535</w:t>
            </w:r>
          </w:p>
        </w:tc>
      </w:tr>
      <w:tr w:rsidR="008F59BB" w:rsidRPr="00EA3957" w14:paraId="1E0B77CA" w14:textId="77777777" w:rsidTr="00244009">
        <w:trPr>
          <w:trHeight w:val="288"/>
        </w:trPr>
        <w:tc>
          <w:tcPr>
            <w:tcW w:w="1710" w:type="dxa"/>
            <w:tcBorders>
              <w:top w:val="nil"/>
              <w:left w:val="nil"/>
              <w:bottom w:val="nil"/>
              <w:right w:val="nil"/>
            </w:tcBorders>
            <w:shd w:val="clear" w:color="000000" w:fill="FFFFFF"/>
            <w:noWrap/>
            <w:vAlign w:val="bottom"/>
            <w:hideMark/>
          </w:tcPr>
          <w:p w14:paraId="2AD2AA11"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Antidepressant</w:t>
            </w:r>
          </w:p>
        </w:tc>
        <w:tc>
          <w:tcPr>
            <w:tcW w:w="450" w:type="dxa"/>
            <w:tcBorders>
              <w:top w:val="nil"/>
              <w:left w:val="nil"/>
              <w:bottom w:val="nil"/>
              <w:right w:val="nil"/>
            </w:tcBorders>
            <w:shd w:val="clear" w:color="000000" w:fill="FFFFFF"/>
            <w:noWrap/>
            <w:vAlign w:val="bottom"/>
          </w:tcPr>
          <w:p w14:paraId="6ED31881" w14:textId="294D556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120</w:t>
            </w:r>
          </w:p>
        </w:tc>
        <w:tc>
          <w:tcPr>
            <w:tcW w:w="630" w:type="dxa"/>
            <w:gridSpan w:val="2"/>
            <w:tcBorders>
              <w:top w:val="nil"/>
              <w:left w:val="nil"/>
              <w:bottom w:val="nil"/>
              <w:right w:val="nil"/>
            </w:tcBorders>
            <w:shd w:val="clear" w:color="000000" w:fill="FFFFFF"/>
            <w:noWrap/>
            <w:vAlign w:val="bottom"/>
          </w:tcPr>
          <w:p w14:paraId="335FEDE6" w14:textId="16D1563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234</w:t>
            </w:r>
          </w:p>
        </w:tc>
        <w:tc>
          <w:tcPr>
            <w:tcW w:w="99" w:type="dxa"/>
            <w:gridSpan w:val="2"/>
            <w:tcBorders>
              <w:top w:val="nil"/>
              <w:left w:val="nil"/>
              <w:bottom w:val="nil"/>
              <w:right w:val="nil"/>
            </w:tcBorders>
            <w:shd w:val="clear" w:color="000000" w:fill="FFFFFF"/>
            <w:noWrap/>
            <w:vAlign w:val="bottom"/>
          </w:tcPr>
          <w:p w14:paraId="02364CBA" w14:textId="77E525A3"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782A2993" w14:textId="2CE1DE1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$132</w:t>
            </w:r>
          </w:p>
        </w:tc>
        <w:tc>
          <w:tcPr>
            <w:tcW w:w="711" w:type="dxa"/>
            <w:gridSpan w:val="2"/>
            <w:tcBorders>
              <w:top w:val="nil"/>
              <w:left w:val="nil"/>
              <w:bottom w:val="nil"/>
              <w:right w:val="nil"/>
            </w:tcBorders>
            <w:shd w:val="clear" w:color="000000" w:fill="FFFFFF"/>
            <w:noWrap/>
            <w:vAlign w:val="bottom"/>
          </w:tcPr>
          <w:p w14:paraId="0489DA7A" w14:textId="7013012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$153</w:t>
            </w:r>
          </w:p>
        </w:tc>
        <w:tc>
          <w:tcPr>
            <w:tcW w:w="662" w:type="dxa"/>
            <w:tcBorders>
              <w:top w:val="nil"/>
              <w:left w:val="nil"/>
              <w:bottom w:val="nil"/>
              <w:right w:val="nil"/>
            </w:tcBorders>
            <w:shd w:val="clear" w:color="000000" w:fill="FFFFFF"/>
            <w:noWrap/>
            <w:vAlign w:val="bottom"/>
          </w:tcPr>
          <w:p w14:paraId="378F3E48" w14:textId="241F663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$152</w:t>
            </w:r>
          </w:p>
        </w:tc>
        <w:tc>
          <w:tcPr>
            <w:tcW w:w="711" w:type="dxa"/>
            <w:gridSpan w:val="2"/>
            <w:tcBorders>
              <w:top w:val="nil"/>
              <w:left w:val="nil"/>
              <w:bottom w:val="nil"/>
              <w:right w:val="nil"/>
            </w:tcBorders>
            <w:shd w:val="clear" w:color="000000" w:fill="FFFFFF"/>
            <w:noWrap/>
            <w:vAlign w:val="bottom"/>
          </w:tcPr>
          <w:p w14:paraId="0D552055" w14:textId="63A054E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$154</w:t>
            </w:r>
          </w:p>
        </w:tc>
        <w:tc>
          <w:tcPr>
            <w:tcW w:w="728" w:type="dxa"/>
            <w:tcBorders>
              <w:top w:val="nil"/>
              <w:left w:val="nil"/>
              <w:bottom w:val="nil"/>
              <w:right w:val="nil"/>
            </w:tcBorders>
            <w:shd w:val="clear" w:color="000000" w:fill="FFFFFF"/>
            <w:noWrap/>
            <w:vAlign w:val="bottom"/>
          </w:tcPr>
          <w:p w14:paraId="15C61DFF" w14:textId="18E6A386"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14.6%</w:t>
            </w:r>
          </w:p>
        </w:tc>
        <w:tc>
          <w:tcPr>
            <w:tcW w:w="584" w:type="dxa"/>
            <w:gridSpan w:val="2"/>
            <w:tcBorders>
              <w:top w:val="nil"/>
              <w:left w:val="nil"/>
              <w:bottom w:val="nil"/>
              <w:right w:val="nil"/>
            </w:tcBorders>
            <w:shd w:val="clear" w:color="000000" w:fill="FFFFFF"/>
            <w:noWrap/>
            <w:vAlign w:val="bottom"/>
          </w:tcPr>
          <w:p w14:paraId="6C796D31" w14:textId="631C1196"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0.503</w:t>
            </w:r>
          </w:p>
        </w:tc>
        <w:tc>
          <w:tcPr>
            <w:tcW w:w="82" w:type="dxa"/>
            <w:gridSpan w:val="2"/>
            <w:tcBorders>
              <w:top w:val="nil"/>
              <w:left w:val="nil"/>
              <w:bottom w:val="nil"/>
              <w:right w:val="nil"/>
            </w:tcBorders>
            <w:shd w:val="clear" w:color="000000" w:fill="FFFFFF"/>
            <w:noWrap/>
            <w:vAlign w:val="bottom"/>
          </w:tcPr>
          <w:p w14:paraId="095EDB6D" w14:textId="46DB9364"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1714AA5C" w14:textId="70B22C61"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10.0</w:t>
            </w:r>
          </w:p>
        </w:tc>
        <w:tc>
          <w:tcPr>
            <w:tcW w:w="798" w:type="dxa"/>
            <w:gridSpan w:val="2"/>
            <w:tcBorders>
              <w:top w:val="nil"/>
              <w:left w:val="nil"/>
              <w:bottom w:val="nil"/>
              <w:right w:val="nil"/>
            </w:tcBorders>
            <w:shd w:val="clear" w:color="000000" w:fill="FFFFFF"/>
            <w:noWrap/>
            <w:vAlign w:val="bottom"/>
          </w:tcPr>
          <w:p w14:paraId="0ED84306" w14:textId="7E5D8942"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8.6</w:t>
            </w:r>
          </w:p>
        </w:tc>
        <w:tc>
          <w:tcPr>
            <w:tcW w:w="500" w:type="dxa"/>
            <w:tcBorders>
              <w:top w:val="nil"/>
              <w:left w:val="nil"/>
              <w:bottom w:val="nil"/>
              <w:right w:val="nil"/>
            </w:tcBorders>
            <w:shd w:val="clear" w:color="000000" w:fill="FFFFFF"/>
            <w:noWrap/>
            <w:vAlign w:val="bottom"/>
          </w:tcPr>
          <w:p w14:paraId="198FE81E" w14:textId="6567AB4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10.1</w:t>
            </w:r>
          </w:p>
        </w:tc>
        <w:tc>
          <w:tcPr>
            <w:tcW w:w="757" w:type="dxa"/>
            <w:gridSpan w:val="2"/>
            <w:tcBorders>
              <w:top w:val="nil"/>
              <w:left w:val="nil"/>
              <w:bottom w:val="nil"/>
              <w:right w:val="nil"/>
            </w:tcBorders>
            <w:shd w:val="clear" w:color="000000" w:fill="FFFFFF"/>
            <w:noWrap/>
            <w:vAlign w:val="bottom"/>
          </w:tcPr>
          <w:p w14:paraId="40C87D72" w14:textId="552297D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8.4</w:t>
            </w:r>
          </w:p>
        </w:tc>
        <w:tc>
          <w:tcPr>
            <w:tcW w:w="728" w:type="dxa"/>
            <w:tcBorders>
              <w:top w:val="nil"/>
              <w:left w:val="nil"/>
              <w:bottom w:val="nil"/>
              <w:right w:val="nil"/>
            </w:tcBorders>
            <w:shd w:val="clear" w:color="000000" w:fill="FFFFFF"/>
            <w:noWrap/>
            <w:vAlign w:val="bottom"/>
          </w:tcPr>
          <w:p w14:paraId="6681613E" w14:textId="2B27CCCD"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4.0%</w:t>
            </w:r>
          </w:p>
        </w:tc>
        <w:tc>
          <w:tcPr>
            <w:tcW w:w="619" w:type="dxa"/>
            <w:gridSpan w:val="2"/>
            <w:tcBorders>
              <w:top w:val="nil"/>
              <w:left w:val="nil"/>
              <w:bottom w:val="nil"/>
              <w:right w:val="nil"/>
            </w:tcBorders>
            <w:shd w:val="clear" w:color="000000" w:fill="FFFFFF"/>
            <w:noWrap/>
            <w:vAlign w:val="bottom"/>
          </w:tcPr>
          <w:p w14:paraId="0C7C77C5" w14:textId="30E8A911"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0.568</w:t>
            </w:r>
          </w:p>
        </w:tc>
      </w:tr>
      <w:tr w:rsidR="008F59BB" w:rsidRPr="00EA3957" w14:paraId="6BEC6389" w14:textId="77777777" w:rsidTr="00244009">
        <w:trPr>
          <w:trHeight w:val="288"/>
        </w:trPr>
        <w:tc>
          <w:tcPr>
            <w:tcW w:w="1710" w:type="dxa"/>
            <w:tcBorders>
              <w:top w:val="nil"/>
              <w:left w:val="nil"/>
              <w:bottom w:val="nil"/>
              <w:right w:val="nil"/>
            </w:tcBorders>
            <w:shd w:val="clear" w:color="000000" w:fill="FFFFFF"/>
            <w:noWrap/>
            <w:vAlign w:val="bottom"/>
            <w:hideMark/>
          </w:tcPr>
          <w:p w14:paraId="38FF5534"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Ulcer</w:t>
            </w:r>
          </w:p>
        </w:tc>
        <w:tc>
          <w:tcPr>
            <w:tcW w:w="450" w:type="dxa"/>
            <w:tcBorders>
              <w:top w:val="nil"/>
              <w:left w:val="nil"/>
              <w:bottom w:val="nil"/>
              <w:right w:val="nil"/>
            </w:tcBorders>
            <w:shd w:val="clear" w:color="000000" w:fill="FFFFFF"/>
            <w:noWrap/>
            <w:vAlign w:val="bottom"/>
          </w:tcPr>
          <w:p w14:paraId="3674770B" w14:textId="68AACDC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630" w:type="dxa"/>
            <w:gridSpan w:val="2"/>
            <w:tcBorders>
              <w:top w:val="nil"/>
              <w:left w:val="nil"/>
              <w:bottom w:val="nil"/>
              <w:right w:val="nil"/>
            </w:tcBorders>
            <w:shd w:val="clear" w:color="000000" w:fill="FFFFFF"/>
            <w:noWrap/>
            <w:vAlign w:val="bottom"/>
          </w:tcPr>
          <w:p w14:paraId="2D07C1F4" w14:textId="7BA58556"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163</w:t>
            </w:r>
          </w:p>
        </w:tc>
        <w:tc>
          <w:tcPr>
            <w:tcW w:w="99" w:type="dxa"/>
            <w:gridSpan w:val="2"/>
            <w:tcBorders>
              <w:top w:val="nil"/>
              <w:left w:val="nil"/>
              <w:bottom w:val="nil"/>
              <w:right w:val="nil"/>
            </w:tcBorders>
            <w:shd w:val="clear" w:color="000000" w:fill="FFFFFF"/>
            <w:noWrap/>
            <w:vAlign w:val="bottom"/>
          </w:tcPr>
          <w:p w14:paraId="1DA88921" w14:textId="17F934F9"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5A18882" w14:textId="4E71EA5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$162</w:t>
            </w:r>
          </w:p>
        </w:tc>
        <w:tc>
          <w:tcPr>
            <w:tcW w:w="711" w:type="dxa"/>
            <w:gridSpan w:val="2"/>
            <w:tcBorders>
              <w:top w:val="nil"/>
              <w:left w:val="nil"/>
              <w:bottom w:val="nil"/>
              <w:right w:val="nil"/>
            </w:tcBorders>
            <w:shd w:val="clear" w:color="000000" w:fill="FFFFFF"/>
            <w:noWrap/>
            <w:vAlign w:val="bottom"/>
          </w:tcPr>
          <w:p w14:paraId="00FED50C" w14:textId="0337895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$106</w:t>
            </w:r>
          </w:p>
        </w:tc>
        <w:tc>
          <w:tcPr>
            <w:tcW w:w="662" w:type="dxa"/>
            <w:tcBorders>
              <w:top w:val="nil"/>
              <w:left w:val="nil"/>
              <w:bottom w:val="nil"/>
              <w:right w:val="nil"/>
            </w:tcBorders>
            <w:shd w:val="clear" w:color="000000" w:fill="FFFFFF"/>
            <w:noWrap/>
            <w:vAlign w:val="bottom"/>
          </w:tcPr>
          <w:p w14:paraId="4B3FDD77" w14:textId="049D570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$75</w:t>
            </w:r>
          </w:p>
        </w:tc>
        <w:tc>
          <w:tcPr>
            <w:tcW w:w="711" w:type="dxa"/>
            <w:gridSpan w:val="2"/>
            <w:tcBorders>
              <w:top w:val="nil"/>
              <w:left w:val="nil"/>
              <w:bottom w:val="nil"/>
              <w:right w:val="nil"/>
            </w:tcBorders>
            <w:shd w:val="clear" w:color="000000" w:fill="FFFFFF"/>
            <w:noWrap/>
            <w:vAlign w:val="bottom"/>
          </w:tcPr>
          <w:p w14:paraId="6C1FE93C" w14:textId="232081C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$97</w:t>
            </w:r>
          </w:p>
        </w:tc>
        <w:tc>
          <w:tcPr>
            <w:tcW w:w="728" w:type="dxa"/>
            <w:tcBorders>
              <w:top w:val="nil"/>
              <w:left w:val="nil"/>
              <w:bottom w:val="nil"/>
              <w:right w:val="nil"/>
            </w:tcBorders>
            <w:shd w:val="clear" w:color="000000" w:fill="FFFFFF"/>
            <w:noWrap/>
            <w:vAlign w:val="bottom"/>
          </w:tcPr>
          <w:p w14:paraId="1F438149" w14:textId="311ED49F"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b/>
                <w:bCs/>
                <w:color w:val="000000"/>
                <w:sz w:val="16"/>
                <w:szCs w:val="16"/>
              </w:rPr>
              <w:t>-49.4%</w:t>
            </w:r>
          </w:p>
        </w:tc>
        <w:tc>
          <w:tcPr>
            <w:tcW w:w="584" w:type="dxa"/>
            <w:gridSpan w:val="2"/>
            <w:tcBorders>
              <w:top w:val="nil"/>
              <w:left w:val="nil"/>
              <w:bottom w:val="nil"/>
              <w:right w:val="nil"/>
            </w:tcBorders>
            <w:shd w:val="clear" w:color="000000" w:fill="FFFFFF"/>
            <w:noWrap/>
            <w:vAlign w:val="bottom"/>
          </w:tcPr>
          <w:p w14:paraId="7BC382F1" w14:textId="06CFAA99"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b/>
                <w:bCs/>
                <w:color w:val="000000"/>
                <w:sz w:val="16"/>
                <w:szCs w:val="16"/>
              </w:rPr>
              <w:t>0.000</w:t>
            </w:r>
          </w:p>
        </w:tc>
        <w:tc>
          <w:tcPr>
            <w:tcW w:w="82" w:type="dxa"/>
            <w:gridSpan w:val="2"/>
            <w:tcBorders>
              <w:top w:val="nil"/>
              <w:left w:val="nil"/>
              <w:bottom w:val="nil"/>
              <w:right w:val="nil"/>
            </w:tcBorders>
            <w:shd w:val="clear" w:color="000000" w:fill="FFFFFF"/>
            <w:noWrap/>
            <w:vAlign w:val="bottom"/>
          </w:tcPr>
          <w:p w14:paraId="168344F3" w14:textId="67D06EB5"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44F8D93F" w14:textId="42340403"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7.0</w:t>
            </w:r>
          </w:p>
        </w:tc>
        <w:tc>
          <w:tcPr>
            <w:tcW w:w="798" w:type="dxa"/>
            <w:gridSpan w:val="2"/>
            <w:tcBorders>
              <w:top w:val="nil"/>
              <w:left w:val="nil"/>
              <w:bottom w:val="nil"/>
              <w:right w:val="nil"/>
            </w:tcBorders>
            <w:shd w:val="clear" w:color="000000" w:fill="FFFFFF"/>
            <w:noWrap/>
            <w:vAlign w:val="bottom"/>
          </w:tcPr>
          <w:p w14:paraId="19B31DDB" w14:textId="608AB89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6.8</w:t>
            </w:r>
          </w:p>
        </w:tc>
        <w:tc>
          <w:tcPr>
            <w:tcW w:w="500" w:type="dxa"/>
            <w:tcBorders>
              <w:top w:val="nil"/>
              <w:left w:val="nil"/>
              <w:bottom w:val="nil"/>
              <w:right w:val="nil"/>
            </w:tcBorders>
            <w:shd w:val="clear" w:color="000000" w:fill="FFFFFF"/>
            <w:noWrap/>
            <w:vAlign w:val="bottom"/>
          </w:tcPr>
          <w:p w14:paraId="078D177B" w14:textId="44D92A7D"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6.3</w:t>
            </w:r>
          </w:p>
        </w:tc>
        <w:tc>
          <w:tcPr>
            <w:tcW w:w="757" w:type="dxa"/>
            <w:gridSpan w:val="2"/>
            <w:tcBorders>
              <w:top w:val="nil"/>
              <w:left w:val="nil"/>
              <w:bottom w:val="nil"/>
              <w:right w:val="nil"/>
            </w:tcBorders>
            <w:shd w:val="clear" w:color="000000" w:fill="FFFFFF"/>
            <w:noWrap/>
            <w:vAlign w:val="bottom"/>
          </w:tcPr>
          <w:p w14:paraId="4ACA70A5" w14:textId="5A3FD3E0"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5.8</w:t>
            </w:r>
          </w:p>
        </w:tc>
        <w:tc>
          <w:tcPr>
            <w:tcW w:w="728" w:type="dxa"/>
            <w:tcBorders>
              <w:top w:val="nil"/>
              <w:left w:val="nil"/>
              <w:bottom w:val="nil"/>
              <w:right w:val="nil"/>
            </w:tcBorders>
            <w:shd w:val="clear" w:color="000000" w:fill="FFFFFF"/>
            <w:noWrap/>
            <w:vAlign w:val="bottom"/>
          </w:tcPr>
          <w:p w14:paraId="5350552A" w14:textId="5DB029BD"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4.9%</w:t>
            </w:r>
          </w:p>
        </w:tc>
        <w:tc>
          <w:tcPr>
            <w:tcW w:w="619" w:type="dxa"/>
            <w:gridSpan w:val="2"/>
            <w:tcBorders>
              <w:top w:val="nil"/>
              <w:left w:val="nil"/>
              <w:bottom w:val="nil"/>
              <w:right w:val="nil"/>
            </w:tcBorders>
            <w:shd w:val="clear" w:color="000000" w:fill="FFFFFF"/>
            <w:noWrap/>
            <w:vAlign w:val="bottom"/>
          </w:tcPr>
          <w:p w14:paraId="4BE00353" w14:textId="4A3E310B"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0.647</w:t>
            </w:r>
          </w:p>
        </w:tc>
      </w:tr>
      <w:tr w:rsidR="008F59BB" w:rsidRPr="00EA3957" w14:paraId="3C84BFE6" w14:textId="77777777" w:rsidTr="00244009">
        <w:trPr>
          <w:trHeight w:val="288"/>
        </w:trPr>
        <w:tc>
          <w:tcPr>
            <w:tcW w:w="1710" w:type="dxa"/>
            <w:tcBorders>
              <w:top w:val="nil"/>
              <w:left w:val="nil"/>
              <w:bottom w:val="nil"/>
              <w:right w:val="nil"/>
            </w:tcBorders>
            <w:shd w:val="clear" w:color="000000" w:fill="FFFFFF"/>
            <w:noWrap/>
            <w:vAlign w:val="bottom"/>
            <w:hideMark/>
          </w:tcPr>
          <w:p w14:paraId="66B37D8C" w14:textId="77777777" w:rsidR="008F59BB" w:rsidRPr="00EA3957" w:rsidRDefault="008F59BB" w:rsidP="008F59BB">
            <w:pPr>
              <w:spacing w:after="0" w:line="240" w:lineRule="auto"/>
              <w:rPr>
                <w:rFonts w:ascii="Calibri" w:eastAsia="Times New Roman" w:hAnsi="Calibri" w:cs="Times New Roman"/>
                <w:sz w:val="16"/>
                <w:szCs w:val="16"/>
              </w:rPr>
            </w:pPr>
            <w:r w:rsidRPr="00EA3957">
              <w:rPr>
                <w:rFonts w:ascii="Calibri" w:eastAsia="Times New Roman" w:hAnsi="Calibri" w:cs="Times New Roman"/>
                <w:sz w:val="16"/>
                <w:szCs w:val="16"/>
              </w:rPr>
              <w:t>All other</w:t>
            </w:r>
          </w:p>
        </w:tc>
        <w:tc>
          <w:tcPr>
            <w:tcW w:w="450" w:type="dxa"/>
            <w:tcBorders>
              <w:top w:val="nil"/>
              <w:left w:val="nil"/>
              <w:bottom w:val="nil"/>
              <w:right w:val="nil"/>
            </w:tcBorders>
            <w:shd w:val="clear" w:color="000000" w:fill="FFFFFF"/>
            <w:noWrap/>
            <w:vAlign w:val="bottom"/>
          </w:tcPr>
          <w:p w14:paraId="0EE44A97" w14:textId="4EEC56BA"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561</w:t>
            </w:r>
          </w:p>
        </w:tc>
        <w:tc>
          <w:tcPr>
            <w:tcW w:w="630" w:type="dxa"/>
            <w:gridSpan w:val="2"/>
            <w:tcBorders>
              <w:top w:val="nil"/>
              <w:left w:val="nil"/>
              <w:bottom w:val="nil"/>
              <w:right w:val="nil"/>
            </w:tcBorders>
            <w:shd w:val="clear" w:color="000000" w:fill="FFFFFF"/>
            <w:noWrap/>
            <w:vAlign w:val="bottom"/>
          </w:tcPr>
          <w:p w14:paraId="670E3774" w14:textId="5BC7EE57"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1025</w:t>
            </w:r>
          </w:p>
        </w:tc>
        <w:tc>
          <w:tcPr>
            <w:tcW w:w="99" w:type="dxa"/>
            <w:gridSpan w:val="2"/>
            <w:tcBorders>
              <w:top w:val="nil"/>
              <w:left w:val="nil"/>
              <w:bottom w:val="nil"/>
              <w:right w:val="nil"/>
            </w:tcBorders>
            <w:shd w:val="clear" w:color="000000" w:fill="FFFFFF"/>
            <w:noWrap/>
            <w:vAlign w:val="bottom"/>
          </w:tcPr>
          <w:p w14:paraId="27724A9D" w14:textId="200F7878" w:rsidR="008F59BB" w:rsidRPr="00EA3957" w:rsidRDefault="008F59BB" w:rsidP="008F59BB">
            <w:pPr>
              <w:spacing w:after="0" w:line="240" w:lineRule="auto"/>
              <w:rPr>
                <w:rFonts w:ascii="Calibri" w:eastAsia="Times New Roman" w:hAnsi="Calibri" w:cs="Times New Roman"/>
                <w:sz w:val="16"/>
                <w:szCs w:val="16"/>
              </w:rPr>
            </w:pPr>
            <w:r>
              <w:rPr>
                <w:rFonts w:ascii="Calibri" w:hAnsi="Calibri"/>
                <w:sz w:val="16"/>
                <w:szCs w:val="16"/>
              </w:rPr>
              <w:t> </w:t>
            </w:r>
          </w:p>
        </w:tc>
        <w:tc>
          <w:tcPr>
            <w:tcW w:w="662" w:type="dxa"/>
            <w:tcBorders>
              <w:top w:val="nil"/>
              <w:left w:val="nil"/>
              <w:bottom w:val="nil"/>
              <w:right w:val="nil"/>
            </w:tcBorders>
            <w:shd w:val="clear" w:color="000000" w:fill="FFFFFF"/>
            <w:noWrap/>
            <w:vAlign w:val="bottom"/>
          </w:tcPr>
          <w:p w14:paraId="66A52AF8" w14:textId="0C8D468C"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$360</w:t>
            </w:r>
          </w:p>
        </w:tc>
        <w:tc>
          <w:tcPr>
            <w:tcW w:w="711" w:type="dxa"/>
            <w:gridSpan w:val="2"/>
            <w:tcBorders>
              <w:top w:val="nil"/>
              <w:left w:val="nil"/>
              <w:bottom w:val="nil"/>
              <w:right w:val="nil"/>
            </w:tcBorders>
            <w:shd w:val="clear" w:color="000000" w:fill="FFFFFF"/>
            <w:noWrap/>
            <w:vAlign w:val="bottom"/>
          </w:tcPr>
          <w:p w14:paraId="696E664D" w14:textId="22D8301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$338</w:t>
            </w:r>
          </w:p>
        </w:tc>
        <w:tc>
          <w:tcPr>
            <w:tcW w:w="662" w:type="dxa"/>
            <w:tcBorders>
              <w:top w:val="nil"/>
              <w:left w:val="nil"/>
              <w:bottom w:val="nil"/>
              <w:right w:val="nil"/>
            </w:tcBorders>
            <w:shd w:val="clear" w:color="000000" w:fill="FFFFFF"/>
            <w:noWrap/>
            <w:vAlign w:val="bottom"/>
          </w:tcPr>
          <w:p w14:paraId="4B577BA0" w14:textId="5ABABEC5"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$455</w:t>
            </w:r>
          </w:p>
        </w:tc>
        <w:tc>
          <w:tcPr>
            <w:tcW w:w="711" w:type="dxa"/>
            <w:gridSpan w:val="2"/>
            <w:tcBorders>
              <w:top w:val="nil"/>
              <w:left w:val="nil"/>
              <w:bottom w:val="nil"/>
              <w:right w:val="nil"/>
            </w:tcBorders>
            <w:shd w:val="clear" w:color="000000" w:fill="FFFFFF"/>
            <w:noWrap/>
            <w:vAlign w:val="bottom"/>
          </w:tcPr>
          <w:p w14:paraId="762E994A" w14:textId="49357D88"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$437</w:t>
            </w:r>
          </w:p>
        </w:tc>
        <w:tc>
          <w:tcPr>
            <w:tcW w:w="728" w:type="dxa"/>
            <w:tcBorders>
              <w:top w:val="nil"/>
              <w:left w:val="nil"/>
              <w:bottom w:val="nil"/>
              <w:right w:val="nil"/>
            </w:tcBorders>
            <w:shd w:val="clear" w:color="000000" w:fill="FFFFFF"/>
            <w:noWrap/>
            <w:vAlign w:val="bottom"/>
          </w:tcPr>
          <w:p w14:paraId="74BBA8DC" w14:textId="241DAED0" w:rsidR="008F59BB" w:rsidRPr="00EA3957" w:rsidRDefault="008F59BB" w:rsidP="008F59BB">
            <w:pPr>
              <w:spacing w:after="0" w:line="240" w:lineRule="auto"/>
              <w:jc w:val="right"/>
              <w:rPr>
                <w:rFonts w:ascii="Calibri" w:eastAsia="Times New Roman" w:hAnsi="Calibri" w:cs="Times New Roman"/>
                <w:color w:val="000000"/>
                <w:sz w:val="16"/>
                <w:szCs w:val="16"/>
              </w:rPr>
            </w:pPr>
            <w:r>
              <w:rPr>
                <w:rFonts w:ascii="Calibri" w:hAnsi="Calibri"/>
                <w:color w:val="000000"/>
                <w:sz w:val="16"/>
                <w:szCs w:val="16"/>
              </w:rPr>
              <w:t>-2.1%</w:t>
            </w:r>
          </w:p>
        </w:tc>
        <w:tc>
          <w:tcPr>
            <w:tcW w:w="584" w:type="dxa"/>
            <w:gridSpan w:val="2"/>
            <w:tcBorders>
              <w:top w:val="nil"/>
              <w:left w:val="nil"/>
              <w:bottom w:val="nil"/>
              <w:right w:val="nil"/>
            </w:tcBorders>
            <w:shd w:val="clear" w:color="000000" w:fill="FFFFFF"/>
            <w:noWrap/>
            <w:vAlign w:val="bottom"/>
          </w:tcPr>
          <w:p w14:paraId="5E49FF39" w14:textId="21C82453" w:rsidR="008F59BB" w:rsidRPr="00EA3957" w:rsidRDefault="008F59BB" w:rsidP="008F59BB">
            <w:pPr>
              <w:spacing w:after="0" w:line="240" w:lineRule="auto"/>
              <w:jc w:val="center"/>
              <w:rPr>
                <w:rFonts w:ascii="Calibri" w:eastAsia="Times New Roman" w:hAnsi="Calibri" w:cs="Times New Roman"/>
                <w:color w:val="000000"/>
                <w:sz w:val="16"/>
                <w:szCs w:val="16"/>
              </w:rPr>
            </w:pPr>
            <w:r>
              <w:rPr>
                <w:rFonts w:ascii="Calibri" w:hAnsi="Calibri"/>
                <w:color w:val="000000"/>
                <w:sz w:val="16"/>
                <w:szCs w:val="16"/>
              </w:rPr>
              <w:t>0.817</w:t>
            </w:r>
          </w:p>
        </w:tc>
        <w:tc>
          <w:tcPr>
            <w:tcW w:w="82" w:type="dxa"/>
            <w:gridSpan w:val="2"/>
            <w:tcBorders>
              <w:top w:val="nil"/>
              <w:left w:val="nil"/>
              <w:bottom w:val="nil"/>
              <w:right w:val="nil"/>
            </w:tcBorders>
            <w:shd w:val="clear" w:color="000000" w:fill="FFFFFF"/>
            <w:noWrap/>
            <w:vAlign w:val="bottom"/>
          </w:tcPr>
          <w:p w14:paraId="57D11EEC" w14:textId="162657ED"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b/>
                <w:bCs/>
                <w:color w:val="000000"/>
                <w:sz w:val="16"/>
                <w:szCs w:val="16"/>
              </w:rPr>
              <w:t> </w:t>
            </w:r>
          </w:p>
        </w:tc>
        <w:tc>
          <w:tcPr>
            <w:tcW w:w="500" w:type="dxa"/>
            <w:tcBorders>
              <w:top w:val="nil"/>
              <w:left w:val="nil"/>
              <w:bottom w:val="nil"/>
              <w:right w:val="nil"/>
            </w:tcBorders>
            <w:shd w:val="clear" w:color="000000" w:fill="FFFFFF"/>
            <w:noWrap/>
            <w:vAlign w:val="bottom"/>
          </w:tcPr>
          <w:p w14:paraId="0C9C2F2F" w14:textId="5807D56B"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12.8</w:t>
            </w:r>
          </w:p>
        </w:tc>
        <w:tc>
          <w:tcPr>
            <w:tcW w:w="798" w:type="dxa"/>
            <w:gridSpan w:val="2"/>
            <w:tcBorders>
              <w:top w:val="nil"/>
              <w:left w:val="nil"/>
              <w:bottom w:val="nil"/>
              <w:right w:val="nil"/>
            </w:tcBorders>
            <w:shd w:val="clear" w:color="000000" w:fill="FFFFFF"/>
            <w:noWrap/>
            <w:vAlign w:val="bottom"/>
          </w:tcPr>
          <w:p w14:paraId="5ECAE3AE" w14:textId="3F935E29"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13.2</w:t>
            </w:r>
          </w:p>
        </w:tc>
        <w:tc>
          <w:tcPr>
            <w:tcW w:w="500" w:type="dxa"/>
            <w:tcBorders>
              <w:top w:val="nil"/>
              <w:left w:val="nil"/>
              <w:bottom w:val="nil"/>
              <w:right w:val="nil"/>
            </w:tcBorders>
            <w:shd w:val="clear" w:color="000000" w:fill="FFFFFF"/>
            <w:noWrap/>
            <w:vAlign w:val="bottom"/>
          </w:tcPr>
          <w:p w14:paraId="288D8099" w14:textId="13902124"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14.4</w:t>
            </w:r>
          </w:p>
        </w:tc>
        <w:tc>
          <w:tcPr>
            <w:tcW w:w="757" w:type="dxa"/>
            <w:gridSpan w:val="2"/>
            <w:tcBorders>
              <w:top w:val="nil"/>
              <w:left w:val="nil"/>
              <w:bottom w:val="nil"/>
              <w:right w:val="nil"/>
            </w:tcBorders>
            <w:shd w:val="clear" w:color="000000" w:fill="FFFFFF"/>
            <w:noWrap/>
            <w:vAlign w:val="bottom"/>
          </w:tcPr>
          <w:p w14:paraId="578B471F" w14:textId="1B54182E" w:rsidR="008F59BB" w:rsidRPr="00EA3957" w:rsidRDefault="008F59BB" w:rsidP="008F59BB">
            <w:pPr>
              <w:spacing w:after="0" w:line="240" w:lineRule="auto"/>
              <w:jc w:val="center"/>
              <w:rPr>
                <w:rFonts w:ascii="Calibri" w:eastAsia="Times New Roman" w:hAnsi="Calibri" w:cs="Times New Roman"/>
                <w:sz w:val="16"/>
                <w:szCs w:val="16"/>
              </w:rPr>
            </w:pPr>
            <w:r>
              <w:rPr>
                <w:rFonts w:ascii="Calibri" w:hAnsi="Calibri"/>
                <w:sz w:val="16"/>
                <w:szCs w:val="16"/>
              </w:rPr>
              <w:t>13.9</w:t>
            </w:r>
          </w:p>
        </w:tc>
        <w:tc>
          <w:tcPr>
            <w:tcW w:w="728" w:type="dxa"/>
            <w:tcBorders>
              <w:top w:val="nil"/>
              <w:left w:val="nil"/>
              <w:bottom w:val="nil"/>
              <w:right w:val="nil"/>
            </w:tcBorders>
            <w:shd w:val="clear" w:color="000000" w:fill="FFFFFF"/>
            <w:noWrap/>
            <w:vAlign w:val="bottom"/>
          </w:tcPr>
          <w:p w14:paraId="15344C6D" w14:textId="043055BC" w:rsidR="008F59BB" w:rsidRPr="00EA3957" w:rsidRDefault="008F59BB" w:rsidP="008F59BB">
            <w:pPr>
              <w:spacing w:after="0" w:line="240" w:lineRule="auto"/>
              <w:jc w:val="right"/>
              <w:rPr>
                <w:rFonts w:ascii="Calibri" w:eastAsia="Times New Roman" w:hAnsi="Calibri" w:cs="Times New Roman"/>
                <w:b/>
                <w:bCs/>
                <w:color w:val="000000"/>
                <w:sz w:val="16"/>
                <w:szCs w:val="16"/>
              </w:rPr>
            </w:pPr>
            <w:r>
              <w:rPr>
                <w:rFonts w:ascii="Calibri" w:hAnsi="Calibri"/>
                <w:color w:val="000000"/>
                <w:sz w:val="16"/>
                <w:szCs w:val="16"/>
              </w:rPr>
              <w:t>7.6%</w:t>
            </w:r>
          </w:p>
        </w:tc>
        <w:tc>
          <w:tcPr>
            <w:tcW w:w="619" w:type="dxa"/>
            <w:gridSpan w:val="2"/>
            <w:tcBorders>
              <w:top w:val="nil"/>
              <w:left w:val="nil"/>
              <w:bottom w:val="nil"/>
              <w:right w:val="nil"/>
            </w:tcBorders>
            <w:shd w:val="clear" w:color="000000" w:fill="FFFFFF"/>
            <w:noWrap/>
            <w:vAlign w:val="bottom"/>
          </w:tcPr>
          <w:p w14:paraId="1264B51C" w14:textId="4D55C98A" w:rsidR="008F59BB" w:rsidRPr="00EA3957" w:rsidRDefault="008F59BB" w:rsidP="008F59BB">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szCs w:val="16"/>
              </w:rPr>
              <w:t>0.072</w:t>
            </w:r>
          </w:p>
        </w:tc>
      </w:tr>
    </w:tbl>
    <w:p w14:paraId="5E78C42B" w14:textId="77777777" w:rsidR="008C4617" w:rsidRDefault="008C4617" w:rsidP="00D979C5">
      <w:pPr>
        <w:spacing w:line="240" w:lineRule="auto"/>
        <w:rPr>
          <w:sz w:val="20"/>
          <w:szCs w:val="20"/>
        </w:rPr>
      </w:pPr>
    </w:p>
    <w:p w14:paraId="213DC12D" w14:textId="77777777" w:rsidR="006C5A87" w:rsidRDefault="006C5A87" w:rsidP="006C5A87">
      <w:pPr>
        <w:spacing w:line="240" w:lineRule="auto"/>
        <w:rPr>
          <w:sz w:val="18"/>
          <w:szCs w:val="20"/>
        </w:rPr>
      </w:pPr>
      <w:r w:rsidRPr="00C2204F">
        <w:rPr>
          <w:sz w:val="18"/>
          <w:szCs w:val="20"/>
        </w:rPr>
        <w:t>Abbreviations: HDHP, high deductible health plan; HSA, health savings account, PDL, Preventive Drug List</w:t>
      </w:r>
      <w:r>
        <w:rPr>
          <w:sz w:val="18"/>
          <w:szCs w:val="20"/>
        </w:rPr>
        <w:t>.</w:t>
      </w:r>
      <w:r w:rsidRPr="00C2204F">
        <w:rPr>
          <w:sz w:val="18"/>
          <w:szCs w:val="20"/>
        </w:rPr>
        <w:t xml:space="preserve">  </w:t>
      </w:r>
    </w:p>
    <w:p w14:paraId="5928A992" w14:textId="07FE3829" w:rsidR="006C5A87" w:rsidRDefault="006C5A87" w:rsidP="006C5A87">
      <w:pPr>
        <w:spacing w:line="240" w:lineRule="auto"/>
        <w:rPr>
          <w:sz w:val="18"/>
          <w:szCs w:val="20"/>
        </w:rPr>
      </w:pPr>
      <w:r w:rsidRPr="00C2204F">
        <w:rPr>
          <w:sz w:val="18"/>
          <w:szCs w:val="20"/>
        </w:rPr>
        <w:t xml:space="preserve">* Rate per 100 person </w:t>
      </w:r>
      <w:proofErr w:type="gramStart"/>
      <w:r w:rsidRPr="00C2204F">
        <w:rPr>
          <w:sz w:val="18"/>
          <w:szCs w:val="20"/>
        </w:rPr>
        <w:t>years;  &amp;</w:t>
      </w:r>
      <w:proofErr w:type="gramEnd"/>
      <w:r w:rsidRPr="00C2204F">
        <w:rPr>
          <w:sz w:val="18"/>
          <w:szCs w:val="20"/>
        </w:rPr>
        <w:t xml:space="preserve"> marginal estimates from adjusted difference in difference regression models; &amp;&amp; </w:t>
      </w:r>
      <w:r>
        <w:rPr>
          <w:sz w:val="18"/>
          <w:szCs w:val="20"/>
        </w:rPr>
        <w:t>S</w:t>
      </w:r>
      <w:r w:rsidRPr="00C2204F">
        <w:rPr>
          <w:sz w:val="18"/>
          <w:szCs w:val="20"/>
        </w:rPr>
        <w:t xml:space="preserve">ubgroups separately matched; </w:t>
      </w:r>
      <w:r w:rsidRPr="00C2204F">
        <w:rPr>
          <w:b/>
          <w:sz w:val="18"/>
          <w:szCs w:val="20"/>
        </w:rPr>
        <w:t>Bold</w:t>
      </w:r>
      <w:r w:rsidRPr="00C2204F">
        <w:rPr>
          <w:sz w:val="18"/>
          <w:szCs w:val="20"/>
        </w:rPr>
        <w:t xml:space="preserve"> = p-value &lt;=0.05</w:t>
      </w:r>
    </w:p>
    <w:p w14:paraId="061424B2" w14:textId="77777777" w:rsidR="006C5A87" w:rsidRDefault="006C5A87">
      <w:pPr>
        <w:spacing w:after="160" w:line="259" w:lineRule="auto"/>
        <w:rPr>
          <w:b/>
        </w:rPr>
      </w:pPr>
      <w:r>
        <w:rPr>
          <w:b/>
        </w:rPr>
        <w:br w:type="page"/>
      </w:r>
    </w:p>
    <w:p w14:paraId="1493D1EC" w14:textId="78E1B61B" w:rsidR="0063243A" w:rsidRPr="00025042" w:rsidRDefault="008F4BEB" w:rsidP="0063243A">
      <w:pPr>
        <w:spacing w:line="240" w:lineRule="auto"/>
        <w:rPr>
          <w:b/>
          <w:color w:val="FF0000"/>
        </w:rPr>
      </w:pPr>
      <w:r w:rsidRPr="004C7E66">
        <w:rPr>
          <w:b/>
        </w:rPr>
        <w:lastRenderedPageBreak/>
        <w:t>S</w:t>
      </w:r>
      <w:r w:rsidR="0063243A" w:rsidRPr="004C7E66">
        <w:rPr>
          <w:b/>
        </w:rPr>
        <w:t>DC Figure 1</w:t>
      </w:r>
      <w:r w:rsidR="0063243A" w:rsidRPr="00C06DE7">
        <w:rPr>
          <w:b/>
        </w:rPr>
        <w:t xml:space="preserve">. Average monthly </w:t>
      </w:r>
      <w:r w:rsidR="0063243A">
        <w:rPr>
          <w:b/>
        </w:rPr>
        <w:t xml:space="preserve">utilization of four key classes of </w:t>
      </w:r>
      <w:r w:rsidR="0063243A" w:rsidRPr="00C06DE7">
        <w:rPr>
          <w:b/>
        </w:rPr>
        <w:t>medicines</w:t>
      </w:r>
      <w:r w:rsidR="0063243A">
        <w:rPr>
          <w:b/>
        </w:rPr>
        <w:t xml:space="preserve"> used to treat diabetes and related cardiovascular conditions comparing HSA-HDHP PDL switchers </w:t>
      </w:r>
      <w:r w:rsidR="0063243A" w:rsidRPr="00C06DE7">
        <w:rPr>
          <w:b/>
        </w:rPr>
        <w:t xml:space="preserve">to </w:t>
      </w:r>
      <w:r w:rsidR="0063243A">
        <w:rPr>
          <w:b/>
        </w:rPr>
        <w:t xml:space="preserve">non-PDL </w:t>
      </w:r>
      <w:r w:rsidR="0063243A" w:rsidRPr="00C06DE7">
        <w:rPr>
          <w:b/>
        </w:rPr>
        <w:t>controls</w:t>
      </w:r>
      <w:r w:rsidR="0063243A">
        <w:rPr>
          <w:b/>
        </w:rPr>
        <w:t>, among higher income patients (left) and lower income patients (right)</w:t>
      </w:r>
      <w:r w:rsidR="0063243A" w:rsidRPr="00C06DE7">
        <w:rPr>
          <w:b/>
        </w:rPr>
        <w:t xml:space="preserve"> </w:t>
      </w: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5400"/>
        <w:gridCol w:w="5400"/>
      </w:tblGrid>
      <w:tr w:rsidR="0063243A" w:rsidRPr="005B3260" w14:paraId="3989CB67" w14:textId="77777777" w:rsidTr="004C7E66">
        <w:trPr>
          <w:trHeight w:val="3024"/>
          <w:jc w:val="center"/>
        </w:trPr>
        <w:tc>
          <w:tcPr>
            <w:tcW w:w="5400" w:type="dxa"/>
          </w:tcPr>
          <w:p w14:paraId="05E9039C" w14:textId="5FB0D27F" w:rsidR="0063243A" w:rsidRPr="005B3260" w:rsidRDefault="004C7E66" w:rsidP="0063243A">
            <w:pPr>
              <w:spacing w:after="0"/>
              <w:jc w:val="center"/>
              <w:rPr>
                <w:b/>
              </w:rPr>
            </w:pPr>
            <w:r>
              <w:rPr>
                <w:b/>
                <w:noProof/>
              </w:rPr>
              <w:drawing>
                <wp:inline distT="0" distB="0" distL="0" distR="0" wp14:anchorId="1D29BEE8" wp14:editId="086AC590">
                  <wp:extent cx="3384728" cy="1920240"/>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c>
          <w:tcPr>
            <w:tcW w:w="5400" w:type="dxa"/>
          </w:tcPr>
          <w:p w14:paraId="573C25FA" w14:textId="0FB04320" w:rsidR="0063243A" w:rsidRPr="005B3260" w:rsidRDefault="004C7E66" w:rsidP="0063243A">
            <w:pPr>
              <w:spacing w:after="0"/>
              <w:contextualSpacing/>
              <w:jc w:val="center"/>
              <w:rPr>
                <w:b/>
              </w:rPr>
            </w:pPr>
            <w:r>
              <w:rPr>
                <w:b/>
                <w:noProof/>
              </w:rPr>
              <w:drawing>
                <wp:inline distT="0" distB="0" distL="0" distR="0" wp14:anchorId="30E0B21E" wp14:editId="4CEEBB10">
                  <wp:extent cx="3384728" cy="19202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r>
      <w:tr w:rsidR="0063243A" w:rsidRPr="005B3260" w14:paraId="4C35C656" w14:textId="77777777" w:rsidTr="004C7E66">
        <w:trPr>
          <w:trHeight w:val="2736"/>
          <w:jc w:val="center"/>
        </w:trPr>
        <w:tc>
          <w:tcPr>
            <w:tcW w:w="5400" w:type="dxa"/>
          </w:tcPr>
          <w:p w14:paraId="764CF140" w14:textId="3AEE37F4" w:rsidR="0063243A" w:rsidRPr="005B3260" w:rsidRDefault="004C7E66" w:rsidP="0063243A">
            <w:pPr>
              <w:spacing w:after="0"/>
              <w:jc w:val="center"/>
              <w:rPr>
                <w:b/>
              </w:rPr>
            </w:pPr>
            <w:r>
              <w:rPr>
                <w:b/>
                <w:noProof/>
              </w:rPr>
              <w:drawing>
                <wp:inline distT="0" distB="0" distL="0" distR="0" wp14:anchorId="01639D62" wp14:editId="0556E3A9">
                  <wp:extent cx="3384729" cy="1920240"/>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729" cy="1920240"/>
                          </a:xfrm>
                          <a:prstGeom prst="rect">
                            <a:avLst/>
                          </a:prstGeom>
                          <a:noFill/>
                        </pic:spPr>
                      </pic:pic>
                    </a:graphicData>
                  </a:graphic>
                </wp:inline>
              </w:drawing>
            </w:r>
          </w:p>
        </w:tc>
        <w:tc>
          <w:tcPr>
            <w:tcW w:w="5400" w:type="dxa"/>
          </w:tcPr>
          <w:p w14:paraId="00D0255B" w14:textId="4044488C" w:rsidR="0063243A" w:rsidRPr="005B3260" w:rsidRDefault="004C7E66" w:rsidP="0063243A">
            <w:pPr>
              <w:spacing w:after="0"/>
              <w:jc w:val="center"/>
              <w:rPr>
                <w:b/>
              </w:rPr>
            </w:pPr>
            <w:r>
              <w:rPr>
                <w:b/>
                <w:noProof/>
              </w:rPr>
              <w:drawing>
                <wp:inline distT="0" distB="0" distL="0" distR="0" wp14:anchorId="24976519" wp14:editId="6B588788">
                  <wp:extent cx="3384728" cy="1920240"/>
                  <wp:effectExtent l="0" t="0" r="635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r>
      <w:tr w:rsidR="0063243A" w:rsidRPr="005B3260" w14:paraId="05FAF240" w14:textId="77777777" w:rsidTr="004C7E66">
        <w:trPr>
          <w:trHeight w:val="2736"/>
          <w:jc w:val="center"/>
        </w:trPr>
        <w:tc>
          <w:tcPr>
            <w:tcW w:w="5400" w:type="dxa"/>
          </w:tcPr>
          <w:p w14:paraId="4606A683" w14:textId="18317847" w:rsidR="0063243A" w:rsidRPr="005B3260" w:rsidRDefault="004C7E66" w:rsidP="0063243A">
            <w:pPr>
              <w:spacing w:after="0"/>
              <w:jc w:val="center"/>
              <w:rPr>
                <w:b/>
              </w:rPr>
            </w:pPr>
            <w:r>
              <w:rPr>
                <w:b/>
                <w:noProof/>
              </w:rPr>
              <w:drawing>
                <wp:inline distT="0" distB="0" distL="0" distR="0" wp14:anchorId="1652C132" wp14:editId="1BDBD9D5">
                  <wp:extent cx="3384728" cy="1920240"/>
                  <wp:effectExtent l="0" t="0" r="635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c>
          <w:tcPr>
            <w:tcW w:w="5400" w:type="dxa"/>
          </w:tcPr>
          <w:p w14:paraId="082EC9A8" w14:textId="4A1996AA" w:rsidR="0063243A" w:rsidRPr="005B3260" w:rsidRDefault="004C7E66" w:rsidP="0063243A">
            <w:pPr>
              <w:spacing w:after="0"/>
              <w:jc w:val="center"/>
              <w:rPr>
                <w:b/>
              </w:rPr>
            </w:pPr>
            <w:r>
              <w:rPr>
                <w:b/>
                <w:noProof/>
              </w:rPr>
              <w:drawing>
                <wp:inline distT="0" distB="0" distL="0" distR="0" wp14:anchorId="22D05712" wp14:editId="7885AC95">
                  <wp:extent cx="3384728" cy="1920240"/>
                  <wp:effectExtent l="0" t="0" r="635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r>
      <w:tr w:rsidR="0063243A" w:rsidRPr="005B3260" w14:paraId="6A34899B" w14:textId="77777777" w:rsidTr="004C7E66">
        <w:trPr>
          <w:trHeight w:val="2736"/>
          <w:jc w:val="center"/>
        </w:trPr>
        <w:tc>
          <w:tcPr>
            <w:tcW w:w="5400" w:type="dxa"/>
          </w:tcPr>
          <w:p w14:paraId="072C27EB" w14:textId="339F52D5" w:rsidR="0063243A" w:rsidRDefault="004C7E66" w:rsidP="0063243A">
            <w:pPr>
              <w:spacing w:after="0"/>
              <w:jc w:val="center"/>
              <w:rPr>
                <w:b/>
                <w:noProof/>
              </w:rPr>
            </w:pPr>
            <w:r>
              <w:rPr>
                <w:b/>
                <w:noProof/>
              </w:rPr>
              <w:drawing>
                <wp:inline distT="0" distB="0" distL="0" distR="0" wp14:anchorId="1BD786B0" wp14:editId="186BFC9B">
                  <wp:extent cx="3384728" cy="19202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c>
          <w:tcPr>
            <w:tcW w:w="5400" w:type="dxa"/>
          </w:tcPr>
          <w:p w14:paraId="44040B5B" w14:textId="170413F7" w:rsidR="0063243A" w:rsidRDefault="004C7E66" w:rsidP="0063243A">
            <w:pPr>
              <w:spacing w:after="0"/>
              <w:jc w:val="center"/>
              <w:rPr>
                <w:b/>
                <w:noProof/>
              </w:rPr>
            </w:pPr>
            <w:r>
              <w:rPr>
                <w:b/>
                <w:noProof/>
              </w:rPr>
              <w:drawing>
                <wp:inline distT="0" distB="0" distL="0" distR="0" wp14:anchorId="611E7CE5" wp14:editId="48D2644A">
                  <wp:extent cx="3384728" cy="1920240"/>
                  <wp:effectExtent l="0" t="0" r="635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84728" cy="1920240"/>
                          </a:xfrm>
                          <a:prstGeom prst="rect">
                            <a:avLst/>
                          </a:prstGeom>
                          <a:noFill/>
                        </pic:spPr>
                      </pic:pic>
                    </a:graphicData>
                  </a:graphic>
                </wp:inline>
              </w:drawing>
            </w:r>
          </w:p>
        </w:tc>
      </w:tr>
    </w:tbl>
    <w:p w14:paraId="7C90008E" w14:textId="77777777" w:rsidR="0063243A" w:rsidRDefault="0063243A" w:rsidP="0063243A">
      <w:r>
        <w:br w:type="page"/>
      </w:r>
    </w:p>
    <w:p w14:paraId="061E5230" w14:textId="746D6648" w:rsidR="00D979C5" w:rsidRDefault="00D979C5" w:rsidP="008C4617">
      <w:pPr>
        <w:spacing w:line="240" w:lineRule="auto"/>
        <w:rPr>
          <w:b/>
        </w:rPr>
        <w:sectPr w:rsidR="00D979C5" w:rsidSect="007604B7">
          <w:pgSz w:w="12240" w:h="15840"/>
          <w:pgMar w:top="720" w:right="720" w:bottom="720" w:left="720" w:header="720" w:footer="720" w:gutter="0"/>
          <w:cols w:space="720"/>
          <w:docGrid w:linePitch="299"/>
        </w:sectPr>
      </w:pPr>
    </w:p>
    <w:p w14:paraId="63EF93F8" w14:textId="17C89C3B" w:rsidR="00C41753" w:rsidRPr="00C41753" w:rsidRDefault="00C41753">
      <w:pPr>
        <w:spacing w:after="160" w:line="259" w:lineRule="auto"/>
        <w:rPr>
          <w:b/>
        </w:rPr>
      </w:pPr>
      <w:r w:rsidRPr="00C41753">
        <w:rPr>
          <w:b/>
        </w:rPr>
        <w:lastRenderedPageBreak/>
        <w:t>SDC citations</w:t>
      </w:r>
    </w:p>
    <w:p w14:paraId="2DE53DD0" w14:textId="77777777" w:rsidR="007C6E15" w:rsidRPr="007C6E15" w:rsidRDefault="00D41B24" w:rsidP="00547EE3">
      <w:pPr>
        <w:pStyle w:val="Bibliography"/>
        <w:rPr>
          <w:rFonts w:cs="Arial"/>
        </w:rPr>
      </w:pPr>
      <w:r>
        <w:fldChar w:fldCharType="begin"/>
      </w:r>
      <w:r>
        <w:instrText xml:space="preserve"> ADDIN ZOTERO_BIBL {"uncited":[],"omitted":[],"custom":[]} CSL_BIBLIOGRAPHY </w:instrText>
      </w:r>
      <w:r>
        <w:fldChar w:fldCharType="separate"/>
      </w:r>
      <w:r w:rsidR="007C6E15" w:rsidRPr="007C6E15">
        <w:rPr>
          <w:rFonts w:cs="Arial"/>
        </w:rPr>
        <w:t xml:space="preserve">1. </w:t>
      </w:r>
      <w:r w:rsidR="007C6E15" w:rsidRPr="007C6E15">
        <w:rPr>
          <w:rFonts w:cs="Arial"/>
        </w:rPr>
        <w:tab/>
        <w:t xml:space="preserve">Wharam JF, Zhang F, Eggleston EM, Lu CY, Soumerai S, Ross-Degnan D. Diabetes Outpatient Care and Acute Complications Before and After High-Deductible Insurance Enrollment: A Natural Experiment for Translation in Diabetes (NEXT-D) Study. JAMA Intern Med 2017;177(3):358. </w:t>
      </w:r>
    </w:p>
    <w:p w14:paraId="4E811B5F" w14:textId="77777777" w:rsidR="007C6E15" w:rsidRPr="00F513ED" w:rsidRDefault="007C6E15" w:rsidP="00547EE3">
      <w:pPr>
        <w:pStyle w:val="Bibliography"/>
        <w:rPr>
          <w:rFonts w:cs="Arial"/>
        </w:rPr>
      </w:pPr>
      <w:r w:rsidRPr="00F513ED">
        <w:rPr>
          <w:rFonts w:cs="Arial"/>
        </w:rPr>
        <w:t xml:space="preserve">2. </w:t>
      </w:r>
      <w:r w:rsidRPr="00F513ED">
        <w:rPr>
          <w:rFonts w:cs="Arial"/>
        </w:rPr>
        <w:tab/>
        <w:t xml:space="preserve">Wharam JF, Zhang F, Eggleston EM, Lu CY, Soumerai SB, Ross-Degnan D. Effect of High-Deductible Insurance on High-Acuity Outcomes in Diabetes: A Natural Experiment for Translation in Diabetes (NEXT-D) Study. Diabetes Care 2018;dc171183. </w:t>
      </w:r>
    </w:p>
    <w:p w14:paraId="4A03D7F0" w14:textId="77777777" w:rsidR="007C6E15" w:rsidRPr="00F513ED" w:rsidRDefault="007C6E15" w:rsidP="00547EE3">
      <w:pPr>
        <w:pStyle w:val="Bibliography"/>
        <w:rPr>
          <w:rFonts w:cs="Arial"/>
        </w:rPr>
      </w:pPr>
      <w:r w:rsidRPr="00F513ED">
        <w:rPr>
          <w:rFonts w:cs="Arial"/>
        </w:rPr>
        <w:t xml:space="preserve">3. </w:t>
      </w:r>
      <w:r w:rsidRPr="00F513ED">
        <w:rPr>
          <w:rFonts w:cs="Arial"/>
        </w:rPr>
        <w:tab/>
        <w:t xml:space="preserve">Wharam JF, Lu CY, Zhang F, et al. High-Deductible Insurance and Delay in Care for the Macrovascular Complications of Diabetes. Ann Intern Med 2018;169(12):845. </w:t>
      </w:r>
    </w:p>
    <w:p w14:paraId="107FF685" w14:textId="77777777" w:rsidR="007C6E15" w:rsidRPr="00F513ED" w:rsidRDefault="007C6E15" w:rsidP="00547EE3">
      <w:pPr>
        <w:pStyle w:val="Bibliography"/>
        <w:rPr>
          <w:rFonts w:cs="Arial"/>
        </w:rPr>
      </w:pPr>
      <w:r w:rsidRPr="00F513ED">
        <w:rPr>
          <w:rFonts w:cs="Arial"/>
        </w:rPr>
        <w:t xml:space="preserve">4. </w:t>
      </w:r>
      <w:r w:rsidRPr="00F513ED">
        <w:rPr>
          <w:rFonts w:cs="Arial"/>
        </w:rPr>
        <w:tab/>
        <w:t xml:space="preserve">D’Agostino RB. Propensity score methods for bias reduction in the comparison of a treatment to a non-randomized control group. Stat Med 1998;17(19):2265–81. </w:t>
      </w:r>
    </w:p>
    <w:p w14:paraId="1821081D" w14:textId="77777777" w:rsidR="007C6E15" w:rsidRPr="00F513ED" w:rsidRDefault="007C6E15" w:rsidP="00547EE3">
      <w:pPr>
        <w:pStyle w:val="Bibliography"/>
        <w:rPr>
          <w:rFonts w:cs="Arial"/>
        </w:rPr>
      </w:pPr>
      <w:r w:rsidRPr="00F513ED">
        <w:rPr>
          <w:rFonts w:cs="Arial"/>
        </w:rPr>
        <w:t xml:space="preserve">5. </w:t>
      </w:r>
      <w:r w:rsidRPr="00F513ED">
        <w:rPr>
          <w:rFonts w:cs="Arial"/>
        </w:rPr>
        <w:tab/>
        <w:t xml:space="preserve">Austin PC. An Introduction to Propensity Score Methods for Reducing the Effects of Confounding in Observational Studies. Multivar Behav Res 2011;46(3):399–424. </w:t>
      </w:r>
    </w:p>
    <w:p w14:paraId="4640F210" w14:textId="77777777" w:rsidR="007C6E15" w:rsidRPr="00F513ED" w:rsidRDefault="007C6E15" w:rsidP="00547EE3">
      <w:pPr>
        <w:pStyle w:val="Bibliography"/>
        <w:rPr>
          <w:rFonts w:cs="Arial"/>
        </w:rPr>
      </w:pPr>
      <w:r w:rsidRPr="00F513ED">
        <w:rPr>
          <w:rFonts w:cs="Arial"/>
        </w:rPr>
        <w:t xml:space="preserve">6. </w:t>
      </w:r>
      <w:r w:rsidRPr="00F513ED">
        <w:rPr>
          <w:rFonts w:cs="Arial"/>
        </w:rPr>
        <w:tab/>
        <w:t xml:space="preserve">Austin PC. Optimal caliper widths for propensity-score matching when estimating differences in means and differences in proportions in observational studies. Pharm Stat 2011;10(2):150–61. </w:t>
      </w:r>
    </w:p>
    <w:p w14:paraId="44932C20" w14:textId="77777777" w:rsidR="007C6E15" w:rsidRPr="00AA30E3" w:rsidRDefault="007C6E15" w:rsidP="00547EE3">
      <w:pPr>
        <w:pStyle w:val="Bibliography"/>
        <w:rPr>
          <w:rFonts w:cs="Arial"/>
        </w:rPr>
      </w:pPr>
      <w:r w:rsidRPr="00AA30E3">
        <w:rPr>
          <w:rFonts w:cs="Arial"/>
        </w:rPr>
        <w:t xml:space="preserve">7. </w:t>
      </w:r>
      <w:r w:rsidRPr="00AA30E3">
        <w:rPr>
          <w:rFonts w:cs="Arial"/>
        </w:rPr>
        <w:tab/>
        <w:t xml:space="preserve">Austin PC. A comparison of 12 algorithms for matching on the propensity score. Stat Med 2014;33(6):1057–69. </w:t>
      </w:r>
    </w:p>
    <w:p w14:paraId="5D109912" w14:textId="77777777" w:rsidR="007C6E15" w:rsidRPr="00AA30E3" w:rsidRDefault="007C6E15" w:rsidP="00547EE3">
      <w:pPr>
        <w:pStyle w:val="Bibliography"/>
        <w:rPr>
          <w:rFonts w:cs="Arial"/>
        </w:rPr>
      </w:pPr>
      <w:r w:rsidRPr="00AA30E3">
        <w:rPr>
          <w:rFonts w:cs="Arial"/>
        </w:rPr>
        <w:t xml:space="preserve">8. </w:t>
      </w:r>
      <w:r w:rsidRPr="00AA30E3">
        <w:rPr>
          <w:rFonts w:cs="Arial"/>
        </w:rPr>
        <w:tab/>
        <w:t>Geronimus AT, Bound J, Neidert LJ. On the Validity of Using Census Geocode Characteristics to Proxy Individual Socioeconomic Characteristics [Internet]. National Bureau of Economic Research; 1995 [cited 2019 May 12]. Available from: http://www.nber.org/papers/t0189</w:t>
      </w:r>
    </w:p>
    <w:p w14:paraId="60CD3263" w14:textId="77777777" w:rsidR="007C6E15" w:rsidRPr="00AA30E3" w:rsidRDefault="007C6E15" w:rsidP="00547EE3">
      <w:pPr>
        <w:pStyle w:val="Bibliography"/>
        <w:rPr>
          <w:rFonts w:cs="Arial"/>
        </w:rPr>
      </w:pPr>
      <w:r w:rsidRPr="00AA30E3">
        <w:rPr>
          <w:rFonts w:cs="Arial"/>
        </w:rPr>
        <w:t xml:space="preserve">9. </w:t>
      </w:r>
      <w:r w:rsidRPr="00AA30E3">
        <w:rPr>
          <w:rFonts w:cs="Arial"/>
        </w:rPr>
        <w:tab/>
        <w:t xml:space="preserve">Krieger N. Overcoming the absence of socioeconomic data in medical records: validation and application of a census-based methodology. Am J Public Health 1992;82(5):703–10. </w:t>
      </w:r>
    </w:p>
    <w:p w14:paraId="3B12DA8E" w14:textId="77777777" w:rsidR="007C6E15" w:rsidRPr="00AA30E3" w:rsidRDefault="007C6E15" w:rsidP="00547EE3">
      <w:pPr>
        <w:pStyle w:val="Bibliography"/>
        <w:rPr>
          <w:rFonts w:cs="Arial"/>
        </w:rPr>
      </w:pPr>
      <w:r w:rsidRPr="00AA30E3">
        <w:rPr>
          <w:rFonts w:cs="Arial"/>
        </w:rPr>
        <w:t xml:space="preserve">10. </w:t>
      </w:r>
      <w:r w:rsidRPr="00AA30E3">
        <w:rPr>
          <w:rFonts w:cs="Arial"/>
        </w:rPr>
        <w:tab/>
        <w:t xml:space="preserve">Krieger N, Chen JT, Waterman PD, Soobader M-J, Subramanian SV, Carson R. Geocoding and monitoring of US socioeconomic inequalities in mortality and cancer incidence: does the choice of area-based measure and geographic level matter?: the Public Health Disparities Geocoding Project. Am J Epidemiol 2002;156(5):471–82. </w:t>
      </w:r>
    </w:p>
    <w:p w14:paraId="5D574437" w14:textId="77777777" w:rsidR="007C6E15" w:rsidRPr="00AA30E3" w:rsidRDefault="007C6E15" w:rsidP="00547EE3">
      <w:pPr>
        <w:pStyle w:val="Bibliography"/>
        <w:rPr>
          <w:rFonts w:cs="Arial"/>
        </w:rPr>
      </w:pPr>
      <w:r w:rsidRPr="00AA30E3">
        <w:rPr>
          <w:rFonts w:cs="Arial"/>
        </w:rPr>
        <w:t xml:space="preserve">11. </w:t>
      </w:r>
      <w:r w:rsidRPr="00AA30E3">
        <w:rPr>
          <w:rFonts w:cs="Arial"/>
        </w:rPr>
        <w:tab/>
        <w:t xml:space="preserve">Kwok RK, Yankaskas BC. The use of census data for determining race and education as SES indicators: a validation study. Ann Epidemiol 2001;11(3):171–7. </w:t>
      </w:r>
    </w:p>
    <w:p w14:paraId="77E0C885" w14:textId="77777777" w:rsidR="007C6E15" w:rsidRPr="00AA30E3" w:rsidRDefault="007C6E15" w:rsidP="00547EE3">
      <w:pPr>
        <w:pStyle w:val="Bibliography"/>
        <w:rPr>
          <w:rFonts w:cs="Arial"/>
        </w:rPr>
      </w:pPr>
      <w:r w:rsidRPr="00AA30E3">
        <w:rPr>
          <w:rFonts w:cs="Arial"/>
        </w:rPr>
        <w:t xml:space="preserve">12. </w:t>
      </w:r>
      <w:r w:rsidRPr="00AA30E3">
        <w:rPr>
          <w:rFonts w:cs="Arial"/>
        </w:rPr>
        <w:tab/>
        <w:t xml:space="preserve">Wharam JF, Graves AJ, Zhang F, Soumerai SB, Ross-Degnan D, Landon BE. Two-year trends in cancer screening among low socioeconomic status women in an HMO-based high-deductible health plan. J Gen Intern Med 2012;27(9):1112–9. </w:t>
      </w:r>
    </w:p>
    <w:p w14:paraId="05798EA8" w14:textId="77777777" w:rsidR="007C6E15" w:rsidRPr="00AA30E3" w:rsidRDefault="007C6E15" w:rsidP="00547EE3">
      <w:pPr>
        <w:pStyle w:val="Bibliography"/>
        <w:rPr>
          <w:rFonts w:cs="Arial"/>
        </w:rPr>
      </w:pPr>
      <w:r w:rsidRPr="00AA30E3">
        <w:rPr>
          <w:rFonts w:cs="Arial"/>
        </w:rPr>
        <w:t xml:space="preserve">13. </w:t>
      </w:r>
      <w:r w:rsidRPr="00AA30E3">
        <w:rPr>
          <w:rFonts w:cs="Arial"/>
        </w:rPr>
        <w:tab/>
        <w:t xml:space="preserve">Wharam JF, Zhang F, Landon BE, Soumerai SB, Ross-Degnan D. Low-socioeconomic-status enrollees in high-deductible plans reduced high-severity emergency care. Health Aff Proj Hope 2013;32(8):1398–406. </w:t>
      </w:r>
    </w:p>
    <w:p w14:paraId="23626BB8" w14:textId="77777777" w:rsidR="007C6E15" w:rsidRPr="00AA30E3" w:rsidRDefault="007C6E15" w:rsidP="00547EE3">
      <w:pPr>
        <w:pStyle w:val="Bibliography"/>
        <w:rPr>
          <w:rFonts w:cs="Arial"/>
        </w:rPr>
      </w:pPr>
      <w:r w:rsidRPr="00AA30E3">
        <w:rPr>
          <w:rFonts w:cs="Arial"/>
        </w:rPr>
        <w:t xml:space="preserve">14. </w:t>
      </w:r>
      <w:r w:rsidRPr="00AA30E3">
        <w:rPr>
          <w:rFonts w:cs="Arial"/>
        </w:rPr>
        <w:tab/>
        <w:t xml:space="preserve">Trivedi AN, Leyva B, Lee Y, Panagiotou OA, Dahabreh IJ. Elimination of Cost Sharing for Screening Mammography in Medicare Advantage Plans. N Engl J Med 2018;378(3):262–9. </w:t>
      </w:r>
    </w:p>
    <w:p w14:paraId="11CB3D86" w14:textId="77777777" w:rsidR="007C6E15" w:rsidRPr="00AA30E3" w:rsidRDefault="007C6E15" w:rsidP="00547EE3">
      <w:pPr>
        <w:pStyle w:val="Bibliography"/>
        <w:rPr>
          <w:rFonts w:cs="Arial"/>
        </w:rPr>
      </w:pPr>
      <w:r w:rsidRPr="00AA30E3">
        <w:rPr>
          <w:rFonts w:cs="Arial"/>
        </w:rPr>
        <w:t xml:space="preserve">15. </w:t>
      </w:r>
      <w:r w:rsidRPr="00AA30E3">
        <w:rPr>
          <w:rFonts w:cs="Arial"/>
        </w:rPr>
        <w:tab/>
        <w:t xml:space="preserve">Selby JV, Fireman BH, Swain BE. Effect of a copayment on use of the emergency department in a health maintenance organization. N Engl J Med 1996;334(10):635–41. </w:t>
      </w:r>
    </w:p>
    <w:p w14:paraId="3D0402B0" w14:textId="77777777" w:rsidR="007C6E15" w:rsidRPr="00AA30E3" w:rsidRDefault="007C6E15" w:rsidP="00547EE3">
      <w:pPr>
        <w:pStyle w:val="Bibliography"/>
        <w:rPr>
          <w:rFonts w:cs="Arial"/>
        </w:rPr>
      </w:pPr>
      <w:r w:rsidRPr="00AA30E3">
        <w:rPr>
          <w:rFonts w:cs="Arial"/>
        </w:rPr>
        <w:t xml:space="preserve">16. </w:t>
      </w:r>
      <w:r w:rsidRPr="00AA30E3">
        <w:rPr>
          <w:rFonts w:cs="Arial"/>
        </w:rPr>
        <w:tab/>
        <w:t>US Census Bureau. American Community Survey (ACS) [Internet]. [cited 2019 May 12];Available from: https://www.census.gov/programs-surveys/acs</w:t>
      </w:r>
    </w:p>
    <w:p w14:paraId="5DE7FEF0" w14:textId="77777777" w:rsidR="007C6E15" w:rsidRPr="00AA30E3" w:rsidRDefault="007C6E15" w:rsidP="00547EE3">
      <w:pPr>
        <w:pStyle w:val="Bibliography"/>
        <w:rPr>
          <w:rFonts w:cs="Arial"/>
        </w:rPr>
      </w:pPr>
      <w:r w:rsidRPr="00AA30E3">
        <w:rPr>
          <w:rFonts w:cs="Arial"/>
        </w:rPr>
        <w:lastRenderedPageBreak/>
        <w:t xml:space="preserve">17. </w:t>
      </w:r>
      <w:r w:rsidRPr="00AA30E3">
        <w:rPr>
          <w:rFonts w:cs="Arial"/>
        </w:rPr>
        <w:tab/>
        <w:t xml:space="preserve">Krieger N, Chen JT, Waterman PD, Rehkopf DH, Subramanian SV. Race/ethnicity, gender, and monitoring socioeconomic gradients in health: a comparison of area-based socioeconomic measures—the public health disparities geocoding project. Am J Public Health 2003;93(10):1655–1671. </w:t>
      </w:r>
    </w:p>
    <w:p w14:paraId="282C37B2" w14:textId="77777777" w:rsidR="007C6E15" w:rsidRPr="00AA30E3" w:rsidRDefault="007C6E15" w:rsidP="00547EE3">
      <w:pPr>
        <w:pStyle w:val="Bibliography"/>
        <w:rPr>
          <w:rFonts w:cs="Arial"/>
        </w:rPr>
      </w:pPr>
      <w:r w:rsidRPr="00AA30E3">
        <w:rPr>
          <w:rFonts w:cs="Arial"/>
        </w:rPr>
        <w:t xml:space="preserve">18. </w:t>
      </w:r>
      <w:r w:rsidRPr="00AA30E3">
        <w:rPr>
          <w:rFonts w:cs="Arial"/>
        </w:rPr>
        <w:tab/>
        <w:t>U.S. Department of Health &amp; Human Services. Poverty Guidelines [Internet]. ASPE. 2015 [cited 2019 May 12];Available from: https://aspe.hhs.gov/poverty-guidelines</w:t>
      </w:r>
    </w:p>
    <w:p w14:paraId="436180D4" w14:textId="77777777" w:rsidR="007C6E15" w:rsidRPr="00AA30E3" w:rsidRDefault="007C6E15" w:rsidP="00547EE3">
      <w:pPr>
        <w:pStyle w:val="Bibliography"/>
        <w:rPr>
          <w:rFonts w:cs="Arial"/>
        </w:rPr>
      </w:pPr>
      <w:r w:rsidRPr="00AA30E3">
        <w:rPr>
          <w:rFonts w:cs="Arial"/>
        </w:rPr>
        <w:t xml:space="preserve">19. </w:t>
      </w:r>
      <w:r w:rsidRPr="00AA30E3">
        <w:rPr>
          <w:rFonts w:cs="Arial"/>
        </w:rPr>
        <w:tab/>
        <w:t>Ethnic Technologies Frequently Asked Questions [Internet]. Ethn. Technol. [cited 2019 Aug 4];Available from: https://www.ethnictechnologies.com/faq</w:t>
      </w:r>
    </w:p>
    <w:p w14:paraId="0E9824B4" w14:textId="77777777" w:rsidR="007C6E15" w:rsidRPr="00AA30E3" w:rsidRDefault="007C6E15" w:rsidP="00547EE3">
      <w:pPr>
        <w:pStyle w:val="Bibliography"/>
        <w:rPr>
          <w:rFonts w:cs="Arial"/>
        </w:rPr>
      </w:pPr>
      <w:r w:rsidRPr="00AA30E3">
        <w:rPr>
          <w:rFonts w:cs="Arial"/>
        </w:rPr>
        <w:t xml:space="preserve">20. </w:t>
      </w:r>
      <w:r w:rsidRPr="00AA30E3">
        <w:rPr>
          <w:rFonts w:cs="Arial"/>
        </w:rPr>
        <w:tab/>
        <w:t xml:space="preserve">Fiscella K, Fremont AM. Use of geocoding and surname analysis to estimate race and ethnicity. Health Serv Res 2006;41(4 Pt 1):1482–500. </w:t>
      </w:r>
    </w:p>
    <w:p w14:paraId="7DC4BF24" w14:textId="77777777" w:rsidR="007C6E15" w:rsidRPr="00AA30E3" w:rsidRDefault="007C6E15" w:rsidP="00547EE3">
      <w:pPr>
        <w:pStyle w:val="Bibliography"/>
        <w:rPr>
          <w:rFonts w:cs="Arial"/>
        </w:rPr>
      </w:pPr>
      <w:r w:rsidRPr="00AA30E3">
        <w:rPr>
          <w:rFonts w:cs="Arial"/>
        </w:rPr>
        <w:t xml:space="preserve">21. </w:t>
      </w:r>
      <w:r w:rsidRPr="00AA30E3">
        <w:rPr>
          <w:rFonts w:cs="Arial"/>
        </w:rPr>
        <w:tab/>
        <w:t xml:space="preserve">Elliott MN, Fremont A, Morrison PA, Pantoja P, Lurie N. A new method for estimating race/ethnicity and associated disparities where administrative records lack self-reported race/ethnicity. Health Serv Res 2008;43(5 Pt 1):1722–36. </w:t>
      </w:r>
    </w:p>
    <w:p w14:paraId="7FE5B94B" w14:textId="77777777" w:rsidR="007C6E15" w:rsidRPr="00AA30E3" w:rsidRDefault="007C6E15" w:rsidP="00547EE3">
      <w:pPr>
        <w:pStyle w:val="Bibliography"/>
        <w:rPr>
          <w:rFonts w:cs="Arial"/>
        </w:rPr>
      </w:pPr>
      <w:r w:rsidRPr="00AA30E3">
        <w:rPr>
          <w:rFonts w:cs="Arial"/>
        </w:rPr>
        <w:t xml:space="preserve">22. </w:t>
      </w:r>
      <w:r w:rsidRPr="00AA30E3">
        <w:rPr>
          <w:rFonts w:cs="Arial"/>
        </w:rPr>
        <w:tab/>
        <w:t>Johns Hopkins ACG® System [Internet]. [cited 2019 May 12];Available from: https://www.hopkinsacg.org/</w:t>
      </w:r>
    </w:p>
    <w:p w14:paraId="2B025DC5" w14:textId="77777777" w:rsidR="007C6E15" w:rsidRPr="00AA30E3" w:rsidRDefault="007C6E15" w:rsidP="00547EE3">
      <w:pPr>
        <w:pStyle w:val="Bibliography"/>
        <w:rPr>
          <w:rFonts w:cs="Arial"/>
        </w:rPr>
      </w:pPr>
      <w:r w:rsidRPr="00AA30E3">
        <w:rPr>
          <w:rFonts w:cs="Arial"/>
        </w:rPr>
        <w:t xml:space="preserve">23. </w:t>
      </w:r>
      <w:r w:rsidRPr="00AA30E3">
        <w:rPr>
          <w:rFonts w:cs="Arial"/>
        </w:rPr>
        <w:tab/>
        <w:t xml:space="preserve">Weiner JP, Starfield BH, Lieberman RN. Johns Hopkins Ambulatory Care Groups (ACGs). A case-mix system for UR, QA and capitation adjustment. HMO Pract HMO Group 1992;6(1):13–9. </w:t>
      </w:r>
    </w:p>
    <w:p w14:paraId="14D41B39" w14:textId="77777777" w:rsidR="007C6E15" w:rsidRPr="00AA30E3" w:rsidRDefault="007C6E15" w:rsidP="00547EE3">
      <w:pPr>
        <w:pStyle w:val="Bibliography"/>
        <w:rPr>
          <w:rFonts w:cs="Arial"/>
        </w:rPr>
      </w:pPr>
      <w:r w:rsidRPr="00AA30E3">
        <w:rPr>
          <w:rFonts w:cs="Arial"/>
        </w:rPr>
        <w:t xml:space="preserve">24. </w:t>
      </w:r>
      <w:r w:rsidRPr="00AA30E3">
        <w:rPr>
          <w:rFonts w:cs="Arial"/>
        </w:rPr>
        <w:tab/>
        <w:t xml:space="preserve">Reid RJ, Roos NP, MacWilliam L, Frohlich N, Black C. Assessing population health care need using a claims-based ACG morbidity measure: a validation analysis in the Province of Manitoba. Health Serv Res 2002;37(5):1345–64. </w:t>
      </w:r>
    </w:p>
    <w:p w14:paraId="28250637" w14:textId="77777777" w:rsidR="007C6E15" w:rsidRPr="00AA30E3" w:rsidRDefault="007C6E15" w:rsidP="00547EE3">
      <w:pPr>
        <w:pStyle w:val="Bibliography"/>
        <w:rPr>
          <w:rFonts w:cs="Arial"/>
        </w:rPr>
      </w:pPr>
      <w:r w:rsidRPr="00AA30E3">
        <w:rPr>
          <w:rFonts w:cs="Arial"/>
        </w:rPr>
        <w:t xml:space="preserve">25. </w:t>
      </w:r>
      <w:r w:rsidRPr="00AA30E3">
        <w:rPr>
          <w:rFonts w:cs="Arial"/>
        </w:rPr>
        <w:tab/>
        <w:t xml:space="preserve">Weiner JP, Starfield BH, Steinwachs DM, Mumford LM. Development and application of a population-oriented measure of ambulatory care case-mix. Med Care 1991;29(5):452–72. </w:t>
      </w:r>
    </w:p>
    <w:p w14:paraId="2F6C41C6" w14:textId="77777777" w:rsidR="007C6E15" w:rsidRPr="00AA30E3" w:rsidRDefault="007C6E15" w:rsidP="00547EE3">
      <w:pPr>
        <w:pStyle w:val="Bibliography"/>
        <w:rPr>
          <w:rFonts w:cs="Arial"/>
        </w:rPr>
      </w:pPr>
      <w:r w:rsidRPr="00AA30E3">
        <w:rPr>
          <w:rFonts w:cs="Arial"/>
        </w:rPr>
        <w:t xml:space="preserve">26. </w:t>
      </w:r>
      <w:r w:rsidRPr="00AA30E3">
        <w:rPr>
          <w:rFonts w:cs="Arial"/>
        </w:rPr>
        <w:tab/>
        <w:t xml:space="preserve">Orueta JF, Lopez-De-Munain J, Báez K, Aiarzaguena JM, Aranguren JI, Pedrero E. Application of the ambulatory care groups in the primary care of a European national health care system: does it work? Med Care 1999;37(3):238–48. </w:t>
      </w:r>
    </w:p>
    <w:p w14:paraId="672421F1" w14:textId="77777777" w:rsidR="007C6E15" w:rsidRPr="00AA30E3" w:rsidRDefault="007C6E15" w:rsidP="00547EE3">
      <w:pPr>
        <w:pStyle w:val="Bibliography"/>
        <w:rPr>
          <w:rFonts w:cs="Arial"/>
        </w:rPr>
      </w:pPr>
      <w:r w:rsidRPr="00AA30E3">
        <w:rPr>
          <w:rFonts w:cs="Arial"/>
        </w:rPr>
        <w:t xml:space="preserve">27. </w:t>
      </w:r>
      <w:r w:rsidRPr="00AA30E3">
        <w:rPr>
          <w:rFonts w:cs="Arial"/>
        </w:rPr>
        <w:tab/>
        <w:t xml:space="preserve">Reid R, MacWilliam L, Verhulst L, Roos N, Atkinson M. Performance of the ACG Case-Mix System in Two Canadian Provinces. Med Care 2001;39(1):86–99. </w:t>
      </w:r>
    </w:p>
    <w:p w14:paraId="50FBF63A" w14:textId="551A1C65" w:rsidR="006A3A80" w:rsidRDefault="00D41B24" w:rsidP="00D41B24">
      <w:r>
        <w:fldChar w:fldCharType="end"/>
      </w:r>
    </w:p>
    <w:sectPr w:rsidR="006A3A80" w:rsidSect="007604B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5632" w14:textId="77777777" w:rsidR="00DA17DD" w:rsidRDefault="00DA17DD" w:rsidP="000A27C3">
      <w:pPr>
        <w:spacing w:after="0" w:line="240" w:lineRule="auto"/>
      </w:pPr>
      <w:r>
        <w:separator/>
      </w:r>
    </w:p>
  </w:endnote>
  <w:endnote w:type="continuationSeparator" w:id="0">
    <w:p w14:paraId="25E1961C" w14:textId="77777777" w:rsidR="00DA17DD" w:rsidRDefault="00DA17DD" w:rsidP="000A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FC4A8" w14:textId="77777777" w:rsidR="00DA17DD" w:rsidRDefault="00DA17DD" w:rsidP="000A27C3">
      <w:pPr>
        <w:spacing w:after="0" w:line="240" w:lineRule="auto"/>
      </w:pPr>
      <w:r>
        <w:separator/>
      </w:r>
    </w:p>
  </w:footnote>
  <w:footnote w:type="continuationSeparator" w:id="0">
    <w:p w14:paraId="20ABDFC2" w14:textId="77777777" w:rsidR="00DA17DD" w:rsidRDefault="00DA17DD" w:rsidP="000A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BE0"/>
    <w:multiLevelType w:val="hybridMultilevel"/>
    <w:tmpl w:val="1108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3443"/>
    <w:multiLevelType w:val="hybridMultilevel"/>
    <w:tmpl w:val="4E6E2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F23659"/>
    <w:multiLevelType w:val="hybridMultilevel"/>
    <w:tmpl w:val="5B3470D8"/>
    <w:lvl w:ilvl="0" w:tplc="99B4F70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573EC"/>
    <w:multiLevelType w:val="hybridMultilevel"/>
    <w:tmpl w:val="11C2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40894"/>
    <w:multiLevelType w:val="hybridMultilevel"/>
    <w:tmpl w:val="950A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24"/>
    <w:rsid w:val="00041900"/>
    <w:rsid w:val="00095A9D"/>
    <w:rsid w:val="00097626"/>
    <w:rsid w:val="000A18CC"/>
    <w:rsid w:val="000A27C3"/>
    <w:rsid w:val="000A6F82"/>
    <w:rsid w:val="000B3A2D"/>
    <w:rsid w:val="000C06BD"/>
    <w:rsid w:val="000D5FB3"/>
    <w:rsid w:val="000D6459"/>
    <w:rsid w:val="00100BBC"/>
    <w:rsid w:val="00147408"/>
    <w:rsid w:val="00150271"/>
    <w:rsid w:val="00184F5B"/>
    <w:rsid w:val="00191666"/>
    <w:rsid w:val="00196D5C"/>
    <w:rsid w:val="001A43F2"/>
    <w:rsid w:val="001C474A"/>
    <w:rsid w:val="001D116C"/>
    <w:rsid w:val="001E04CC"/>
    <w:rsid w:val="001E60D5"/>
    <w:rsid w:val="001E6853"/>
    <w:rsid w:val="00203876"/>
    <w:rsid w:val="00203C73"/>
    <w:rsid w:val="002048B5"/>
    <w:rsid w:val="002151C8"/>
    <w:rsid w:val="0024130D"/>
    <w:rsid w:val="00244009"/>
    <w:rsid w:val="002662A4"/>
    <w:rsid w:val="00286829"/>
    <w:rsid w:val="002A4495"/>
    <w:rsid w:val="002B18D9"/>
    <w:rsid w:val="002B6CF5"/>
    <w:rsid w:val="002C1850"/>
    <w:rsid w:val="002C7AF9"/>
    <w:rsid w:val="002C7DF3"/>
    <w:rsid w:val="002D19FD"/>
    <w:rsid w:val="002D2458"/>
    <w:rsid w:val="002D58CC"/>
    <w:rsid w:val="002E056E"/>
    <w:rsid w:val="003025EB"/>
    <w:rsid w:val="0031241C"/>
    <w:rsid w:val="00343D40"/>
    <w:rsid w:val="00366442"/>
    <w:rsid w:val="00374B39"/>
    <w:rsid w:val="00375563"/>
    <w:rsid w:val="003A4954"/>
    <w:rsid w:val="003B602E"/>
    <w:rsid w:val="003D421C"/>
    <w:rsid w:val="003D58B4"/>
    <w:rsid w:val="00407511"/>
    <w:rsid w:val="00415CD5"/>
    <w:rsid w:val="00433449"/>
    <w:rsid w:val="004337FD"/>
    <w:rsid w:val="00434583"/>
    <w:rsid w:val="00456920"/>
    <w:rsid w:val="00457816"/>
    <w:rsid w:val="004651F3"/>
    <w:rsid w:val="0047121B"/>
    <w:rsid w:val="00482196"/>
    <w:rsid w:val="004A781C"/>
    <w:rsid w:val="004B2B86"/>
    <w:rsid w:val="004B7C9E"/>
    <w:rsid w:val="004C7E66"/>
    <w:rsid w:val="004D78CE"/>
    <w:rsid w:val="004E1623"/>
    <w:rsid w:val="004F34C6"/>
    <w:rsid w:val="004F58B8"/>
    <w:rsid w:val="004F6717"/>
    <w:rsid w:val="00506181"/>
    <w:rsid w:val="005114AA"/>
    <w:rsid w:val="0052738D"/>
    <w:rsid w:val="00535CA0"/>
    <w:rsid w:val="005444DB"/>
    <w:rsid w:val="00547EE3"/>
    <w:rsid w:val="00556C97"/>
    <w:rsid w:val="00565557"/>
    <w:rsid w:val="00586F88"/>
    <w:rsid w:val="005B0DF6"/>
    <w:rsid w:val="005C61AC"/>
    <w:rsid w:val="005D23B1"/>
    <w:rsid w:val="005F3FE0"/>
    <w:rsid w:val="00600436"/>
    <w:rsid w:val="00600E9A"/>
    <w:rsid w:val="006028DA"/>
    <w:rsid w:val="00605C91"/>
    <w:rsid w:val="00620512"/>
    <w:rsid w:val="0063243A"/>
    <w:rsid w:val="006453CE"/>
    <w:rsid w:val="00662918"/>
    <w:rsid w:val="006645F3"/>
    <w:rsid w:val="00696C1C"/>
    <w:rsid w:val="006A3A80"/>
    <w:rsid w:val="006A48C7"/>
    <w:rsid w:val="006C0BD4"/>
    <w:rsid w:val="006C0FA6"/>
    <w:rsid w:val="006C5A87"/>
    <w:rsid w:val="006C5AED"/>
    <w:rsid w:val="006C62A7"/>
    <w:rsid w:val="006E07CC"/>
    <w:rsid w:val="006E3E86"/>
    <w:rsid w:val="006E66AC"/>
    <w:rsid w:val="006F6F29"/>
    <w:rsid w:val="00702816"/>
    <w:rsid w:val="00711477"/>
    <w:rsid w:val="00711A19"/>
    <w:rsid w:val="00712DBD"/>
    <w:rsid w:val="00726A2D"/>
    <w:rsid w:val="00727DAB"/>
    <w:rsid w:val="00740B9A"/>
    <w:rsid w:val="00750788"/>
    <w:rsid w:val="00753C13"/>
    <w:rsid w:val="007604B7"/>
    <w:rsid w:val="00765CC4"/>
    <w:rsid w:val="007804B3"/>
    <w:rsid w:val="0078298E"/>
    <w:rsid w:val="007926D2"/>
    <w:rsid w:val="007928C1"/>
    <w:rsid w:val="00793E5E"/>
    <w:rsid w:val="007C3FA2"/>
    <w:rsid w:val="007C6E15"/>
    <w:rsid w:val="007D71FB"/>
    <w:rsid w:val="007E6648"/>
    <w:rsid w:val="007F6C08"/>
    <w:rsid w:val="008054BE"/>
    <w:rsid w:val="00813CF4"/>
    <w:rsid w:val="008216CE"/>
    <w:rsid w:val="0084707F"/>
    <w:rsid w:val="008527EA"/>
    <w:rsid w:val="00853E31"/>
    <w:rsid w:val="00863EE0"/>
    <w:rsid w:val="00870080"/>
    <w:rsid w:val="0089160D"/>
    <w:rsid w:val="008C4617"/>
    <w:rsid w:val="008C6138"/>
    <w:rsid w:val="008D778F"/>
    <w:rsid w:val="008F0374"/>
    <w:rsid w:val="008F4BEB"/>
    <w:rsid w:val="008F59BB"/>
    <w:rsid w:val="008F64F5"/>
    <w:rsid w:val="009172E9"/>
    <w:rsid w:val="009426E3"/>
    <w:rsid w:val="00964703"/>
    <w:rsid w:val="009774CE"/>
    <w:rsid w:val="00977D23"/>
    <w:rsid w:val="0098410D"/>
    <w:rsid w:val="00993A25"/>
    <w:rsid w:val="009A2121"/>
    <w:rsid w:val="009D6A25"/>
    <w:rsid w:val="009D6C90"/>
    <w:rsid w:val="009E275A"/>
    <w:rsid w:val="00A109CB"/>
    <w:rsid w:val="00A24297"/>
    <w:rsid w:val="00A824C5"/>
    <w:rsid w:val="00A91D13"/>
    <w:rsid w:val="00AA30E3"/>
    <w:rsid w:val="00AB0018"/>
    <w:rsid w:val="00AB0136"/>
    <w:rsid w:val="00AB2273"/>
    <w:rsid w:val="00AD2BA1"/>
    <w:rsid w:val="00B0482B"/>
    <w:rsid w:val="00B10CD1"/>
    <w:rsid w:val="00B1596F"/>
    <w:rsid w:val="00B27652"/>
    <w:rsid w:val="00B57489"/>
    <w:rsid w:val="00BA02FD"/>
    <w:rsid w:val="00BA2938"/>
    <w:rsid w:val="00BA68A4"/>
    <w:rsid w:val="00BB3DD5"/>
    <w:rsid w:val="00BB4923"/>
    <w:rsid w:val="00BB5A5C"/>
    <w:rsid w:val="00BE3188"/>
    <w:rsid w:val="00BE4789"/>
    <w:rsid w:val="00BF31E4"/>
    <w:rsid w:val="00BF4433"/>
    <w:rsid w:val="00C152C1"/>
    <w:rsid w:val="00C179D6"/>
    <w:rsid w:val="00C2204F"/>
    <w:rsid w:val="00C2793A"/>
    <w:rsid w:val="00C27F24"/>
    <w:rsid w:val="00C36139"/>
    <w:rsid w:val="00C41753"/>
    <w:rsid w:val="00C52877"/>
    <w:rsid w:val="00C80967"/>
    <w:rsid w:val="00C87C29"/>
    <w:rsid w:val="00CA0538"/>
    <w:rsid w:val="00CF121F"/>
    <w:rsid w:val="00CF3944"/>
    <w:rsid w:val="00D05AFD"/>
    <w:rsid w:val="00D16AF8"/>
    <w:rsid w:val="00D27B36"/>
    <w:rsid w:val="00D33FEA"/>
    <w:rsid w:val="00D41B24"/>
    <w:rsid w:val="00D43BDA"/>
    <w:rsid w:val="00D92482"/>
    <w:rsid w:val="00D92AC9"/>
    <w:rsid w:val="00D9458F"/>
    <w:rsid w:val="00D979C5"/>
    <w:rsid w:val="00DA00F6"/>
    <w:rsid w:val="00DA17DD"/>
    <w:rsid w:val="00DA3CA7"/>
    <w:rsid w:val="00DB6187"/>
    <w:rsid w:val="00DC5F95"/>
    <w:rsid w:val="00DD3660"/>
    <w:rsid w:val="00DD760B"/>
    <w:rsid w:val="00DF070D"/>
    <w:rsid w:val="00DF5242"/>
    <w:rsid w:val="00E046B7"/>
    <w:rsid w:val="00E12A35"/>
    <w:rsid w:val="00E17DF0"/>
    <w:rsid w:val="00E507CF"/>
    <w:rsid w:val="00E520A6"/>
    <w:rsid w:val="00E55B6A"/>
    <w:rsid w:val="00E66A49"/>
    <w:rsid w:val="00E83EDC"/>
    <w:rsid w:val="00E85A06"/>
    <w:rsid w:val="00EA0D3A"/>
    <w:rsid w:val="00EB1A24"/>
    <w:rsid w:val="00EB2078"/>
    <w:rsid w:val="00EB3D16"/>
    <w:rsid w:val="00EE5FD0"/>
    <w:rsid w:val="00EF61D9"/>
    <w:rsid w:val="00F13ECB"/>
    <w:rsid w:val="00F34864"/>
    <w:rsid w:val="00F513ED"/>
    <w:rsid w:val="00F56149"/>
    <w:rsid w:val="00F66DDA"/>
    <w:rsid w:val="00F76375"/>
    <w:rsid w:val="00F776D6"/>
    <w:rsid w:val="00F806A9"/>
    <w:rsid w:val="00F85D8B"/>
    <w:rsid w:val="00F87809"/>
    <w:rsid w:val="00F90D48"/>
    <w:rsid w:val="00F920BC"/>
    <w:rsid w:val="00F9242F"/>
    <w:rsid w:val="00FA2D89"/>
    <w:rsid w:val="00FD52F3"/>
    <w:rsid w:val="00FD5E1A"/>
    <w:rsid w:val="00FE4B64"/>
    <w:rsid w:val="00FF096A"/>
    <w:rsid w:val="00FF5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1657"/>
  <w15:chartTrackingRefBased/>
  <w15:docId w15:val="{EF6A5B8B-F70E-4E24-8BD2-CEB3A5EA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F24"/>
    <w:pPr>
      <w:spacing w:after="120" w:line="480" w:lineRule="auto"/>
    </w:pPr>
    <w:rPr>
      <w:rFonts w:ascii="Arial" w:eastAsiaTheme="minorEastAsia" w:hAnsi="Arial"/>
    </w:rPr>
  </w:style>
  <w:style w:type="paragraph" w:styleId="Heading1">
    <w:name w:val="heading 1"/>
    <w:basedOn w:val="Normal"/>
    <w:next w:val="Normal"/>
    <w:link w:val="Heading1Char"/>
    <w:uiPriority w:val="9"/>
    <w:qFormat/>
    <w:rsid w:val="0031241C"/>
    <w:pPr>
      <w:spacing w:before="180"/>
      <w:outlineLvl w:val="0"/>
    </w:pPr>
    <w:rPr>
      <w:b/>
    </w:rPr>
  </w:style>
  <w:style w:type="paragraph" w:styleId="Heading2">
    <w:name w:val="heading 2"/>
    <w:basedOn w:val="Normal"/>
    <w:next w:val="Normal"/>
    <w:link w:val="Heading2Char"/>
    <w:uiPriority w:val="9"/>
    <w:unhideWhenUsed/>
    <w:qFormat/>
    <w:rsid w:val="00DA00F6"/>
    <w:pPr>
      <w:autoSpaceDE w:val="0"/>
      <w:autoSpaceDN w:val="0"/>
      <w:adjustRightInd w:val="0"/>
      <w:outlineLvl w:val="1"/>
    </w:pPr>
    <w:rPr>
      <w:rFonts w:cs="Arial"/>
      <w:bCs/>
      <w:u w:val="single"/>
    </w:rPr>
  </w:style>
  <w:style w:type="paragraph" w:styleId="Heading3">
    <w:name w:val="heading 3"/>
    <w:basedOn w:val="Heading2"/>
    <w:next w:val="Normal"/>
    <w:link w:val="Heading3Char"/>
    <w:uiPriority w:val="9"/>
    <w:unhideWhenUsed/>
    <w:qFormat/>
    <w:rsid w:val="00753C13"/>
    <w:pPr>
      <w:numPr>
        <w:numId w:val="5"/>
      </w:numPr>
      <w:spacing w:before="120"/>
      <w:ind w:left="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0A27C3"/>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uiPriority w:val="99"/>
    <w:rsid w:val="000A27C3"/>
    <w:rPr>
      <w:color w:val="FF3300"/>
      <w:u w:val="single"/>
    </w:rPr>
  </w:style>
  <w:style w:type="character" w:styleId="CommentReference">
    <w:name w:val="annotation reference"/>
    <w:basedOn w:val="DefaultParagraphFont"/>
    <w:uiPriority w:val="99"/>
    <w:semiHidden/>
    <w:unhideWhenUsed/>
    <w:rsid w:val="000A27C3"/>
    <w:rPr>
      <w:sz w:val="16"/>
      <w:szCs w:val="16"/>
    </w:rPr>
  </w:style>
  <w:style w:type="paragraph" w:styleId="CommentText">
    <w:name w:val="annotation text"/>
    <w:basedOn w:val="Normal"/>
    <w:link w:val="CommentTextChar"/>
    <w:uiPriority w:val="99"/>
    <w:semiHidden/>
    <w:unhideWhenUsed/>
    <w:rsid w:val="000A27C3"/>
    <w:pPr>
      <w:spacing w:line="240" w:lineRule="auto"/>
    </w:pPr>
    <w:rPr>
      <w:sz w:val="20"/>
      <w:szCs w:val="20"/>
    </w:rPr>
  </w:style>
  <w:style w:type="character" w:customStyle="1" w:styleId="CommentTextChar">
    <w:name w:val="Comment Text Char"/>
    <w:basedOn w:val="DefaultParagraphFont"/>
    <w:link w:val="CommentText"/>
    <w:uiPriority w:val="99"/>
    <w:semiHidden/>
    <w:rsid w:val="000A27C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0A27C3"/>
    <w:rPr>
      <w:b/>
      <w:bCs/>
    </w:rPr>
  </w:style>
  <w:style w:type="character" w:customStyle="1" w:styleId="CommentSubjectChar">
    <w:name w:val="Comment Subject Char"/>
    <w:basedOn w:val="CommentTextChar"/>
    <w:link w:val="CommentSubject"/>
    <w:uiPriority w:val="99"/>
    <w:semiHidden/>
    <w:rsid w:val="000A27C3"/>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0A2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C3"/>
    <w:rPr>
      <w:rFonts w:ascii="Segoe UI" w:eastAsiaTheme="minorEastAsia" w:hAnsi="Segoe UI" w:cs="Segoe UI"/>
      <w:sz w:val="18"/>
      <w:szCs w:val="18"/>
    </w:rPr>
  </w:style>
  <w:style w:type="paragraph" w:styleId="Header">
    <w:name w:val="header"/>
    <w:basedOn w:val="Normal"/>
    <w:link w:val="HeaderChar"/>
    <w:uiPriority w:val="99"/>
    <w:unhideWhenUsed/>
    <w:rsid w:val="000A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C3"/>
    <w:rPr>
      <w:rFonts w:ascii="Arial" w:eastAsiaTheme="minorEastAsia" w:hAnsi="Arial"/>
    </w:rPr>
  </w:style>
  <w:style w:type="paragraph" w:styleId="Footer">
    <w:name w:val="footer"/>
    <w:basedOn w:val="Normal"/>
    <w:link w:val="FooterChar"/>
    <w:uiPriority w:val="99"/>
    <w:unhideWhenUsed/>
    <w:rsid w:val="000A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C3"/>
    <w:rPr>
      <w:rFonts w:ascii="Arial" w:eastAsiaTheme="minorEastAsia" w:hAnsi="Arial"/>
    </w:rPr>
  </w:style>
  <w:style w:type="paragraph" w:styleId="ListParagraph">
    <w:name w:val="List Paragraph"/>
    <w:basedOn w:val="Normal"/>
    <w:link w:val="ListParagraphChar"/>
    <w:uiPriority w:val="34"/>
    <w:qFormat/>
    <w:rsid w:val="00DA00F6"/>
    <w:pPr>
      <w:ind w:left="720"/>
      <w:contextualSpacing/>
    </w:pPr>
  </w:style>
  <w:style w:type="character" w:styleId="Strong">
    <w:name w:val="Strong"/>
    <w:qFormat/>
    <w:rsid w:val="00DA00F6"/>
    <w:rPr>
      <w:b/>
      <w:bCs/>
    </w:rPr>
  </w:style>
  <w:style w:type="paragraph" w:styleId="Title">
    <w:name w:val="Title"/>
    <w:basedOn w:val="Normal"/>
    <w:next w:val="Normal"/>
    <w:link w:val="TitleChar"/>
    <w:uiPriority w:val="10"/>
    <w:qFormat/>
    <w:rsid w:val="00DA00F6"/>
    <w:rPr>
      <w:b/>
    </w:rPr>
  </w:style>
  <w:style w:type="character" w:customStyle="1" w:styleId="TitleChar">
    <w:name w:val="Title Char"/>
    <w:basedOn w:val="DefaultParagraphFont"/>
    <w:link w:val="Title"/>
    <w:uiPriority w:val="10"/>
    <w:rsid w:val="00DA00F6"/>
    <w:rPr>
      <w:rFonts w:ascii="Arial" w:eastAsiaTheme="minorEastAsia" w:hAnsi="Arial"/>
      <w:b/>
    </w:rPr>
  </w:style>
  <w:style w:type="character" w:customStyle="1" w:styleId="Heading1Char">
    <w:name w:val="Heading 1 Char"/>
    <w:basedOn w:val="DefaultParagraphFont"/>
    <w:link w:val="Heading1"/>
    <w:uiPriority w:val="9"/>
    <w:rsid w:val="0031241C"/>
    <w:rPr>
      <w:rFonts w:ascii="Arial" w:eastAsiaTheme="minorEastAsia" w:hAnsi="Arial"/>
      <w:b/>
    </w:rPr>
  </w:style>
  <w:style w:type="character" w:customStyle="1" w:styleId="Heading2Char">
    <w:name w:val="Heading 2 Char"/>
    <w:basedOn w:val="DefaultParagraphFont"/>
    <w:link w:val="Heading2"/>
    <w:uiPriority w:val="9"/>
    <w:rsid w:val="00DA00F6"/>
    <w:rPr>
      <w:rFonts w:ascii="Arial" w:eastAsiaTheme="minorEastAsia" w:hAnsi="Arial" w:cs="Arial"/>
      <w:bCs/>
      <w:u w:val="single"/>
    </w:rPr>
  </w:style>
  <w:style w:type="paragraph" w:styleId="Bibliography">
    <w:name w:val="Bibliography"/>
    <w:basedOn w:val="Normal"/>
    <w:next w:val="Normal"/>
    <w:uiPriority w:val="37"/>
    <w:unhideWhenUsed/>
    <w:rsid w:val="008F64F5"/>
    <w:pPr>
      <w:tabs>
        <w:tab w:val="left" w:pos="504"/>
      </w:tabs>
      <w:spacing w:after="240" w:line="240" w:lineRule="auto"/>
      <w:ind w:left="504" w:hanging="504"/>
    </w:pPr>
  </w:style>
  <w:style w:type="character" w:customStyle="1" w:styleId="ListParagraphChar">
    <w:name w:val="List Paragraph Char"/>
    <w:basedOn w:val="DefaultParagraphFont"/>
    <w:link w:val="ListParagraph"/>
    <w:uiPriority w:val="34"/>
    <w:locked/>
    <w:rsid w:val="00E66A49"/>
    <w:rPr>
      <w:rFonts w:ascii="Arial" w:eastAsiaTheme="minorEastAsia" w:hAnsi="Arial"/>
    </w:rPr>
  </w:style>
  <w:style w:type="character" w:customStyle="1" w:styleId="Heading3Char">
    <w:name w:val="Heading 3 Char"/>
    <w:basedOn w:val="DefaultParagraphFont"/>
    <w:link w:val="Heading3"/>
    <w:uiPriority w:val="9"/>
    <w:rsid w:val="00753C13"/>
    <w:rPr>
      <w:rFonts w:ascii="Arial" w:eastAsiaTheme="minorEastAsia" w:hAnsi="Arial" w:cs="Arial"/>
      <w:bCs/>
      <w:u w:val="single"/>
    </w:rPr>
  </w:style>
  <w:style w:type="paragraph" w:styleId="HTMLPreformatted">
    <w:name w:val="HTML Preformatted"/>
    <w:basedOn w:val="Normal"/>
    <w:link w:val="HTMLPreformattedChar"/>
    <w:uiPriority w:val="99"/>
    <w:semiHidden/>
    <w:unhideWhenUsed/>
    <w:rsid w:val="00302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25EB"/>
    <w:rPr>
      <w:rFonts w:ascii="Courier New" w:eastAsia="Times New Roman" w:hAnsi="Courier New" w:cs="Courier New"/>
      <w:sz w:val="20"/>
      <w:szCs w:val="20"/>
    </w:rPr>
  </w:style>
  <w:style w:type="table" w:styleId="TableGrid">
    <w:name w:val="Table Grid"/>
    <w:basedOn w:val="TableNormal"/>
    <w:rsid w:val="00EE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1D116C"/>
    <w:pPr>
      <w:spacing w:line="240" w:lineRule="auto"/>
    </w:pPr>
    <w:rPr>
      <w:rFonts w:cs="Arial"/>
      <w:noProof/>
    </w:rPr>
  </w:style>
  <w:style w:type="character" w:customStyle="1" w:styleId="EndNoteBibliographyChar">
    <w:name w:val="EndNote Bibliography Char"/>
    <w:basedOn w:val="DefaultParagraphFont"/>
    <w:link w:val="EndNoteBibliography"/>
    <w:rsid w:val="001D116C"/>
    <w:rPr>
      <w:rFonts w:ascii="Arial" w:eastAsiaTheme="minorEastAsia" w:hAnsi="Arial" w:cs="Arial"/>
      <w:noProof/>
    </w:rPr>
  </w:style>
  <w:style w:type="paragraph" w:styleId="Revision">
    <w:name w:val="Revision"/>
    <w:hidden/>
    <w:uiPriority w:val="99"/>
    <w:semiHidden/>
    <w:rsid w:val="00AA30E3"/>
    <w:pPr>
      <w:spacing w:after="0" w:line="240" w:lineRule="auto"/>
    </w:pPr>
    <w:rPr>
      <w:rFonts w:ascii="Arial" w:eastAsiaTheme="minorEastAsia"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8480">
      <w:bodyDiv w:val="1"/>
      <w:marLeft w:val="0"/>
      <w:marRight w:val="0"/>
      <w:marTop w:val="0"/>
      <w:marBottom w:val="0"/>
      <w:divBdr>
        <w:top w:val="none" w:sz="0" w:space="0" w:color="auto"/>
        <w:left w:val="none" w:sz="0" w:space="0" w:color="auto"/>
        <w:bottom w:val="none" w:sz="0" w:space="0" w:color="auto"/>
        <w:right w:val="none" w:sz="0" w:space="0" w:color="auto"/>
      </w:divBdr>
    </w:div>
    <w:div w:id="189950457">
      <w:bodyDiv w:val="1"/>
      <w:marLeft w:val="0"/>
      <w:marRight w:val="0"/>
      <w:marTop w:val="0"/>
      <w:marBottom w:val="0"/>
      <w:divBdr>
        <w:top w:val="none" w:sz="0" w:space="0" w:color="auto"/>
        <w:left w:val="none" w:sz="0" w:space="0" w:color="auto"/>
        <w:bottom w:val="none" w:sz="0" w:space="0" w:color="auto"/>
        <w:right w:val="none" w:sz="0" w:space="0" w:color="auto"/>
      </w:divBdr>
    </w:div>
    <w:div w:id="190075301">
      <w:bodyDiv w:val="1"/>
      <w:marLeft w:val="0"/>
      <w:marRight w:val="0"/>
      <w:marTop w:val="0"/>
      <w:marBottom w:val="0"/>
      <w:divBdr>
        <w:top w:val="none" w:sz="0" w:space="0" w:color="auto"/>
        <w:left w:val="none" w:sz="0" w:space="0" w:color="auto"/>
        <w:bottom w:val="none" w:sz="0" w:space="0" w:color="auto"/>
        <w:right w:val="none" w:sz="0" w:space="0" w:color="auto"/>
      </w:divBdr>
    </w:div>
    <w:div w:id="238296160">
      <w:bodyDiv w:val="1"/>
      <w:marLeft w:val="0"/>
      <w:marRight w:val="0"/>
      <w:marTop w:val="0"/>
      <w:marBottom w:val="0"/>
      <w:divBdr>
        <w:top w:val="none" w:sz="0" w:space="0" w:color="auto"/>
        <w:left w:val="none" w:sz="0" w:space="0" w:color="auto"/>
        <w:bottom w:val="none" w:sz="0" w:space="0" w:color="auto"/>
        <w:right w:val="none" w:sz="0" w:space="0" w:color="auto"/>
      </w:divBdr>
    </w:div>
    <w:div w:id="243031449">
      <w:bodyDiv w:val="1"/>
      <w:marLeft w:val="0"/>
      <w:marRight w:val="0"/>
      <w:marTop w:val="0"/>
      <w:marBottom w:val="0"/>
      <w:divBdr>
        <w:top w:val="none" w:sz="0" w:space="0" w:color="auto"/>
        <w:left w:val="none" w:sz="0" w:space="0" w:color="auto"/>
        <w:bottom w:val="none" w:sz="0" w:space="0" w:color="auto"/>
        <w:right w:val="none" w:sz="0" w:space="0" w:color="auto"/>
      </w:divBdr>
    </w:div>
    <w:div w:id="254948508">
      <w:bodyDiv w:val="1"/>
      <w:marLeft w:val="0"/>
      <w:marRight w:val="0"/>
      <w:marTop w:val="0"/>
      <w:marBottom w:val="0"/>
      <w:divBdr>
        <w:top w:val="none" w:sz="0" w:space="0" w:color="auto"/>
        <w:left w:val="none" w:sz="0" w:space="0" w:color="auto"/>
        <w:bottom w:val="none" w:sz="0" w:space="0" w:color="auto"/>
        <w:right w:val="none" w:sz="0" w:space="0" w:color="auto"/>
      </w:divBdr>
    </w:div>
    <w:div w:id="312830239">
      <w:bodyDiv w:val="1"/>
      <w:marLeft w:val="0"/>
      <w:marRight w:val="0"/>
      <w:marTop w:val="0"/>
      <w:marBottom w:val="0"/>
      <w:divBdr>
        <w:top w:val="none" w:sz="0" w:space="0" w:color="auto"/>
        <w:left w:val="none" w:sz="0" w:space="0" w:color="auto"/>
        <w:bottom w:val="none" w:sz="0" w:space="0" w:color="auto"/>
        <w:right w:val="none" w:sz="0" w:space="0" w:color="auto"/>
      </w:divBdr>
    </w:div>
    <w:div w:id="349576119">
      <w:bodyDiv w:val="1"/>
      <w:marLeft w:val="0"/>
      <w:marRight w:val="0"/>
      <w:marTop w:val="0"/>
      <w:marBottom w:val="0"/>
      <w:divBdr>
        <w:top w:val="none" w:sz="0" w:space="0" w:color="auto"/>
        <w:left w:val="none" w:sz="0" w:space="0" w:color="auto"/>
        <w:bottom w:val="none" w:sz="0" w:space="0" w:color="auto"/>
        <w:right w:val="none" w:sz="0" w:space="0" w:color="auto"/>
      </w:divBdr>
    </w:div>
    <w:div w:id="571739864">
      <w:bodyDiv w:val="1"/>
      <w:marLeft w:val="0"/>
      <w:marRight w:val="0"/>
      <w:marTop w:val="0"/>
      <w:marBottom w:val="0"/>
      <w:divBdr>
        <w:top w:val="none" w:sz="0" w:space="0" w:color="auto"/>
        <w:left w:val="none" w:sz="0" w:space="0" w:color="auto"/>
        <w:bottom w:val="none" w:sz="0" w:space="0" w:color="auto"/>
        <w:right w:val="none" w:sz="0" w:space="0" w:color="auto"/>
      </w:divBdr>
    </w:div>
    <w:div w:id="584343008">
      <w:bodyDiv w:val="1"/>
      <w:marLeft w:val="0"/>
      <w:marRight w:val="0"/>
      <w:marTop w:val="0"/>
      <w:marBottom w:val="0"/>
      <w:divBdr>
        <w:top w:val="none" w:sz="0" w:space="0" w:color="auto"/>
        <w:left w:val="none" w:sz="0" w:space="0" w:color="auto"/>
        <w:bottom w:val="none" w:sz="0" w:space="0" w:color="auto"/>
        <w:right w:val="none" w:sz="0" w:space="0" w:color="auto"/>
      </w:divBdr>
    </w:div>
    <w:div w:id="595987827">
      <w:bodyDiv w:val="1"/>
      <w:marLeft w:val="0"/>
      <w:marRight w:val="0"/>
      <w:marTop w:val="0"/>
      <w:marBottom w:val="0"/>
      <w:divBdr>
        <w:top w:val="none" w:sz="0" w:space="0" w:color="auto"/>
        <w:left w:val="none" w:sz="0" w:space="0" w:color="auto"/>
        <w:bottom w:val="none" w:sz="0" w:space="0" w:color="auto"/>
        <w:right w:val="none" w:sz="0" w:space="0" w:color="auto"/>
      </w:divBdr>
    </w:div>
    <w:div w:id="673458096">
      <w:bodyDiv w:val="1"/>
      <w:marLeft w:val="0"/>
      <w:marRight w:val="0"/>
      <w:marTop w:val="0"/>
      <w:marBottom w:val="0"/>
      <w:divBdr>
        <w:top w:val="none" w:sz="0" w:space="0" w:color="auto"/>
        <w:left w:val="none" w:sz="0" w:space="0" w:color="auto"/>
        <w:bottom w:val="none" w:sz="0" w:space="0" w:color="auto"/>
        <w:right w:val="none" w:sz="0" w:space="0" w:color="auto"/>
      </w:divBdr>
    </w:div>
    <w:div w:id="698706066">
      <w:bodyDiv w:val="1"/>
      <w:marLeft w:val="0"/>
      <w:marRight w:val="0"/>
      <w:marTop w:val="0"/>
      <w:marBottom w:val="0"/>
      <w:divBdr>
        <w:top w:val="none" w:sz="0" w:space="0" w:color="auto"/>
        <w:left w:val="none" w:sz="0" w:space="0" w:color="auto"/>
        <w:bottom w:val="none" w:sz="0" w:space="0" w:color="auto"/>
        <w:right w:val="none" w:sz="0" w:space="0" w:color="auto"/>
      </w:divBdr>
    </w:div>
    <w:div w:id="718943959">
      <w:bodyDiv w:val="1"/>
      <w:marLeft w:val="0"/>
      <w:marRight w:val="0"/>
      <w:marTop w:val="0"/>
      <w:marBottom w:val="0"/>
      <w:divBdr>
        <w:top w:val="none" w:sz="0" w:space="0" w:color="auto"/>
        <w:left w:val="none" w:sz="0" w:space="0" w:color="auto"/>
        <w:bottom w:val="none" w:sz="0" w:space="0" w:color="auto"/>
        <w:right w:val="none" w:sz="0" w:space="0" w:color="auto"/>
      </w:divBdr>
    </w:div>
    <w:div w:id="819804569">
      <w:bodyDiv w:val="1"/>
      <w:marLeft w:val="0"/>
      <w:marRight w:val="0"/>
      <w:marTop w:val="0"/>
      <w:marBottom w:val="0"/>
      <w:divBdr>
        <w:top w:val="none" w:sz="0" w:space="0" w:color="auto"/>
        <w:left w:val="none" w:sz="0" w:space="0" w:color="auto"/>
        <w:bottom w:val="none" w:sz="0" w:space="0" w:color="auto"/>
        <w:right w:val="none" w:sz="0" w:space="0" w:color="auto"/>
      </w:divBdr>
    </w:div>
    <w:div w:id="985284022">
      <w:bodyDiv w:val="1"/>
      <w:marLeft w:val="0"/>
      <w:marRight w:val="0"/>
      <w:marTop w:val="0"/>
      <w:marBottom w:val="0"/>
      <w:divBdr>
        <w:top w:val="none" w:sz="0" w:space="0" w:color="auto"/>
        <w:left w:val="none" w:sz="0" w:space="0" w:color="auto"/>
        <w:bottom w:val="none" w:sz="0" w:space="0" w:color="auto"/>
        <w:right w:val="none" w:sz="0" w:space="0" w:color="auto"/>
      </w:divBdr>
    </w:div>
    <w:div w:id="1037511488">
      <w:bodyDiv w:val="1"/>
      <w:marLeft w:val="0"/>
      <w:marRight w:val="0"/>
      <w:marTop w:val="0"/>
      <w:marBottom w:val="0"/>
      <w:divBdr>
        <w:top w:val="none" w:sz="0" w:space="0" w:color="auto"/>
        <w:left w:val="none" w:sz="0" w:space="0" w:color="auto"/>
        <w:bottom w:val="none" w:sz="0" w:space="0" w:color="auto"/>
        <w:right w:val="none" w:sz="0" w:space="0" w:color="auto"/>
      </w:divBdr>
    </w:div>
    <w:div w:id="1059354455">
      <w:bodyDiv w:val="1"/>
      <w:marLeft w:val="0"/>
      <w:marRight w:val="0"/>
      <w:marTop w:val="0"/>
      <w:marBottom w:val="0"/>
      <w:divBdr>
        <w:top w:val="none" w:sz="0" w:space="0" w:color="auto"/>
        <w:left w:val="none" w:sz="0" w:space="0" w:color="auto"/>
        <w:bottom w:val="none" w:sz="0" w:space="0" w:color="auto"/>
        <w:right w:val="none" w:sz="0" w:space="0" w:color="auto"/>
      </w:divBdr>
    </w:div>
    <w:div w:id="1132869379">
      <w:bodyDiv w:val="1"/>
      <w:marLeft w:val="0"/>
      <w:marRight w:val="0"/>
      <w:marTop w:val="0"/>
      <w:marBottom w:val="0"/>
      <w:divBdr>
        <w:top w:val="none" w:sz="0" w:space="0" w:color="auto"/>
        <w:left w:val="none" w:sz="0" w:space="0" w:color="auto"/>
        <w:bottom w:val="none" w:sz="0" w:space="0" w:color="auto"/>
        <w:right w:val="none" w:sz="0" w:space="0" w:color="auto"/>
      </w:divBdr>
    </w:div>
    <w:div w:id="1135874280">
      <w:bodyDiv w:val="1"/>
      <w:marLeft w:val="0"/>
      <w:marRight w:val="0"/>
      <w:marTop w:val="0"/>
      <w:marBottom w:val="0"/>
      <w:divBdr>
        <w:top w:val="none" w:sz="0" w:space="0" w:color="auto"/>
        <w:left w:val="none" w:sz="0" w:space="0" w:color="auto"/>
        <w:bottom w:val="none" w:sz="0" w:space="0" w:color="auto"/>
        <w:right w:val="none" w:sz="0" w:space="0" w:color="auto"/>
      </w:divBdr>
    </w:div>
    <w:div w:id="1170684249">
      <w:bodyDiv w:val="1"/>
      <w:marLeft w:val="0"/>
      <w:marRight w:val="0"/>
      <w:marTop w:val="0"/>
      <w:marBottom w:val="0"/>
      <w:divBdr>
        <w:top w:val="none" w:sz="0" w:space="0" w:color="auto"/>
        <w:left w:val="none" w:sz="0" w:space="0" w:color="auto"/>
        <w:bottom w:val="none" w:sz="0" w:space="0" w:color="auto"/>
        <w:right w:val="none" w:sz="0" w:space="0" w:color="auto"/>
      </w:divBdr>
    </w:div>
    <w:div w:id="1278367322">
      <w:bodyDiv w:val="1"/>
      <w:marLeft w:val="0"/>
      <w:marRight w:val="0"/>
      <w:marTop w:val="0"/>
      <w:marBottom w:val="0"/>
      <w:divBdr>
        <w:top w:val="none" w:sz="0" w:space="0" w:color="auto"/>
        <w:left w:val="none" w:sz="0" w:space="0" w:color="auto"/>
        <w:bottom w:val="none" w:sz="0" w:space="0" w:color="auto"/>
        <w:right w:val="none" w:sz="0" w:space="0" w:color="auto"/>
      </w:divBdr>
    </w:div>
    <w:div w:id="1346320179">
      <w:bodyDiv w:val="1"/>
      <w:marLeft w:val="0"/>
      <w:marRight w:val="0"/>
      <w:marTop w:val="0"/>
      <w:marBottom w:val="0"/>
      <w:divBdr>
        <w:top w:val="none" w:sz="0" w:space="0" w:color="auto"/>
        <w:left w:val="none" w:sz="0" w:space="0" w:color="auto"/>
        <w:bottom w:val="none" w:sz="0" w:space="0" w:color="auto"/>
        <w:right w:val="none" w:sz="0" w:space="0" w:color="auto"/>
      </w:divBdr>
    </w:div>
    <w:div w:id="1479683066">
      <w:bodyDiv w:val="1"/>
      <w:marLeft w:val="0"/>
      <w:marRight w:val="0"/>
      <w:marTop w:val="0"/>
      <w:marBottom w:val="0"/>
      <w:divBdr>
        <w:top w:val="none" w:sz="0" w:space="0" w:color="auto"/>
        <w:left w:val="none" w:sz="0" w:space="0" w:color="auto"/>
        <w:bottom w:val="none" w:sz="0" w:space="0" w:color="auto"/>
        <w:right w:val="none" w:sz="0" w:space="0" w:color="auto"/>
      </w:divBdr>
    </w:div>
    <w:div w:id="1487281586">
      <w:bodyDiv w:val="1"/>
      <w:marLeft w:val="0"/>
      <w:marRight w:val="0"/>
      <w:marTop w:val="0"/>
      <w:marBottom w:val="0"/>
      <w:divBdr>
        <w:top w:val="none" w:sz="0" w:space="0" w:color="auto"/>
        <w:left w:val="none" w:sz="0" w:space="0" w:color="auto"/>
        <w:bottom w:val="none" w:sz="0" w:space="0" w:color="auto"/>
        <w:right w:val="none" w:sz="0" w:space="0" w:color="auto"/>
      </w:divBdr>
    </w:div>
    <w:div w:id="1502544179">
      <w:bodyDiv w:val="1"/>
      <w:marLeft w:val="0"/>
      <w:marRight w:val="0"/>
      <w:marTop w:val="0"/>
      <w:marBottom w:val="0"/>
      <w:divBdr>
        <w:top w:val="none" w:sz="0" w:space="0" w:color="auto"/>
        <w:left w:val="none" w:sz="0" w:space="0" w:color="auto"/>
        <w:bottom w:val="none" w:sz="0" w:space="0" w:color="auto"/>
        <w:right w:val="none" w:sz="0" w:space="0" w:color="auto"/>
      </w:divBdr>
    </w:div>
    <w:div w:id="1677270374">
      <w:bodyDiv w:val="1"/>
      <w:marLeft w:val="0"/>
      <w:marRight w:val="0"/>
      <w:marTop w:val="0"/>
      <w:marBottom w:val="0"/>
      <w:divBdr>
        <w:top w:val="none" w:sz="0" w:space="0" w:color="auto"/>
        <w:left w:val="none" w:sz="0" w:space="0" w:color="auto"/>
        <w:bottom w:val="none" w:sz="0" w:space="0" w:color="auto"/>
        <w:right w:val="none" w:sz="0" w:space="0" w:color="auto"/>
      </w:divBdr>
    </w:div>
    <w:div w:id="1700160083">
      <w:bodyDiv w:val="1"/>
      <w:marLeft w:val="0"/>
      <w:marRight w:val="0"/>
      <w:marTop w:val="0"/>
      <w:marBottom w:val="0"/>
      <w:divBdr>
        <w:top w:val="none" w:sz="0" w:space="0" w:color="auto"/>
        <w:left w:val="none" w:sz="0" w:space="0" w:color="auto"/>
        <w:bottom w:val="none" w:sz="0" w:space="0" w:color="auto"/>
        <w:right w:val="none" w:sz="0" w:space="0" w:color="auto"/>
      </w:divBdr>
    </w:div>
    <w:div w:id="1792048504">
      <w:bodyDiv w:val="1"/>
      <w:marLeft w:val="0"/>
      <w:marRight w:val="0"/>
      <w:marTop w:val="0"/>
      <w:marBottom w:val="0"/>
      <w:divBdr>
        <w:top w:val="none" w:sz="0" w:space="0" w:color="auto"/>
        <w:left w:val="none" w:sz="0" w:space="0" w:color="auto"/>
        <w:bottom w:val="none" w:sz="0" w:space="0" w:color="auto"/>
        <w:right w:val="none" w:sz="0" w:space="0" w:color="auto"/>
      </w:divBdr>
    </w:div>
    <w:div w:id="1829862024">
      <w:bodyDiv w:val="1"/>
      <w:marLeft w:val="0"/>
      <w:marRight w:val="0"/>
      <w:marTop w:val="0"/>
      <w:marBottom w:val="0"/>
      <w:divBdr>
        <w:top w:val="none" w:sz="0" w:space="0" w:color="auto"/>
        <w:left w:val="none" w:sz="0" w:space="0" w:color="auto"/>
        <w:bottom w:val="none" w:sz="0" w:space="0" w:color="auto"/>
        <w:right w:val="none" w:sz="0" w:space="0" w:color="auto"/>
      </w:divBdr>
    </w:div>
    <w:div w:id="1880237811">
      <w:bodyDiv w:val="1"/>
      <w:marLeft w:val="0"/>
      <w:marRight w:val="0"/>
      <w:marTop w:val="0"/>
      <w:marBottom w:val="0"/>
      <w:divBdr>
        <w:top w:val="none" w:sz="0" w:space="0" w:color="auto"/>
        <w:left w:val="none" w:sz="0" w:space="0" w:color="auto"/>
        <w:bottom w:val="none" w:sz="0" w:space="0" w:color="auto"/>
        <w:right w:val="none" w:sz="0" w:space="0" w:color="auto"/>
      </w:divBdr>
    </w:div>
    <w:div w:id="1882479364">
      <w:bodyDiv w:val="1"/>
      <w:marLeft w:val="0"/>
      <w:marRight w:val="0"/>
      <w:marTop w:val="0"/>
      <w:marBottom w:val="0"/>
      <w:divBdr>
        <w:top w:val="none" w:sz="0" w:space="0" w:color="auto"/>
        <w:left w:val="none" w:sz="0" w:space="0" w:color="auto"/>
        <w:bottom w:val="none" w:sz="0" w:space="0" w:color="auto"/>
        <w:right w:val="none" w:sz="0" w:space="0" w:color="auto"/>
      </w:divBdr>
    </w:div>
    <w:div w:id="1996491366">
      <w:bodyDiv w:val="1"/>
      <w:marLeft w:val="0"/>
      <w:marRight w:val="0"/>
      <w:marTop w:val="0"/>
      <w:marBottom w:val="0"/>
      <w:divBdr>
        <w:top w:val="none" w:sz="0" w:space="0" w:color="auto"/>
        <w:left w:val="none" w:sz="0" w:space="0" w:color="auto"/>
        <w:bottom w:val="none" w:sz="0" w:space="0" w:color="auto"/>
        <w:right w:val="none" w:sz="0" w:space="0" w:color="auto"/>
      </w:divBdr>
    </w:div>
    <w:div w:id="2025134457">
      <w:bodyDiv w:val="1"/>
      <w:marLeft w:val="0"/>
      <w:marRight w:val="0"/>
      <w:marTop w:val="0"/>
      <w:marBottom w:val="0"/>
      <w:divBdr>
        <w:top w:val="none" w:sz="0" w:space="0" w:color="auto"/>
        <w:left w:val="none" w:sz="0" w:space="0" w:color="auto"/>
        <w:bottom w:val="none" w:sz="0" w:space="0" w:color="auto"/>
        <w:right w:val="none" w:sz="0" w:space="0" w:color="auto"/>
      </w:divBdr>
    </w:div>
    <w:div w:id="20796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D\Application%20data%20files\MS%20Word\Templates\DRD%20manuscript%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F687F-0CA8-4896-8F08-9B6D4900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DRD manuscript style.dotx</Template>
  <TotalTime>1</TotalTime>
  <Pages>21</Pages>
  <Words>16603</Words>
  <Characters>94643</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Ross-Degnan, Dennis</dc:creator>
  <cp:keywords/>
  <dc:description/>
  <cp:lastModifiedBy>Dennis Ross-Degnan</cp:lastModifiedBy>
  <cp:revision>2</cp:revision>
  <cp:lastPrinted>2019-12-06T14:38:00Z</cp:lastPrinted>
  <dcterms:created xsi:type="dcterms:W3CDTF">2019-12-06T14:39:00Z</dcterms:created>
  <dcterms:modified xsi:type="dcterms:W3CDTF">2019-12-06T14:39:00Z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id="7YJbd6Lh"/&gt;&lt;style id="http://www.zotero.org/styles/the-new-england-journal-of-medicine"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