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A1" w:rsidRDefault="000665B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Journal: </w:t>
      </w:r>
      <w:r>
        <w:rPr>
          <w:rFonts w:ascii="Times New Roman" w:hAnsi="Times New Roman"/>
          <w:sz w:val="24"/>
          <w:szCs w:val="24"/>
          <w:lang w:val="en-US"/>
        </w:rPr>
        <w:t>Applied Health Economics and Polic</w:t>
      </w:r>
      <w:r>
        <w:rPr>
          <w:rFonts w:ascii="Times New Roman" w:hAnsi="Times New Roman"/>
          <w:sz w:val="24"/>
          <w:szCs w:val="24"/>
          <w:lang w:val="en-US"/>
        </w:rPr>
        <w:t>y</w:t>
      </w:r>
    </w:p>
    <w:p w:rsidR="00375FA1" w:rsidRDefault="000665BB">
      <w:pPr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Title: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Implementing lifestyle change interventions to prevent type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2 diabetes in US Medicaid programs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>: cost-effectiveness, and cost, health, and health equity impact</w:t>
      </w:r>
    </w:p>
    <w:p w:rsidR="00375FA1" w:rsidRDefault="000665BB">
      <w:pPr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Authors: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Michael Laxy, Ping Zhang, Boon Peng Ng, Hui Shao, Mohammed Ali, Ann Albright, Edward Gregg</w:t>
      </w:r>
    </w:p>
    <w:p w:rsidR="00375FA1" w:rsidRDefault="000665BB">
      <w:pPr>
        <w:spacing w:before="1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Corresponding author:</w:t>
      </w:r>
      <w:r>
        <w:rPr>
          <w:rFonts w:ascii="Times New Roman" w:hAnsi="Times New Roman"/>
          <w:sz w:val="24"/>
          <w:szCs w:val="24"/>
          <w:lang w:val="en-US"/>
        </w:rPr>
        <w:t xml:space="preserve"> Michael Laxy, Institute of Health Economics and Health Care Management, Helmholtz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Zentrum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München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Germany, </w:t>
      </w:r>
      <w:r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michael.laxy@helmholtz-muenchen.de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75FA1" w:rsidRDefault="000665BB">
      <w:pPr>
        <w:spacing w:before="360" w:after="160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Appendix—Results</w:t>
      </w:r>
    </w:p>
    <w:p w:rsidR="00375FA1" w:rsidRDefault="000665BB">
      <w:pPr>
        <w:spacing w:after="1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Appendix A-R-Table 1</w:t>
      </w:r>
    </w:p>
    <w:tbl>
      <w:tblPr>
        <w:tblW w:w="8700" w:type="dxa"/>
        <w:jc w:val="center"/>
        <w:tblLook w:val="04A0"/>
      </w:tblPr>
      <w:tblGrid>
        <w:gridCol w:w="282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375FA1">
        <w:trPr>
          <w:trHeight w:val="300"/>
          <w:jc w:val="center"/>
        </w:trPr>
        <w:tc>
          <w:tcPr>
            <w:tcW w:w="8700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160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/>
              </w:rPr>
              <w:t>Incremental difference in absolute cumulative incidence of different complications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State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Average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of eight states</w:t>
            </w:r>
          </w:p>
        </w:tc>
        <w:tc>
          <w:tcPr>
            <w:tcW w:w="1959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AL</w:t>
            </w:r>
          </w:p>
        </w:tc>
        <w:tc>
          <w:tcPr>
            <w:tcW w:w="1959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CA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Time horizon (years)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</w:tr>
      <w:tr w:rsidR="00375FA1">
        <w:trPr>
          <w:trHeight w:val="348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Microalbuminuria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–0.68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–0.68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–0.68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Nephropathy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–0.22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ESRD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Neurop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athy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–1.13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Amputation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Photoc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oagulation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–0.44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–0.44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–0.44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Blind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–0.24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Angina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–0.11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Microalbuminuria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–0.19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Stroke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–0.27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CHD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–0.28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–0.28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–0.28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State</w:t>
            </w:r>
          </w:p>
        </w:tc>
        <w:tc>
          <w:tcPr>
            <w:tcW w:w="1959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959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959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IA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Time horizon (years)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Microa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lbuminuria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–0.68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–0.68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–0.68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Nephropathy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–0.22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–0.22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ESRD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Neuropathy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–1.13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–1.13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Amputa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tion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Photocoagulation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–0.44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–0.44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–0.44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Blind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–0.24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–0.24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Angina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–0.11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Microalbuminuria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–0.19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–0.19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Stroke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–0.27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–0.27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CHD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–0.28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–0.28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–0.28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State</w:t>
            </w:r>
          </w:p>
        </w:tc>
        <w:tc>
          <w:tcPr>
            <w:tcW w:w="1959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959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NY</w:t>
            </w:r>
          </w:p>
        </w:tc>
        <w:tc>
          <w:tcPr>
            <w:tcW w:w="1959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OK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Time horizon (years)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Microa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lbuminuria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–0.68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–0.68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–0.68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Nephro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pathy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–0.22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ESRD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Neuropathy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–0.38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–1.13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Amputation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Photoc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oagulation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–0.44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–0.44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–0.44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Blind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–0.24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Angina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–0.11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Microalbuminuria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–0.19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Stroke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–0.27</w:t>
            </w:r>
          </w:p>
        </w:tc>
      </w:tr>
      <w:tr w:rsidR="00375FA1">
        <w:trPr>
          <w:trHeight w:val="240"/>
          <w:jc w:val="center"/>
        </w:trPr>
        <w:tc>
          <w:tcPr>
            <w:tcW w:w="28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CHD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–0.28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–0.28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–0.05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–0.10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–0.28</w:t>
            </w:r>
          </w:p>
        </w:tc>
      </w:tr>
    </w:tbl>
    <w:p w:rsidR="00375FA1" w:rsidRDefault="000665BB">
      <w:pPr>
        <w:spacing w:after="160"/>
        <w:ind w:left="1416" w:right="1080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Results are based</w:t>
      </w:r>
      <w:r>
        <w:rPr>
          <w:rFonts w:ascii="Times New Roman" w:hAnsi="Times New Roman"/>
          <w:sz w:val="16"/>
          <w:lang w:val="en-US"/>
        </w:rPr>
        <w:t xml:space="preserve"> on simulation scenarios from a Markov-style decision analytic simulation model with default and alternative assumptions on crucial model parameters (compare Table 1 in manuscript).</w:t>
      </w:r>
    </w:p>
    <w:p w:rsidR="00375FA1" w:rsidRDefault="00375FA1">
      <w:pPr>
        <w:spacing w:after="160"/>
        <w:rPr>
          <w:lang w:val="en-US"/>
        </w:rPr>
        <w:sectPr w:rsidR="00375FA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75FA1" w:rsidRDefault="000665BB">
      <w:pPr>
        <w:spacing w:after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>Appendix A-R-Table 2</w:t>
      </w:r>
    </w:p>
    <w:tbl>
      <w:tblPr>
        <w:tblW w:w="13023" w:type="dxa"/>
        <w:jc w:val="center"/>
        <w:tblLook w:val="04A0"/>
      </w:tblPr>
      <w:tblGrid>
        <w:gridCol w:w="5346"/>
        <w:gridCol w:w="812"/>
        <w:gridCol w:w="783"/>
        <w:gridCol w:w="964"/>
        <w:gridCol w:w="812"/>
        <w:gridCol w:w="783"/>
        <w:gridCol w:w="964"/>
        <w:gridCol w:w="812"/>
        <w:gridCol w:w="783"/>
        <w:gridCol w:w="964"/>
      </w:tblGrid>
      <w:tr w:rsidR="00375FA1">
        <w:trPr>
          <w:trHeight w:val="302"/>
          <w:jc w:val="center"/>
        </w:trPr>
        <w:tc>
          <w:tcPr>
            <w:tcW w:w="13023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6"/>
                <w:lang w:val="en-US"/>
              </w:rPr>
              <w:t xml:space="preserve">Incremental health care costs and health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6"/>
                <w:lang w:val="en-US"/>
              </w:rPr>
              <w:t>effects of DPP–like LCI per participant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State</w:t>
            </w:r>
          </w:p>
        </w:tc>
        <w:tc>
          <w:tcPr>
            <w:tcW w:w="2559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Average of 8 states</w:t>
            </w:r>
          </w:p>
        </w:tc>
        <w:tc>
          <w:tcPr>
            <w:tcW w:w="2559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AL</w:t>
            </w:r>
          </w:p>
        </w:tc>
        <w:tc>
          <w:tcPr>
            <w:tcW w:w="2559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CA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Time horizon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Cumulative diabetes incidence (%)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–0.034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LYs gained (LYs)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0.060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QALYs  (QALYs)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0.043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Cost referral (US$)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Cost treatment (US$)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–45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–538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–383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–1,369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Cost intervention (US$)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–451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–1,348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∆ Cost total (US$)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657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–548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684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–569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ICER (US$/QALY)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226,415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34,484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dominant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328,248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82,356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7,629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253,382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42,942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dominant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max ∆ cost of intervention + referral for ICER&lt;USUS$100,000 /QALY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1,462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5,690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3,968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386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1,353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5,669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max ∆ for  Intervention + Referral (US$) for ICER&lt;US$50.000/QALY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957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544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2,253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251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3,519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max ∆ for  Intervention + Referral (US$) for being domina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nt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451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149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538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383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1,369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State</w:t>
            </w:r>
          </w:p>
        </w:tc>
        <w:tc>
          <w:tcPr>
            <w:tcW w:w="2559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2559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IA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Time horizon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Cumulative diabetes incidence (%)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–0.034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LYs gained (LYs)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0.061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0.064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QALYs  (QALYs)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0.037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0.046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Cost referral (US$)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Cost treatment (US$)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–312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–931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–67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–789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–768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–2,140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Cost intervention (US$)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∆ Cost total (US$)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–131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733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552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–1,340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ICER (US$/QALY)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233,629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47,342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dominant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271,504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63,784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285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162,387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2,808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dominant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max ∆ cost of intervention + referral for ICER&lt;USUS$100,000 /QALY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1,342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5,331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1,130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4,539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1,898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6,690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max ∆ for  Intervention + Referral (US$) for ICER&lt;US$50.000/QALY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827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3,131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675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2,664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1,333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4,415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max ∆ for  Intervention + Referral (US$) for being dominant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312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931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220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789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248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768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2,140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State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NY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OK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Time horizon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Cumulative diabetes incidence (%)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–0.028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–0.043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–0.034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LYs gained (LYs)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0.053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0.067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0.059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QALYs  (QALYs)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0.046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0.045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∆ Cost referral (US$)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Cost treatment (US$)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–87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–1,006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–259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–771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–1,708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–81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–262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–873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∆ Cost intervention (US$)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∆ Cost total (US$)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–206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541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–908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–73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ICER (US$/QALY)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222,700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49,008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dominant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174,538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2,673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dominant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217,851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48,463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dominant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max ∆ cost of intervention + referral for ICER&lt;USUS$100,000 /QALY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5,216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569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1,851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6,348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411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1,372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5,333</w:t>
            </w:r>
          </w:p>
        </w:tc>
      </w:tr>
      <w:tr w:rsidR="00375FA1">
        <w:trPr>
          <w:trHeight w:val="242"/>
          <w:jc w:val="center"/>
        </w:trPr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max ∆ for  Intervention + Referral (</w:t>
            </w:r>
            <w:bookmarkStart w:id="0" w:name="_GoBack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US$</w:t>
            </w:r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) for ICER&lt;US$50.000/QALY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247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3,111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1,311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4,028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3,103</w:t>
            </w:r>
          </w:p>
        </w:tc>
      </w:tr>
      <w:tr w:rsidR="00375FA1">
        <w:trPr>
          <w:trHeight w:val="80"/>
          <w:jc w:val="center"/>
        </w:trPr>
        <w:tc>
          <w:tcPr>
            <w:tcW w:w="53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max ∆ for  Intervention + Referral (US$) for being dominant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285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1,006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259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771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1,708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262</w:t>
            </w:r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873</w:t>
            </w:r>
          </w:p>
        </w:tc>
      </w:tr>
    </w:tbl>
    <w:p w:rsidR="00375FA1" w:rsidRDefault="000665BB">
      <w:pPr>
        <w:spacing w:after="0"/>
        <w:ind w:firstLine="708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Results are based</w:t>
      </w:r>
      <w:r>
        <w:rPr>
          <w:rFonts w:ascii="Times New Roman" w:hAnsi="Times New Roman"/>
          <w:sz w:val="16"/>
          <w:lang w:val="en-US"/>
        </w:rPr>
        <w:t xml:space="preserve"> on simulation scenarios from a Markov-style decision analytic simulation model with default and alternative assumptions on crucial model parameters (compare Table 1 in manuscript).</w:t>
      </w:r>
    </w:p>
    <w:p w:rsidR="00375FA1" w:rsidRDefault="000665BB">
      <w:pPr>
        <w:spacing w:after="0"/>
        <w:ind w:left="708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Dominant, less costly and more beneficial; LYs, life years; QALYs, quality</w:t>
      </w:r>
      <w:r>
        <w:rPr>
          <w:rFonts w:ascii="Times New Roman" w:hAnsi="Times New Roman"/>
          <w:sz w:val="16"/>
          <w:lang w:val="en-US"/>
        </w:rPr>
        <w:t xml:space="preserve"> adjusted life years; DPP, Diabetes Prevention Program; LCI, lifestyle change intervention.</w:t>
      </w:r>
      <w:r>
        <w:rPr>
          <w:lang w:val="en-US"/>
        </w:rPr>
        <w:t xml:space="preserve"> </w:t>
      </w:r>
      <w:r>
        <w:rPr>
          <w:rFonts w:ascii="Times New Roman" w:hAnsi="Times New Roman"/>
          <w:sz w:val="16"/>
          <w:lang w:val="en-US"/>
        </w:rPr>
        <w:t xml:space="preserve">AL, Alabama; CA, California; CT, Connecticut; FL, Florida; IA, Iowa; IL, Illinois; NY, New York; OK, Oklahoma. </w:t>
      </w:r>
    </w:p>
    <w:p w:rsidR="00375FA1" w:rsidRDefault="00375FA1">
      <w:pPr>
        <w:spacing w:after="160"/>
        <w:rPr>
          <w:b/>
          <w:sz w:val="24"/>
          <w:lang w:val="en-US"/>
        </w:rPr>
        <w:sectPr w:rsidR="00375FA1">
          <w:pgSz w:w="15840" w:h="12240" w:orient="landscape"/>
          <w:pgMar w:top="576" w:right="720" w:bottom="576" w:left="720" w:header="720" w:footer="720" w:gutter="0"/>
          <w:cols w:space="720"/>
          <w:docGrid w:linePitch="360"/>
        </w:sectPr>
      </w:pPr>
    </w:p>
    <w:p w:rsidR="00375FA1" w:rsidRDefault="000665BB">
      <w:pPr>
        <w:spacing w:after="16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>Appendix A-R-Table 3</w:t>
      </w:r>
    </w:p>
    <w:tbl>
      <w:tblPr>
        <w:tblW w:w="11576" w:type="dxa"/>
        <w:jc w:val="center"/>
        <w:tblLook w:val="04A0"/>
      </w:tblPr>
      <w:tblGrid>
        <w:gridCol w:w="6026"/>
        <w:gridCol w:w="596"/>
        <w:gridCol w:w="625"/>
        <w:gridCol w:w="631"/>
        <w:gridCol w:w="596"/>
        <w:gridCol w:w="625"/>
        <w:gridCol w:w="631"/>
        <w:gridCol w:w="596"/>
        <w:gridCol w:w="581"/>
        <w:gridCol w:w="694"/>
      </w:tblGrid>
      <w:tr w:rsidR="00375FA1">
        <w:trPr>
          <w:trHeight w:val="300"/>
          <w:jc w:val="center"/>
        </w:trPr>
        <w:tc>
          <w:tcPr>
            <w:tcW w:w="11576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Per participa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nt return on investment of DPP-like LCI from a health care system and state Medicaid perspective</w:t>
            </w:r>
          </w:p>
        </w:tc>
      </w:tr>
      <w:tr w:rsidR="00375FA1">
        <w:trPr>
          <w:trHeight w:val="300"/>
          <w:jc w:val="center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5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Average of eight states</w:t>
            </w:r>
          </w:p>
        </w:tc>
        <w:tc>
          <w:tcPr>
            <w:tcW w:w="1852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Times New Roman" w:eastAsia="Times New Roman" w:hAnsi="Times New Roman"/>
                    <w:b/>
                    <w:bCs/>
                    <w:color w:val="000000"/>
                    <w:sz w:val="16"/>
                    <w:szCs w:val="16"/>
                    <w:lang w:val="en-US"/>
                  </w:rPr>
                  <w:t>AL</w:t>
                </w:r>
              </w:smartTag>
            </w:smartTag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CA</w:t>
            </w:r>
          </w:p>
        </w:tc>
      </w:tr>
      <w:tr w:rsidR="00375FA1">
        <w:trPr>
          <w:trHeight w:val="288"/>
          <w:jc w:val="center"/>
        </w:trPr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Perspectives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</w:tr>
      <w:tr w:rsidR="00375FA1">
        <w:trPr>
          <w:trHeight w:val="288"/>
          <w:jc w:val="center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Health care system perspective (default assumptions) (US$)*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349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–548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651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262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684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417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–569</w:t>
            </w:r>
          </w:p>
        </w:tc>
      </w:tr>
      <w:tr w:rsidR="00375FA1">
        <w:trPr>
          <w:trHeight w:val="288"/>
          <w:jc w:val="center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Medicaid perspective: beneficiaries insured 100% of time until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they reach age 65 (US$)**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388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–349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653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279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684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445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–329</w:t>
            </w:r>
          </w:p>
        </w:tc>
      </w:tr>
      <w:tr w:rsidR="00375FA1">
        <w:trPr>
          <w:trHeight w:val="288"/>
          <w:jc w:val="center"/>
        </w:trPr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Medicaid perspective: beneficiaries insured 72% of time until they reach age 65 (US$)**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697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768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694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544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–13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IA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Health care system perspective (default assumptions) (US$)*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488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–131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580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–1,340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Medicaid perspective: beneficiaries insured 100% of time until they reach age 65 (US$)**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508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584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–1,002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Medicaid perspective: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beneficiaries insured 72% of time until they reach age 65 (US$)**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729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752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298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–497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NY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OK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 years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10 years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 years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Health care system perspective (default assumptions) (US$)*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–206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–908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538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–73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Medicaid perspective: beneficiaries insured 100% of time until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they reach age 65 (US$)**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713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525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121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–683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556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</w:tr>
      <w:tr w:rsidR="00375FA1">
        <w:trPr>
          <w:trHeight w:val="240"/>
          <w:jc w:val="center"/>
        </w:trPr>
        <w:tc>
          <w:tcPr>
            <w:tcW w:w="60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75FA1" w:rsidRDefault="000665BB">
            <w:pPr>
              <w:spacing w:after="0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Medicaid perspective: beneficiaries insured 72% of time until they reach age 65 (US$)**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737</w:t>
            </w:r>
          </w:p>
        </w:tc>
        <w:tc>
          <w:tcPr>
            <w:tcW w:w="6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602</w:t>
            </w:r>
          </w:p>
        </w:tc>
        <w:tc>
          <w:tcPr>
            <w:tcW w:w="6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152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614</w:t>
            </w:r>
          </w:p>
        </w:tc>
        <w:tc>
          <w:tcPr>
            <w:tcW w:w="6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311</w:t>
            </w:r>
          </w:p>
        </w:tc>
        <w:tc>
          <w:tcPr>
            <w:tcW w:w="6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–268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742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6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</w:tcPr>
          <w:p w:rsidR="00375FA1" w:rsidRDefault="000665B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245</w:t>
            </w:r>
          </w:p>
        </w:tc>
      </w:tr>
    </w:tbl>
    <w:p w:rsidR="00375FA1" w:rsidRDefault="000665BB">
      <w:pPr>
        <w:spacing w:after="0"/>
        <w:ind w:left="-450" w:right="-828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Results are based on simulation scenarios from a Markov-style decision analytic model with default assumptions (compare manuscript Table 1 in manuscript). </w:t>
      </w:r>
    </w:p>
    <w:p w:rsidR="00375FA1" w:rsidRDefault="000665BB">
      <w:pPr>
        <w:spacing w:after="0"/>
        <w:ind w:left="-450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>* In the health care system perspective all savings from preventin</w:t>
      </w:r>
      <w:r>
        <w:rPr>
          <w:rFonts w:ascii="Times New Roman" w:hAnsi="Times New Roman"/>
          <w:sz w:val="16"/>
          <w:szCs w:val="16"/>
          <w:lang w:val="en-US"/>
        </w:rPr>
        <w:t>g diabetes and its complications in the US health care system are captured</w:t>
      </w:r>
    </w:p>
    <w:p w:rsidR="00375FA1" w:rsidRDefault="000665BB">
      <w:pPr>
        <w:spacing w:after="0"/>
        <w:ind w:left="-450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** In the Medicaid perspective it is assumed that beneficiaries are insured for 100% or 72% of their lifetime under Medicaid before they lose eligibility at age 65. This means that </w:t>
      </w:r>
      <w:r>
        <w:rPr>
          <w:rFonts w:ascii="Times New Roman" w:hAnsi="Times New Roman"/>
          <w:sz w:val="16"/>
          <w:szCs w:val="16"/>
          <w:lang w:val="en-US"/>
        </w:rPr>
        <w:t xml:space="preserve">not all savings from preventing diabetes and its complications are captured by Medicaid. </w:t>
      </w:r>
    </w:p>
    <w:p w:rsidR="00375FA1" w:rsidRDefault="000665BB">
      <w:pPr>
        <w:spacing w:after="0"/>
        <w:ind w:left="-450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>AL, Alabama; CA, California; CT, Connecticut; FL, Florida; IA, Iowa; IL, Illinois; NY, New York; OK, Oklahoma.</w:t>
      </w:r>
    </w:p>
    <w:p w:rsidR="00375FA1" w:rsidRDefault="00375FA1">
      <w:pPr>
        <w:spacing w:after="0"/>
        <w:ind w:left="-450"/>
        <w:rPr>
          <w:rFonts w:ascii="Times New Roman" w:hAnsi="Times New Roman"/>
          <w:b/>
          <w:sz w:val="24"/>
          <w:lang w:val="en-US"/>
        </w:rPr>
      </w:pPr>
    </w:p>
    <w:p w:rsidR="00375FA1" w:rsidRDefault="00375FA1">
      <w:pPr>
        <w:spacing w:after="160"/>
        <w:rPr>
          <w:rFonts w:ascii="Times New Roman" w:hAnsi="Times New Roman"/>
          <w:b/>
          <w:sz w:val="24"/>
          <w:lang w:val="en-US"/>
        </w:rPr>
      </w:pPr>
    </w:p>
    <w:p w:rsidR="00375FA1" w:rsidRDefault="000665BB">
      <w:pPr>
        <w:spacing w:after="16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Appendix A-R-Table 4</w:t>
      </w:r>
    </w:p>
    <w:tbl>
      <w:tblPr>
        <w:tblW w:w="11247" w:type="dxa"/>
        <w:jc w:val="center"/>
        <w:tblLook w:val="04A0"/>
      </w:tblPr>
      <w:tblGrid>
        <w:gridCol w:w="901"/>
        <w:gridCol w:w="3737"/>
        <w:gridCol w:w="892"/>
        <w:gridCol w:w="624"/>
        <w:gridCol w:w="802"/>
        <w:gridCol w:w="713"/>
        <w:gridCol w:w="802"/>
        <w:gridCol w:w="713"/>
        <w:gridCol w:w="713"/>
        <w:gridCol w:w="769"/>
        <w:gridCol w:w="581"/>
      </w:tblGrid>
      <w:tr w:rsidR="00375FA1">
        <w:trPr>
          <w:trHeight w:val="302"/>
          <w:jc w:val="center"/>
        </w:trPr>
        <w:tc>
          <w:tcPr>
            <w:tcW w:w="11247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25- year population-level cost and health impact assuming a 20% DPP-like LCI participation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val="en-US"/>
              </w:rPr>
              <w:t xml:space="preserve">in eligible Medicaid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val="en-US"/>
              </w:rPr>
              <w:t>beneficiaries</w:t>
            </w:r>
          </w:p>
        </w:tc>
      </w:tr>
      <w:tr w:rsidR="00375FA1">
        <w:trPr>
          <w:trHeight w:val="229"/>
          <w:jc w:val="center"/>
        </w:trPr>
        <w:tc>
          <w:tcPr>
            <w:tcW w:w="463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Sum of 8 States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AL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CA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CT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IA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IL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NY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OK</w:t>
            </w:r>
          </w:p>
        </w:tc>
      </w:tr>
      <w:tr w:rsidR="00375FA1">
        <w:trPr>
          <w:trHeight w:val="271"/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population</w:t>
            </w: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number of eligible Medicaid beneficiaries at high risk for diabetes  (n)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1.87M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.01M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.90M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.08M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.10M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.04M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.29M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.43M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.02M</w:t>
            </w:r>
          </w:p>
        </w:tc>
      </w:tr>
      <w:tr w:rsidR="00375FA1">
        <w:trPr>
          <w:trHeight w:val="489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FA1" w:rsidRDefault="00375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umber of participating Medicaid beneficiaries at 20% participation (n)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.37M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.18M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.02M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.02M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.01M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.06M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.09M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.0M</w:t>
            </w:r>
          </w:p>
        </w:tc>
      </w:tr>
      <w:tr w:rsidR="00375FA1">
        <w:trPr>
          <w:trHeight w:val="244"/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cost impact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upfront intervention cost at 20% participation  (in US$) 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299.5M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1.2M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144.3M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13.3M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16.7M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6.5M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45.9M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68.7M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2.9M</w:t>
            </w:r>
          </w:p>
        </w:tc>
      </w:tr>
      <w:tr w:rsidR="00375FA1">
        <w:trPr>
          <w:trHeight w:val="460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FA1" w:rsidRDefault="00375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health care cost saved:  from a health care system perspective (in US$) 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-205.2M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.4M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-102.7M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-2.2M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.2M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-10.9M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-11.8M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-78.M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-.3M</w:t>
            </w:r>
          </w:p>
        </w:tc>
      </w:tr>
      <w:tr w:rsidR="00375FA1">
        <w:trPr>
          <w:trHeight w:val="517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75FA1" w:rsidRDefault="00375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health care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cost saved:  from a Medicaid perspective (in US$) ***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-10.1M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.6M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-2.4M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3.5M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5.6M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-4.M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8.7M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-23.M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.9M</w:t>
            </w:r>
          </w:p>
        </w:tc>
      </w:tr>
      <w:tr w:rsidR="00375FA1">
        <w:trPr>
          <w:trHeight w:val="215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health impact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QALYs gained  (in QALYs)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16,252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7,754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732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781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2,418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3,986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160</w:t>
            </w:r>
          </w:p>
        </w:tc>
      </w:tr>
      <w:tr w:rsidR="00375FA1">
        <w:trPr>
          <w:trHeight w:val="39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75FA1" w:rsidRDefault="00375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3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years of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diabetes prevented (years of diabetes)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259,560</w:t>
            </w:r>
          </w:p>
        </w:tc>
        <w:tc>
          <w:tcPr>
            <w:tcW w:w="62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958</w:t>
            </w:r>
          </w:p>
        </w:tc>
        <w:tc>
          <w:tcPr>
            <w:tcW w:w="80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120,860</w:t>
            </w:r>
          </w:p>
        </w:tc>
        <w:tc>
          <w:tcPr>
            <w:tcW w:w="71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11,552</w:t>
            </w:r>
          </w:p>
        </w:tc>
        <w:tc>
          <w:tcPr>
            <w:tcW w:w="80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14,864</w:t>
            </w:r>
          </w:p>
        </w:tc>
        <w:tc>
          <w:tcPr>
            <w:tcW w:w="71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6,031</w:t>
            </w:r>
          </w:p>
        </w:tc>
        <w:tc>
          <w:tcPr>
            <w:tcW w:w="71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42,910</w:t>
            </w:r>
          </w:p>
        </w:tc>
        <w:tc>
          <w:tcPr>
            <w:tcW w:w="76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59,685</w:t>
            </w:r>
          </w:p>
        </w:tc>
        <w:tc>
          <w:tcPr>
            <w:tcW w:w="58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2,700</w:t>
            </w:r>
          </w:p>
        </w:tc>
      </w:tr>
    </w:tbl>
    <w:p w:rsidR="00375FA1" w:rsidRDefault="000665BB">
      <w:pPr>
        <w:spacing w:before="120" w:after="0"/>
        <w:ind w:left="-540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*    Sum of costs for referral and intervention.</w:t>
      </w:r>
    </w:p>
    <w:p w:rsidR="00375FA1" w:rsidRDefault="000665BB">
      <w:pPr>
        <w:spacing w:after="0"/>
        <w:ind w:left="-540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*</w:t>
      </w:r>
      <w:proofErr w:type="gramStart"/>
      <w:r>
        <w:rPr>
          <w:rFonts w:ascii="Times New Roman" w:hAnsi="Times New Roman"/>
          <w:sz w:val="16"/>
          <w:lang w:val="en-US"/>
        </w:rPr>
        <w:t>*  Sum</w:t>
      </w:r>
      <w:proofErr w:type="gramEnd"/>
      <w:r>
        <w:rPr>
          <w:rFonts w:ascii="Times New Roman" w:hAnsi="Times New Roman"/>
          <w:sz w:val="16"/>
          <w:lang w:val="en-US"/>
        </w:rPr>
        <w:t xml:space="preserve"> of costs for referral and intervention minus savings for prevention of treatment for di</w:t>
      </w:r>
      <w:r>
        <w:rPr>
          <w:rFonts w:ascii="Times New Roman" w:hAnsi="Times New Roman"/>
          <w:sz w:val="16"/>
          <w:lang w:val="en-US"/>
        </w:rPr>
        <w:t>abetes and complications assuming that all savings from preventing diabetes and its complications in the US health care system are captured.</w:t>
      </w:r>
    </w:p>
    <w:p w:rsidR="00375FA1" w:rsidRDefault="000665BB">
      <w:pPr>
        <w:spacing w:after="0"/>
        <w:ind w:left="-540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*** Sum of costs for referral and intervention minus savings for prevention of treatment for diabetes and complicat</w:t>
      </w:r>
      <w:r>
        <w:rPr>
          <w:rFonts w:ascii="Times New Roman" w:hAnsi="Times New Roman"/>
          <w:sz w:val="16"/>
          <w:lang w:val="en-US"/>
        </w:rPr>
        <w:t xml:space="preserve">ions assuming that only savings from preventing diabetes and its complications in the Medicaid system are captured. It is assumed that beneficiaries are insured for 72% of their time under Medicaid until they turn 65. </w:t>
      </w:r>
    </w:p>
    <w:p w:rsidR="00375FA1" w:rsidRDefault="000665BB">
      <w:pPr>
        <w:spacing w:after="0"/>
        <w:ind w:left="-540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6"/>
          <w:lang w:val="en-US"/>
        </w:rPr>
        <w:t>AL, Alabama; CA, California; CT, Conn</w:t>
      </w:r>
      <w:r>
        <w:rPr>
          <w:rFonts w:ascii="Times New Roman" w:hAnsi="Times New Roman"/>
          <w:sz w:val="16"/>
          <w:lang w:val="en-US"/>
        </w:rPr>
        <w:t>ecticut; FL, Florida; IA, Iowa; IL, Illinois; NY, New York; OK, Oklahoma.</w:t>
      </w:r>
    </w:p>
    <w:p w:rsidR="00375FA1" w:rsidRDefault="00375FA1">
      <w:pPr>
        <w:spacing w:after="160"/>
        <w:rPr>
          <w:rFonts w:ascii="Times New Roman" w:hAnsi="Times New Roman"/>
          <w:b/>
          <w:sz w:val="24"/>
          <w:lang w:val="en-US"/>
        </w:rPr>
      </w:pPr>
    </w:p>
    <w:p w:rsidR="00375FA1" w:rsidRDefault="00375FA1">
      <w:pPr>
        <w:spacing w:after="160"/>
        <w:rPr>
          <w:rFonts w:ascii="Times New Roman" w:hAnsi="Times New Roman"/>
          <w:b/>
          <w:sz w:val="24"/>
          <w:lang w:val="en-US"/>
        </w:rPr>
      </w:pPr>
    </w:p>
    <w:p w:rsidR="00375FA1" w:rsidRDefault="00375FA1">
      <w:pPr>
        <w:spacing w:after="160"/>
        <w:rPr>
          <w:rFonts w:ascii="Times New Roman" w:hAnsi="Times New Roman"/>
          <w:b/>
          <w:sz w:val="24"/>
          <w:lang w:val="en-US"/>
        </w:rPr>
      </w:pPr>
    </w:p>
    <w:p w:rsidR="00375FA1" w:rsidRDefault="00375FA1">
      <w:pPr>
        <w:spacing w:after="160"/>
        <w:rPr>
          <w:rFonts w:ascii="Times New Roman" w:hAnsi="Times New Roman"/>
          <w:b/>
          <w:sz w:val="24"/>
          <w:lang w:val="en-US"/>
        </w:rPr>
      </w:pPr>
    </w:p>
    <w:p w:rsidR="00375FA1" w:rsidRDefault="000665BB">
      <w:pPr>
        <w:spacing w:after="16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>Appendix A-R-Table 5</w:t>
      </w:r>
    </w:p>
    <w:tbl>
      <w:tblPr>
        <w:tblW w:w="11393" w:type="dxa"/>
        <w:jc w:val="center"/>
        <w:tblLook w:val="04A0"/>
      </w:tblPr>
      <w:tblGrid>
        <w:gridCol w:w="946"/>
        <w:gridCol w:w="3824"/>
        <w:gridCol w:w="1170"/>
        <w:gridCol w:w="900"/>
        <w:gridCol w:w="810"/>
        <w:gridCol w:w="990"/>
        <w:gridCol w:w="810"/>
        <w:gridCol w:w="990"/>
        <w:gridCol w:w="953"/>
      </w:tblGrid>
      <w:tr w:rsidR="00375FA1">
        <w:trPr>
          <w:trHeight w:val="248"/>
          <w:jc w:val="center"/>
        </w:trPr>
        <w:tc>
          <w:tcPr>
            <w:tcW w:w="11393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6"/>
                <w:lang w:val="en-US"/>
              </w:rPr>
              <w:t>25- year impact on health equity assuming a 20% LCI participation in eligible Medicaid beneficiaries: sum of 8 states</w:t>
            </w:r>
          </w:p>
        </w:tc>
      </w:tr>
      <w:tr w:rsidR="00375FA1">
        <w:trPr>
          <w:trHeight w:val="266"/>
          <w:jc w:val="center"/>
        </w:trPr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white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black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Hispanic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&gt;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138% FPL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&lt;138% FPL</w:t>
            </w:r>
          </w:p>
        </w:tc>
      </w:tr>
      <w:tr w:rsidR="00375FA1">
        <w:trPr>
          <w:trHeight w:val="266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Population size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number of all US adults aged 19-64 [size((proportion)]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61.52 M (1.00)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31.0 M (0.52)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6.8 M (0.11)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16.0 M (0.26)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6.8 M (0.11)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46.1 M (0.75)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15.4 M (0.25)</w:t>
            </w:r>
          </w:p>
        </w:tc>
      </w:tr>
      <w:tr w:rsidR="00375FA1">
        <w:trPr>
          <w:trHeight w:val="266"/>
          <w:jc w:val="center"/>
        </w:trPr>
        <w:tc>
          <w:tcPr>
            <w:tcW w:w="9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A1" w:rsidRDefault="00375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number of eligible Medicaid beneficiaries at high risk for diabetes aged 19-64 [size((proportion)]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1.87 M 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(1.00)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0.43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(0.23)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0.50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(0.27)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0.77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(0.41)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0.17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(0.09)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0.00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(0.00)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1.87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(1.00)</w:t>
            </w:r>
          </w:p>
        </w:tc>
      </w:tr>
      <w:tr w:rsidR="00375FA1">
        <w:trPr>
          <w:trHeight w:val="243"/>
          <w:jc w:val="center"/>
        </w:trPr>
        <w:tc>
          <w:tcPr>
            <w:tcW w:w="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5FA1" w:rsidRDefault="00375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number of participating Medi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caid beneficiaries at 20% LCI up-take [size((proportion)]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.37 M 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(1.00)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0.08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(0.23)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0.10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(0.27)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0.15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(0.41)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0.03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(0.09)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(0.00)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0.37 M</w:t>
            </w:r>
          </w:p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(1.00)</w:t>
            </w:r>
          </w:p>
        </w:tc>
      </w:tr>
      <w:tr w:rsidR="00375FA1">
        <w:trPr>
          <w:trHeight w:val="266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Diabetes incidence reduction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cumulative diabetes incidence in general US adult population – without Medicaid LCI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27.30%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22.66%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34.52%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33.61%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27.32%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25.65%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32.26%</w:t>
            </w:r>
          </w:p>
        </w:tc>
      </w:tr>
      <w:tr w:rsidR="00375FA1">
        <w:trPr>
          <w:trHeight w:val="266"/>
          <w:jc w:val="center"/>
        </w:trPr>
        <w:tc>
          <w:tcPr>
            <w:tcW w:w="9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5FA1" w:rsidRDefault="00375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cumulative diabetes incidence in general US adult population –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with Medicaid LCI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27.28%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22.65%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34.48%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33.59%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27.31%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25.65%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32.19%</w:t>
            </w:r>
          </w:p>
        </w:tc>
      </w:tr>
      <w:tr w:rsidR="00375FA1">
        <w:trPr>
          <w:trHeight w:val="266"/>
          <w:jc w:val="center"/>
        </w:trPr>
        <w:tc>
          <w:tcPr>
            <w:tcW w:w="9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FA1" w:rsidRDefault="00375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reduction in cumulative diabetes incidence in general US adult population through LCI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0.01%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0.02%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0.00%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0.05%</w:t>
            </w:r>
          </w:p>
        </w:tc>
      </w:tr>
      <w:tr w:rsidR="00375FA1">
        <w:trPr>
          <w:trHeight w:val="436"/>
          <w:jc w:val="center"/>
        </w:trPr>
        <w:tc>
          <w:tcPr>
            <w:tcW w:w="94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Health equity impact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relative reduction in the difference of cumulative diabetes incidence between strata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 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ref.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0.37%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0.12%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-0.02%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ref. 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1.07%</w:t>
            </w:r>
          </w:p>
        </w:tc>
      </w:tr>
      <w:tr w:rsidR="00375FA1">
        <w:trPr>
          <w:trHeight w:val="326"/>
          <w:jc w:val="center"/>
        </w:trPr>
        <w:tc>
          <w:tcPr>
            <w:tcW w:w="10440" w:type="dxa"/>
            <w:gridSpan w:val="8"/>
            <w:tcBorders>
              <w:top w:val="double" w:sz="4" w:space="0" w:color="auto"/>
              <w:left w:val="nil"/>
            </w:tcBorders>
            <w:shd w:val="clear" w:color="auto" w:fill="auto"/>
            <w:noWrap/>
            <w:vAlign w:val="center"/>
          </w:tcPr>
          <w:p w:rsidR="00375FA1" w:rsidRDefault="000665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LCI, lifestyle change intervention; FPL, federal poverty level; M million </w:t>
            </w:r>
          </w:p>
        </w:tc>
        <w:tc>
          <w:tcPr>
            <w:tcW w:w="953" w:type="dxa"/>
            <w:tcBorders>
              <w:top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5FA1" w:rsidRDefault="00375F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375FA1" w:rsidRDefault="00375FA1">
      <w:pPr>
        <w:spacing w:after="0"/>
        <w:rPr>
          <w:lang w:val="en-US"/>
        </w:rPr>
      </w:pPr>
    </w:p>
    <w:sectPr w:rsidR="00375FA1" w:rsidSect="00375F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CD5"/>
    <w:multiLevelType w:val="hybridMultilevel"/>
    <w:tmpl w:val="206A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64D0B"/>
    <w:multiLevelType w:val="hybridMultilevel"/>
    <w:tmpl w:val="5202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C4879"/>
    <w:multiLevelType w:val="hybridMultilevel"/>
    <w:tmpl w:val="3088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E4B87"/>
    <w:multiLevelType w:val="hybridMultilevel"/>
    <w:tmpl w:val="B6927C18"/>
    <w:lvl w:ilvl="0" w:tplc="F586AA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57CB4"/>
    <w:multiLevelType w:val="hybridMultilevel"/>
    <w:tmpl w:val="72EAEB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61BFD"/>
    <w:multiLevelType w:val="hybridMultilevel"/>
    <w:tmpl w:val="CAB4E2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941AF"/>
    <w:multiLevelType w:val="hybridMultilevel"/>
    <w:tmpl w:val="0D3AC9D0"/>
    <w:lvl w:ilvl="0" w:tplc="A3E2A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3693B"/>
    <w:multiLevelType w:val="hybridMultilevel"/>
    <w:tmpl w:val="6EF4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D5377"/>
    <w:multiLevelType w:val="hybridMultilevel"/>
    <w:tmpl w:val="FAF8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7161D"/>
    <w:multiLevelType w:val="hybridMultilevel"/>
    <w:tmpl w:val="E7D8EC22"/>
    <w:lvl w:ilvl="0" w:tplc="0402FA1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56519"/>
    <w:multiLevelType w:val="hybridMultilevel"/>
    <w:tmpl w:val="E42AA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249EE"/>
    <w:multiLevelType w:val="hybridMultilevel"/>
    <w:tmpl w:val="AB50C6F6"/>
    <w:lvl w:ilvl="0" w:tplc="2750901A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FA1"/>
    <w:rsid w:val="000665BB"/>
    <w:rsid w:val="0037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A1"/>
    <w:pPr>
      <w:spacing w:after="200" w:line="276" w:lineRule="auto"/>
    </w:pPr>
    <w:rPr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75FA1"/>
  </w:style>
  <w:style w:type="character" w:styleId="Hyperlink">
    <w:name w:val="Hyperlink"/>
    <w:unhideWhenUsed/>
    <w:rsid w:val="00375FA1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375FA1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375FA1"/>
    <w:rPr>
      <w:rFonts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375FA1"/>
    <w:pPr>
      <w:spacing w:line="240" w:lineRule="auto"/>
      <w:jc w:val="both"/>
    </w:pPr>
    <w:rPr>
      <w:rFonts w:cs="Calibri"/>
      <w:noProof/>
      <w:lang w:val="en-US"/>
    </w:rPr>
  </w:style>
  <w:style w:type="character" w:customStyle="1" w:styleId="EndNoteBibliographyChar">
    <w:name w:val="EndNote Bibliography Char"/>
    <w:link w:val="EndNoteBibliography"/>
    <w:rsid w:val="00375FA1"/>
    <w:rPr>
      <w:rFonts w:cs="Calibri"/>
      <w:noProof/>
      <w:sz w:val="22"/>
      <w:szCs w:val="22"/>
    </w:rPr>
  </w:style>
  <w:style w:type="character" w:styleId="FollowedHyperlink">
    <w:name w:val="FollowedHyperlink"/>
    <w:semiHidden/>
    <w:unhideWhenUsed/>
    <w:rsid w:val="00375FA1"/>
    <w:rPr>
      <w:color w:val="954F72"/>
      <w:u w:val="single"/>
    </w:rPr>
  </w:style>
  <w:style w:type="character" w:styleId="CommentReference">
    <w:name w:val="annotation reference"/>
    <w:semiHidden/>
    <w:unhideWhenUsed/>
    <w:rsid w:val="00375FA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5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5FA1"/>
    <w:rPr>
      <w:lang w:val="de-D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5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5FA1"/>
    <w:rPr>
      <w:b/>
      <w:bCs/>
      <w:lang w:val="de-DE"/>
    </w:rPr>
  </w:style>
  <w:style w:type="paragraph" w:styleId="BalloonText">
    <w:name w:val="Balloon Text"/>
    <w:basedOn w:val="Normal"/>
    <w:link w:val="BalloonTextChar"/>
    <w:semiHidden/>
    <w:unhideWhenUsed/>
    <w:rsid w:val="0037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5FA1"/>
    <w:rPr>
      <w:rFonts w:ascii="Segoe UI" w:hAnsi="Segoe UI" w:cs="Segoe UI"/>
      <w:sz w:val="18"/>
      <w:szCs w:val="18"/>
      <w:lang w:val="de-DE"/>
    </w:rPr>
  </w:style>
  <w:style w:type="paragraph" w:customStyle="1" w:styleId="ColorfulShading-Accent11">
    <w:name w:val="Colorful Shading - Accent 11"/>
    <w:hidden/>
    <w:semiHidden/>
    <w:rsid w:val="00375FA1"/>
    <w:rPr>
      <w:sz w:val="22"/>
      <w:szCs w:val="22"/>
      <w:lang w:val="de-DE"/>
    </w:rPr>
  </w:style>
  <w:style w:type="paragraph" w:styleId="FootnoteText">
    <w:name w:val="footnote text"/>
    <w:basedOn w:val="Normal"/>
    <w:link w:val="FootnoteTextChar"/>
    <w:semiHidden/>
    <w:unhideWhenUsed/>
    <w:rsid w:val="00375F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5FA1"/>
    <w:rPr>
      <w:lang w:val="de-DE"/>
    </w:rPr>
  </w:style>
  <w:style w:type="character" w:styleId="FootnoteReference">
    <w:name w:val="footnote reference"/>
    <w:semiHidden/>
    <w:unhideWhenUsed/>
    <w:rsid w:val="00375FA1"/>
    <w:rPr>
      <w:vertAlign w:val="superscript"/>
    </w:rPr>
  </w:style>
  <w:style w:type="numbering" w:customStyle="1" w:styleId="NoList11">
    <w:name w:val="No List11"/>
    <w:next w:val="NoList"/>
    <w:semiHidden/>
    <w:unhideWhenUsed/>
    <w:rsid w:val="00375FA1"/>
  </w:style>
  <w:style w:type="table" w:styleId="TableGrid">
    <w:name w:val="Table Grid"/>
    <w:basedOn w:val="TableNormal"/>
    <w:rsid w:val="00375FA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rsid w:val="00375FA1"/>
    <w:rPr>
      <w:sz w:val="22"/>
      <w:szCs w:val="22"/>
      <w:lang w:val="de-DE"/>
    </w:rPr>
  </w:style>
  <w:style w:type="paragraph" w:styleId="Header">
    <w:name w:val="header"/>
    <w:basedOn w:val="Normal"/>
    <w:link w:val="HeaderChar"/>
    <w:unhideWhenUsed/>
    <w:rsid w:val="00375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5FA1"/>
    <w:rPr>
      <w:sz w:val="22"/>
      <w:szCs w:val="22"/>
      <w:lang w:val="de-DE"/>
    </w:rPr>
  </w:style>
  <w:style w:type="paragraph" w:styleId="Footer">
    <w:name w:val="footer"/>
    <w:basedOn w:val="Normal"/>
    <w:link w:val="FooterChar"/>
    <w:unhideWhenUsed/>
    <w:rsid w:val="00375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5FA1"/>
    <w:rPr>
      <w:sz w:val="22"/>
      <w:szCs w:val="22"/>
      <w:lang w:val="de-DE"/>
    </w:rPr>
  </w:style>
  <w:style w:type="numbering" w:customStyle="1" w:styleId="NoList2">
    <w:name w:val="No List2"/>
    <w:next w:val="NoList"/>
    <w:semiHidden/>
    <w:unhideWhenUsed/>
    <w:rsid w:val="00375FA1"/>
  </w:style>
  <w:style w:type="paragraph" w:customStyle="1" w:styleId="ListParagraph1">
    <w:name w:val="List Paragraph1"/>
    <w:basedOn w:val="Normal"/>
    <w:next w:val="ListParagraph"/>
    <w:qFormat/>
    <w:rsid w:val="00375FA1"/>
    <w:pPr>
      <w:spacing w:after="160" w:line="259" w:lineRule="auto"/>
      <w:ind w:left="720"/>
      <w:contextualSpacing/>
    </w:pPr>
    <w:rPr>
      <w:lang w:val="en-US"/>
    </w:rPr>
  </w:style>
  <w:style w:type="paragraph" w:styleId="ListParagraph">
    <w:name w:val="List Paragraph"/>
    <w:basedOn w:val="Normal"/>
    <w:qFormat/>
    <w:rsid w:val="00375F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michael.laxy</dc:creator>
  <cp:lastModifiedBy>0013029</cp:lastModifiedBy>
  <cp:revision>4</cp:revision>
  <dcterms:created xsi:type="dcterms:W3CDTF">2020-02-19T16:40:00Z</dcterms:created>
  <dcterms:modified xsi:type="dcterms:W3CDTF">2020-03-16T09:31:00Z</dcterms:modified>
</cp:coreProperties>
</file>