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BDD68" w14:textId="002F042D" w:rsidR="00192143" w:rsidRDefault="00192143">
      <w:bookmarkStart w:id="0" w:name="_GoBack"/>
      <w:bookmarkEnd w:id="0"/>
      <w:r w:rsidRPr="001F714D">
        <w:rPr>
          <w:rFonts w:ascii="Arial" w:hAnsi="Arial" w:cs="Arial"/>
          <w:b/>
          <w:bCs/>
          <w:color w:val="000000"/>
          <w:kern w:val="24"/>
        </w:rPr>
        <w:t xml:space="preserve">Table S1. </w:t>
      </w:r>
      <w:r w:rsidRPr="001F714D">
        <w:rPr>
          <w:rFonts w:ascii="Arial" w:hAnsi="Arial" w:cs="Arial"/>
          <w:color w:val="000000"/>
          <w:kern w:val="24"/>
        </w:rPr>
        <w:t>Performance of cytogenetic combinations as predictors of invasive breast cancer</w:t>
      </w:r>
    </w:p>
    <w:tbl>
      <w:tblPr>
        <w:tblW w:w="13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4"/>
        <w:gridCol w:w="761"/>
        <w:gridCol w:w="861"/>
        <w:gridCol w:w="681"/>
        <w:gridCol w:w="961"/>
        <w:gridCol w:w="961"/>
        <w:gridCol w:w="1082"/>
        <w:gridCol w:w="1102"/>
        <w:gridCol w:w="1302"/>
        <w:gridCol w:w="1242"/>
        <w:gridCol w:w="821"/>
        <w:gridCol w:w="821"/>
        <w:gridCol w:w="881"/>
      </w:tblGrid>
      <w:tr w:rsidR="00192143" w:rsidRPr="001F714D" w14:paraId="667B4E35" w14:textId="77777777" w:rsidTr="00192143">
        <w:trPr>
          <w:trHeight w:val="858"/>
        </w:trPr>
        <w:tc>
          <w:tcPr>
            <w:tcW w:w="184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84ACA9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Gene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E0AD6E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All cases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6A2D39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DCIS + IBC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D55E2DD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DCIS only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ECF535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True Positive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879937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False Positive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0DBE35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True Negative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46BEF7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False Negative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18B6B0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Sensitivity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25572E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Specificity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D8E3FFF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Pos</w:t>
            </w:r>
            <w:proofErr w:type="spellEnd"/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 xml:space="preserve"> </w:t>
            </w:r>
            <w:proofErr w:type="spellStart"/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Pred</w:t>
            </w:r>
            <w:proofErr w:type="spellEnd"/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 xml:space="preserve"> Value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53A13FF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Neg</w:t>
            </w:r>
            <w:proofErr w:type="spellEnd"/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 xml:space="preserve"> </w:t>
            </w:r>
            <w:proofErr w:type="spellStart"/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Pred</w:t>
            </w:r>
            <w:proofErr w:type="spellEnd"/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 xml:space="preserve"> Value</w:t>
            </w:r>
          </w:p>
        </w:tc>
        <w:tc>
          <w:tcPr>
            <w:tcW w:w="88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1DE8DE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b/>
                <w:bCs/>
                <w:color w:val="333333"/>
                <w:kern w:val="24"/>
              </w:rPr>
              <w:t>P-value</w:t>
            </w:r>
            <w:r w:rsidRPr="001F714D">
              <w:rPr>
                <w:rFonts w:ascii="Calibri" w:hAnsi="Calibri" w:cs="Arial"/>
                <w:b/>
                <w:bCs/>
                <w:color w:val="333333"/>
                <w:kern w:val="24"/>
              </w:rPr>
              <w:t>†</w:t>
            </w:r>
          </w:p>
        </w:tc>
      </w:tr>
      <w:tr w:rsidR="00192143" w:rsidRPr="001F714D" w14:paraId="481E67A8" w14:textId="77777777" w:rsidTr="00192143">
        <w:trPr>
          <w:trHeight w:val="286"/>
        </w:trPr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7444FC" w14:textId="77777777" w:rsidR="00192143" w:rsidRPr="001F714D" w:rsidRDefault="00192143" w:rsidP="00192143">
            <w:pPr>
              <w:spacing w:line="28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1q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874972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117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196258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59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DEB231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58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66F50B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67.797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5D3686A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32.203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594D94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50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01DA8A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50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529CDAE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67.797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C45545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50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A07EF5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57.97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769E93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60.42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AE346F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0.061</w:t>
            </w:r>
          </w:p>
        </w:tc>
      </w:tr>
      <w:tr w:rsidR="00192143" w:rsidRPr="001F714D" w14:paraId="617849CC" w14:textId="77777777" w:rsidTr="00192143">
        <w:trPr>
          <w:trHeight w:val="28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7B6FFF" w14:textId="77777777" w:rsidR="00192143" w:rsidRPr="001F714D" w:rsidRDefault="00192143" w:rsidP="00192143">
            <w:pPr>
              <w:spacing w:line="28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8q24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7846CEC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5340B2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E5D7E3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97F69B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58.621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DC7BA9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41.379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80FD0E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39.623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678C2D2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60.377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D6F019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58.621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C5A1A8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60.377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D79B2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61.82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68CB9C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57.14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581DB4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0.058</w:t>
            </w:r>
          </w:p>
        </w:tc>
      </w:tr>
      <w:tr w:rsidR="00192143" w:rsidRPr="001F714D" w14:paraId="6F8FFDD4" w14:textId="77777777" w:rsidTr="00192143">
        <w:trPr>
          <w:trHeight w:val="28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B3F4EB" w14:textId="77777777" w:rsidR="00192143" w:rsidRPr="001F714D" w:rsidRDefault="00192143" w:rsidP="00192143">
            <w:pPr>
              <w:spacing w:line="28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11q13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8C7C518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2E10EDF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046317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5A60A5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37.288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3A5403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62.712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CB5C829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26.786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CCBB44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73.214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38E89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37.288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407865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73.214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579EB8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59.46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370E57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52.56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20D4C8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0.239</w:t>
            </w:r>
          </w:p>
        </w:tc>
      </w:tr>
      <w:tr w:rsidR="00192143" w:rsidRPr="001F714D" w14:paraId="1D5D8AD7" w14:textId="77777777" w:rsidTr="00192143">
        <w:trPr>
          <w:trHeight w:val="28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09B3EB" w14:textId="77777777" w:rsidR="00192143" w:rsidRPr="001F714D" w:rsidRDefault="00192143" w:rsidP="00192143">
            <w:pPr>
              <w:spacing w:line="28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1q and 8q24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47E243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BFFE67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8FB300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D2CAF6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38.983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C10F8A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61.017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67E089C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31.579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C1D1C97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68.421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DEB77B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38.983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231AF5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68.421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218024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56.1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3DBA7F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2876A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0.442</w:t>
            </w:r>
          </w:p>
        </w:tc>
      </w:tr>
      <w:tr w:rsidR="00192143" w:rsidRPr="001F714D" w14:paraId="5869D002" w14:textId="77777777" w:rsidTr="00192143">
        <w:trPr>
          <w:trHeight w:val="28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A4123A" w14:textId="77777777" w:rsidR="00192143" w:rsidRPr="001F714D" w:rsidRDefault="00192143" w:rsidP="00192143">
            <w:pPr>
              <w:spacing w:line="28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1q and 11q13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5C16C9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E2DD16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6485415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CE8138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26.667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402826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73.333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50F560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17.544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E226D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82.456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F9AE9A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26.667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ABF3E9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82.456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B8DA54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61.54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89CBA8F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51.65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ADC4F5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0.271</w:t>
            </w:r>
          </w:p>
        </w:tc>
      </w:tr>
      <w:tr w:rsidR="00192143" w:rsidRPr="001F714D" w14:paraId="23331E4B" w14:textId="77777777" w:rsidTr="00192143">
        <w:trPr>
          <w:trHeight w:val="28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5DB0DE" w14:textId="77777777" w:rsidR="00192143" w:rsidRPr="001F714D" w:rsidRDefault="00192143" w:rsidP="00192143">
            <w:pPr>
              <w:spacing w:line="28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8q24 and 11q13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B57342E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B79822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8404C2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B795F8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28.333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C00F893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71.667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4D030E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21.818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7B2042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78.182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91343B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28.333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C8D945F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78.182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81F1A7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58.62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A207827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AE139D" w14:textId="77777777" w:rsidR="00192143" w:rsidRPr="001F714D" w:rsidRDefault="00192143" w:rsidP="00CB458E">
            <w:pPr>
              <w:spacing w:line="286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0.52</w:t>
            </w:r>
          </w:p>
        </w:tc>
      </w:tr>
      <w:tr w:rsidR="00192143" w:rsidRPr="001F714D" w14:paraId="52B288AA" w14:textId="77777777" w:rsidTr="00192143">
        <w:trPr>
          <w:trHeight w:val="545"/>
        </w:trPr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B1DD5D2" w14:textId="77777777" w:rsidR="00192143" w:rsidRPr="001F714D" w:rsidRDefault="00192143" w:rsidP="00192143">
            <w:pPr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1q and 8q24 and 11q13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A0CA6E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82C297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6FF286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DB7C616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E3717CD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80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98FD33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17.544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2364C52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82.456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1AA181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0B2C926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82.456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DB973D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54.55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45D03C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49.47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5255CD" w14:textId="77777777" w:rsidR="00192143" w:rsidRPr="001F714D" w:rsidRDefault="00192143" w:rsidP="00CB458E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0.815</w:t>
            </w:r>
          </w:p>
        </w:tc>
      </w:tr>
      <w:tr w:rsidR="00192143" w:rsidRPr="001F714D" w14:paraId="67CC9E31" w14:textId="77777777" w:rsidTr="00192143">
        <w:trPr>
          <w:trHeight w:val="286"/>
        </w:trPr>
        <w:tc>
          <w:tcPr>
            <w:tcW w:w="715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631D0E1" w14:textId="77777777" w:rsidR="00192143" w:rsidRPr="001F714D" w:rsidRDefault="00192143" w:rsidP="00CB458E">
            <w:pPr>
              <w:spacing w:line="28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1F714D">
              <w:rPr>
                <w:rFonts w:ascii="Arial" w:hAnsi="Arial" w:cs="Arial"/>
                <w:color w:val="333333"/>
                <w:kern w:val="24"/>
              </w:rPr>
              <w:t>† Fisher's exact test.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0270986" w14:textId="77777777" w:rsidR="00192143" w:rsidRPr="001F714D" w:rsidRDefault="00192143" w:rsidP="00CB458E">
            <w:pPr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4A545F3" w14:textId="77777777" w:rsidR="00192143" w:rsidRPr="001F714D" w:rsidRDefault="00192143" w:rsidP="00CB458E">
            <w:pPr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379672C" w14:textId="77777777" w:rsidR="00192143" w:rsidRPr="001F714D" w:rsidRDefault="00192143" w:rsidP="00CB458E">
            <w:pPr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377F267" w14:textId="77777777" w:rsidR="00192143" w:rsidRPr="001F714D" w:rsidRDefault="00192143" w:rsidP="00CB458E">
            <w:pPr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B9B3713" w14:textId="77777777" w:rsidR="00192143" w:rsidRPr="001F714D" w:rsidRDefault="00192143" w:rsidP="00CB458E">
            <w:pPr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C9CD60E" w14:textId="77777777" w:rsidR="00192143" w:rsidRPr="001F714D" w:rsidRDefault="00192143" w:rsidP="00CB458E">
            <w:pPr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</w:tr>
    </w:tbl>
    <w:p w14:paraId="2FDDA61A" w14:textId="77777777" w:rsidR="00192143" w:rsidRDefault="00192143" w:rsidP="00192143">
      <w:pPr>
        <w:rPr>
          <w:vertAlign w:val="subscript"/>
        </w:rPr>
      </w:pPr>
    </w:p>
    <w:p w14:paraId="653A074A" w14:textId="77777777" w:rsidR="00192143" w:rsidRDefault="00192143" w:rsidP="00192143">
      <w:pPr>
        <w:rPr>
          <w:vertAlign w:val="subscript"/>
        </w:rPr>
      </w:pPr>
    </w:p>
    <w:p w14:paraId="7E368589" w14:textId="26BFD0EC" w:rsidR="00192143" w:rsidRDefault="00192143" w:rsidP="00192143">
      <w:pPr>
        <w:rPr>
          <w:vertAlign w:val="subscript"/>
        </w:rPr>
      </w:pPr>
    </w:p>
    <w:p w14:paraId="27BEA569" w14:textId="57DC6D6F" w:rsidR="00192143" w:rsidRDefault="00192143" w:rsidP="00192143">
      <w:pPr>
        <w:rPr>
          <w:vertAlign w:val="subscript"/>
        </w:rPr>
      </w:pPr>
    </w:p>
    <w:p w14:paraId="3E5F0F52" w14:textId="5FDB8804" w:rsidR="00192143" w:rsidRDefault="00192143" w:rsidP="00192143">
      <w:pPr>
        <w:rPr>
          <w:vertAlign w:val="subscript"/>
        </w:rPr>
      </w:pPr>
    </w:p>
    <w:p w14:paraId="03FDE962" w14:textId="3EEF059B" w:rsidR="00192143" w:rsidRDefault="00192143" w:rsidP="00192143">
      <w:pPr>
        <w:rPr>
          <w:vertAlign w:val="subscript"/>
        </w:rPr>
      </w:pPr>
    </w:p>
    <w:p w14:paraId="72B6DD34" w14:textId="6C51022F" w:rsidR="00192143" w:rsidRDefault="00192143" w:rsidP="00192143">
      <w:pPr>
        <w:rPr>
          <w:vertAlign w:val="subscript"/>
        </w:rPr>
      </w:pPr>
    </w:p>
    <w:p w14:paraId="7ACDAD4C" w14:textId="3F7E2FED" w:rsidR="00192143" w:rsidRDefault="00192143" w:rsidP="00192143">
      <w:pPr>
        <w:rPr>
          <w:vertAlign w:val="subscript"/>
        </w:rPr>
      </w:pPr>
    </w:p>
    <w:p w14:paraId="67015F8D" w14:textId="3ABB96DD" w:rsidR="00192143" w:rsidRDefault="00192143" w:rsidP="00192143">
      <w:pPr>
        <w:rPr>
          <w:vertAlign w:val="subscript"/>
        </w:rPr>
      </w:pPr>
    </w:p>
    <w:p w14:paraId="48A91FAE" w14:textId="77777777" w:rsidR="00192143" w:rsidRDefault="00192143" w:rsidP="00192143">
      <w:pPr>
        <w:rPr>
          <w:vertAlign w:val="subscript"/>
        </w:rPr>
        <w:sectPr w:rsidR="00192143" w:rsidSect="00192143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489BEBD9" w14:textId="4F2966FE" w:rsidR="00192143" w:rsidRDefault="00192143" w:rsidP="00192143">
      <w:pPr>
        <w:rPr>
          <w:vertAlign w:val="subscript"/>
        </w:rPr>
      </w:pPr>
      <w:r w:rsidRPr="000036BE">
        <w:rPr>
          <w:rFonts w:ascii="Arial" w:hAnsi="Arial" w:cs="Arial"/>
          <w:b/>
          <w:bCs/>
          <w:color w:val="333333"/>
          <w:kern w:val="24"/>
        </w:rPr>
        <w:lastRenderedPageBreak/>
        <w:t xml:space="preserve">Table S2. </w:t>
      </w:r>
      <w:proofErr w:type="spellStart"/>
      <w:r w:rsidRPr="000036BE">
        <w:rPr>
          <w:rFonts w:ascii="Arial" w:hAnsi="Arial" w:cs="Arial"/>
          <w:color w:val="333333"/>
          <w:kern w:val="24"/>
        </w:rPr>
        <w:t>Univariable</w:t>
      </w:r>
      <w:proofErr w:type="spellEnd"/>
      <w:r w:rsidRPr="000036BE">
        <w:rPr>
          <w:rFonts w:ascii="Arial" w:hAnsi="Arial" w:cs="Arial"/>
          <w:color w:val="333333"/>
          <w:kern w:val="24"/>
        </w:rPr>
        <w:t xml:space="preserve"> associations with DCIS progression to IBC (n=104)</w:t>
      </w:r>
    </w:p>
    <w:tbl>
      <w:tblPr>
        <w:tblW w:w="8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00"/>
        <w:gridCol w:w="2600"/>
        <w:gridCol w:w="1000"/>
      </w:tblGrid>
      <w:tr w:rsidR="000036BE" w:rsidRPr="000036BE" w14:paraId="16EB6EFA" w14:textId="77777777" w:rsidTr="000036BE">
        <w:trPr>
          <w:trHeight w:val="317"/>
        </w:trPr>
        <w:tc>
          <w:tcPr>
            <w:tcW w:w="44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55BC7E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Characteristic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2D09CA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Odds Ratio (95% CI)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DD3FF4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000000"/>
                <w:kern w:val="24"/>
              </w:rPr>
              <w:t>P-value</w:t>
            </w:r>
          </w:p>
        </w:tc>
      </w:tr>
      <w:tr w:rsidR="000036BE" w:rsidRPr="000036BE" w14:paraId="0A531B0F" w14:textId="77777777" w:rsidTr="000036BE">
        <w:trPr>
          <w:trHeight w:val="317"/>
        </w:trPr>
        <w:tc>
          <w:tcPr>
            <w:tcW w:w="4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0D1F8C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Copy number variations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F801693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FEEE1A3" w14:textId="77777777" w:rsidR="000036BE" w:rsidRPr="000036BE" w:rsidRDefault="000036BE" w:rsidP="000036BE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</w:tr>
      <w:tr w:rsidR="000036BE" w:rsidRPr="000036BE" w14:paraId="46F726D1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3141D735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None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45E9CE0A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9241E8" w14:textId="77777777" w:rsidR="000036BE" w:rsidRPr="000036BE" w:rsidRDefault="000036BE" w:rsidP="000036BE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0.0033</w:t>
            </w:r>
          </w:p>
        </w:tc>
      </w:tr>
      <w:tr w:rsidR="000036BE" w:rsidRPr="000036BE" w14:paraId="60110F02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298E8FC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1q only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0F2EC2D9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5.2** (1.52, 20.27)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5B442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2DD8D7B6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0979A110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8q24 only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A24946B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24*** (3.17, 512.48)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E89CB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7AF2D159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72D825F9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11q13 only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6935BEE3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2 (0.08, 25.51)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8E700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1D4C6BBE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5056482E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Two of three gains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91BE880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8*** (2.46, 30.20)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33D88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6E3BA007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7CE09A1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All three gains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56542267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4.8** (1.38, 18.85)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8BD1B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406E8176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772A0D" w14:textId="2E481126" w:rsidR="000036BE" w:rsidRPr="000036BE" w:rsidRDefault="0043270A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24"/>
              </w:rPr>
              <w:t>Age at diagnosis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7694F1C9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0CADA5" w14:textId="77777777" w:rsidR="000036BE" w:rsidRPr="000036BE" w:rsidRDefault="000036BE" w:rsidP="000036BE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</w:tr>
      <w:tr w:rsidR="000036BE" w:rsidRPr="000036BE" w14:paraId="0AA7C7D3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6A6962A2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Less than 40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67F9C7BA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1.10 (0.39, 3.13)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701378" w14:textId="77777777" w:rsidR="000036BE" w:rsidRPr="000036BE" w:rsidRDefault="000036BE" w:rsidP="000036BE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0.92</w:t>
            </w:r>
          </w:p>
        </w:tc>
      </w:tr>
      <w:tr w:rsidR="000036BE" w:rsidRPr="000036BE" w14:paraId="7041FE9B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61A9AC69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40-49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45483247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0.79 (0.32, 1.92)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DAA7A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4C9B7651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2ED17CEA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50-64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35B1F98C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F2FDA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7C6C8FFF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0316DD24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65 and older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F2E6E25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0.85 (0.31, 2.28)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44088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642D991A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DD2DBC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Race / ethnicity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F306821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1783F2" w14:textId="77777777" w:rsidR="000036BE" w:rsidRPr="000036BE" w:rsidRDefault="000036BE" w:rsidP="000036BE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</w:tr>
      <w:tr w:rsidR="000036BE" w:rsidRPr="000036BE" w14:paraId="5028181B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44577182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NH Asian/Pacific Islander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69AA53C1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1.36 (0.30, 6.71)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5BF08C" w14:textId="77777777" w:rsidR="000036BE" w:rsidRPr="000036BE" w:rsidRDefault="000036BE" w:rsidP="000036BE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0.89</w:t>
            </w:r>
          </w:p>
        </w:tc>
      </w:tr>
      <w:tr w:rsidR="000036BE" w:rsidRPr="000036BE" w14:paraId="177E0E68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2D319735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NH white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62828619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1.37 (0.37, 5.68)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F4F9D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10643EA4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59FB737D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Other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E8A55BC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7C02C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2B7CBD0F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C3C735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DCIS nuclear grade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21BE2DD9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F19F66" w14:textId="77777777" w:rsidR="000036BE" w:rsidRPr="000036BE" w:rsidRDefault="000036BE" w:rsidP="000036BE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</w:tr>
      <w:tr w:rsidR="000036BE" w:rsidRPr="000036BE" w14:paraId="6C80A1A0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6B6DBA58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Low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6B92B043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80E290" w14:textId="77777777" w:rsidR="000036BE" w:rsidRPr="000036BE" w:rsidRDefault="000036BE" w:rsidP="000036BE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0.41</w:t>
            </w:r>
          </w:p>
        </w:tc>
      </w:tr>
      <w:tr w:rsidR="000036BE" w:rsidRPr="000036BE" w14:paraId="6B9BEB16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DC565F2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Intermediate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38E4C144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1.82 (0.34, 13.83)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72B10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036BE" w:rsidRPr="000036BE" w14:paraId="4DD5ED4A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5796A8DF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High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49D952D8" w14:textId="77777777" w:rsidR="000036BE" w:rsidRPr="000036BE" w:rsidRDefault="000036BE" w:rsidP="000036BE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2.57 (0.52, 18.68)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C0E86" w14:textId="77777777" w:rsidR="000036BE" w:rsidRPr="000036BE" w:rsidRDefault="000036BE" w:rsidP="000036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A1C46" w:rsidRPr="000036BE" w14:paraId="0C3AB5E5" w14:textId="77777777" w:rsidTr="008A1C46">
        <w:trPr>
          <w:trHeight w:val="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FD1C15" w14:textId="07220D5A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24"/>
              </w:rPr>
              <w:t>Tumor size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632B1031" w14:textId="698AB29A" w:rsidR="008A1C46" w:rsidRPr="008A1C46" w:rsidRDefault="00164481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1.00 (0.84, 1.19)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191B58" w14:textId="7AC9782A" w:rsidR="008A1C46" w:rsidRPr="008A1C46" w:rsidRDefault="00164481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1.00</w:t>
            </w:r>
          </w:p>
        </w:tc>
      </w:tr>
      <w:tr w:rsidR="008A1C46" w:rsidRPr="000036BE" w14:paraId="640A7C7E" w14:textId="77777777" w:rsidTr="008A1C46">
        <w:trPr>
          <w:trHeight w:val="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B278DD" w14:textId="4576C0E4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24"/>
              </w:rPr>
              <w:t>Tumor margins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6AD38A5A" w14:textId="77777777" w:rsidR="008A1C46" w:rsidRPr="008A1C46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6F9741" w14:textId="77777777" w:rsidR="008A1C46" w:rsidRPr="008A1C46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</w:p>
        </w:tc>
      </w:tr>
      <w:tr w:rsidR="008A1C46" w:rsidRPr="000036BE" w14:paraId="61120F2A" w14:textId="77777777" w:rsidTr="008A1C46">
        <w:trPr>
          <w:trHeight w:val="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41E84A" w14:textId="37AD90BD" w:rsidR="008A1C46" w:rsidRPr="000036BE" w:rsidRDefault="008A1C46" w:rsidP="00192143">
            <w:pPr>
              <w:spacing w:line="317" w:lineRule="atLeast"/>
              <w:ind w:left="77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D6445">
              <w:rPr>
                <w:rFonts w:ascii="Arial" w:hAnsi="Arial" w:cs="Arial"/>
                <w:color w:val="333333"/>
                <w:kern w:val="24"/>
              </w:rPr>
              <w:t>&lt; 0.2 cm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0A7943AA" w14:textId="282D1DC0" w:rsidR="008A1C46" w:rsidRPr="008A1C46" w:rsidRDefault="00164481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0.77 (0.34, 1.72)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258FFF" w14:textId="5B19ABDB" w:rsidR="008A1C46" w:rsidRPr="008A1C46" w:rsidRDefault="00164481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0.52</w:t>
            </w:r>
          </w:p>
        </w:tc>
      </w:tr>
      <w:tr w:rsidR="008A1C46" w:rsidRPr="000036BE" w14:paraId="22FFD1E5" w14:textId="77777777" w:rsidTr="008A1C46">
        <w:trPr>
          <w:trHeight w:val="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74E6AA" w14:textId="18967A1B" w:rsidR="008A1C46" w:rsidRPr="000036BE" w:rsidRDefault="008A1C46" w:rsidP="00192143">
            <w:pPr>
              <w:spacing w:line="317" w:lineRule="atLeast"/>
              <w:ind w:left="77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D6445">
              <w:rPr>
                <w:rFonts w:ascii="Arial" w:hAnsi="Arial" w:cs="Arial"/>
                <w:color w:val="333333"/>
                <w:kern w:val="24"/>
              </w:rPr>
              <w:t>0.2 cm +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08C2032B" w14:textId="5270A172" w:rsidR="008A1C46" w:rsidRPr="008A1C46" w:rsidRDefault="00164481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004265" w14:textId="77777777" w:rsidR="008A1C46" w:rsidRPr="008A1C46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</w:p>
        </w:tc>
      </w:tr>
      <w:tr w:rsidR="008A1C46" w:rsidRPr="000036BE" w14:paraId="2BF7D728" w14:textId="77777777" w:rsidTr="008A1C46">
        <w:trPr>
          <w:trHeight w:val="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04B2D5" w14:textId="5112C0AA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33"/>
                <w:kern w:val="24"/>
              </w:rPr>
              <w:t>Surgery type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0C4D8F37" w14:textId="77777777" w:rsidR="008A1C46" w:rsidRPr="008A1C46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7BF1CC" w14:textId="77777777" w:rsidR="008A1C46" w:rsidRPr="008A1C46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</w:p>
        </w:tc>
      </w:tr>
      <w:tr w:rsidR="008A1C46" w:rsidRPr="000036BE" w14:paraId="630DE38E" w14:textId="77777777" w:rsidTr="00516431">
        <w:trPr>
          <w:trHeight w:val="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8AF67F" w14:textId="45FE27B3" w:rsidR="008A1C46" w:rsidRPr="000036BE" w:rsidRDefault="008A1C46" w:rsidP="00192143">
            <w:pPr>
              <w:spacing w:line="317" w:lineRule="atLeast"/>
              <w:ind w:left="77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Lumpectomy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5F1F2659" w14:textId="38BD616E" w:rsidR="008A1C46" w:rsidRPr="008A1C46" w:rsidRDefault="00164481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0.74 (0.35, 1.52)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0F17B9" w14:textId="17CED234" w:rsidR="008A1C46" w:rsidRPr="008A1C46" w:rsidRDefault="00164481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0.37</w:t>
            </w:r>
          </w:p>
        </w:tc>
      </w:tr>
      <w:tr w:rsidR="008A1C46" w:rsidRPr="000036BE" w14:paraId="7377B30E" w14:textId="77777777" w:rsidTr="00516431">
        <w:trPr>
          <w:trHeight w:val="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D7D575" w14:textId="0ACDC477" w:rsidR="008A1C46" w:rsidRPr="000036BE" w:rsidRDefault="008A1C46" w:rsidP="00192143">
            <w:pPr>
              <w:spacing w:line="317" w:lineRule="atLeast"/>
              <w:ind w:left="77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Mastectomy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59249CE7" w14:textId="27CB308E" w:rsidR="008A1C46" w:rsidRPr="008A1C46" w:rsidRDefault="00164481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r</w:t>
            </w:r>
            <w:r w:rsidRPr="008A1C46">
              <w:rPr>
                <w:rFonts w:ascii="Arial" w:hAnsi="Arial" w:cs="Arial"/>
                <w:color w:val="333333"/>
                <w:kern w:val="24"/>
              </w:rPr>
              <w:t>eference</w:t>
            </w:r>
          </w:p>
        </w:tc>
        <w:tc>
          <w:tcPr>
            <w:tcW w:w="100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A43AFB" w14:textId="77777777" w:rsidR="008A1C46" w:rsidRPr="008A1C46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</w:p>
        </w:tc>
      </w:tr>
      <w:tr w:rsidR="008A1C46" w:rsidRPr="000036BE" w14:paraId="6CF46DD6" w14:textId="77777777" w:rsidTr="00516431">
        <w:trPr>
          <w:trHeight w:val="2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28B20F" w14:textId="1E0B84EE" w:rsidR="008A1C46" w:rsidRPr="000036BE" w:rsidRDefault="008A1C46" w:rsidP="00192143">
            <w:pPr>
              <w:spacing w:line="317" w:lineRule="atLeast"/>
              <w:ind w:left="77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No surgery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4443CB9B" w14:textId="5D750B5B" w:rsidR="008A1C46" w:rsidRPr="008A1C46" w:rsidRDefault="00164481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>
              <w:rPr>
                <w:rFonts w:ascii="Arial" w:hAnsi="Arial" w:cs="Arial"/>
                <w:color w:val="333333"/>
                <w:kern w:val="24"/>
              </w:rPr>
              <w:t>Non-estimable</w:t>
            </w:r>
          </w:p>
        </w:tc>
        <w:tc>
          <w:tcPr>
            <w:tcW w:w="10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E6D132" w14:textId="77777777" w:rsidR="008A1C46" w:rsidRPr="008A1C46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</w:p>
        </w:tc>
      </w:tr>
      <w:tr w:rsidR="008A1C46" w:rsidRPr="000036BE" w14:paraId="521719FC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A9FCC8" w14:textId="703EB022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b/>
                <w:bCs/>
                <w:color w:val="333333"/>
                <w:kern w:val="24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 xml:space="preserve">No PIK3CA mutation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</w:tcPr>
          <w:p w14:paraId="18536A90" w14:textId="2FF7F00E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1.58 (0.75, 3.39)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2BCAFC" w14:textId="55C10B8C" w:rsidR="008A1C46" w:rsidRPr="000036BE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0.23</w:t>
            </w:r>
          </w:p>
        </w:tc>
      </w:tr>
      <w:tr w:rsidR="008A1C46" w:rsidRPr="000036BE" w14:paraId="22328EE5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60CB23" w14:textId="77777777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No PIK3CA-KD mutation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735DD959" w14:textId="77777777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3.50** (1.16, 13.05)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683127" w14:textId="77777777" w:rsidR="008A1C46" w:rsidRPr="000036BE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0.03</w:t>
            </w:r>
          </w:p>
        </w:tc>
      </w:tr>
      <w:tr w:rsidR="008A1C46" w:rsidRPr="000036BE" w14:paraId="6E6677C2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A0A60F" w14:textId="77777777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ER positive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160F5023" w14:textId="77777777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0.40** (0.16, 0.95)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821B84" w14:textId="77777777" w:rsidR="008A1C46" w:rsidRPr="000036BE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0.04</w:t>
            </w:r>
          </w:p>
        </w:tc>
      </w:tr>
      <w:tr w:rsidR="008A1C46" w:rsidRPr="000036BE" w14:paraId="56EF9881" w14:textId="77777777" w:rsidTr="000036BE">
        <w:trPr>
          <w:trHeight w:val="317"/>
        </w:trPr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0D4163" w14:textId="77777777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HER2 positive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13" w:type="dxa"/>
              <w:bottom w:w="0" w:type="dxa"/>
              <w:right w:w="13" w:type="dxa"/>
            </w:tcMar>
            <w:vAlign w:val="center"/>
            <w:hideMark/>
          </w:tcPr>
          <w:p w14:paraId="5392732B" w14:textId="77777777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0.85 (0.34, 2.05)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590A5E" w14:textId="77777777" w:rsidR="008A1C46" w:rsidRPr="000036BE" w:rsidRDefault="008A1C46" w:rsidP="008A1C46">
            <w:pPr>
              <w:spacing w:line="317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0.71</w:t>
            </w:r>
          </w:p>
        </w:tc>
      </w:tr>
      <w:tr w:rsidR="008A1C46" w:rsidRPr="000036BE" w14:paraId="34707A5A" w14:textId="77777777" w:rsidTr="000036BE">
        <w:trPr>
          <w:trHeight w:val="317"/>
        </w:trPr>
        <w:tc>
          <w:tcPr>
            <w:tcW w:w="4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BA7D55" w14:textId="77777777" w:rsidR="008A1C46" w:rsidRPr="000036BE" w:rsidRDefault="008A1C46" w:rsidP="008A1C46">
            <w:pPr>
              <w:spacing w:line="317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  <w:sz w:val="22"/>
                <w:szCs w:val="22"/>
              </w:rPr>
              <w:t>Note: * p &lt; 0.10, ** p &lt; 0.05, *** p &lt; 0.01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66F201" w14:textId="77777777" w:rsidR="008A1C46" w:rsidRPr="000036BE" w:rsidRDefault="008A1C46" w:rsidP="008A1C46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5EFF30" w14:textId="77777777" w:rsidR="008A1C46" w:rsidRPr="000036BE" w:rsidRDefault="008A1C46" w:rsidP="008A1C46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</w:tr>
    </w:tbl>
    <w:p w14:paraId="5A12A516" w14:textId="77777777" w:rsidR="007B31CA" w:rsidRDefault="007B31CA"/>
    <w:p w14:paraId="185432E5" w14:textId="77777777" w:rsidR="000036BE" w:rsidRDefault="000036BE"/>
    <w:p w14:paraId="2B3734D4" w14:textId="1D0A630B" w:rsidR="000036BE" w:rsidRDefault="000036BE"/>
    <w:p w14:paraId="32864CE0" w14:textId="654009D6" w:rsidR="00192143" w:rsidRDefault="00192143"/>
    <w:p w14:paraId="64C63620" w14:textId="099CF888" w:rsidR="00192143" w:rsidRDefault="00192143">
      <w:r w:rsidRPr="000036BE">
        <w:rPr>
          <w:rFonts w:ascii="Arial" w:hAnsi="Arial" w:cs="Arial"/>
          <w:b/>
          <w:bCs/>
          <w:color w:val="333333"/>
          <w:kern w:val="24"/>
        </w:rPr>
        <w:lastRenderedPageBreak/>
        <w:t xml:space="preserve">Table S3. </w:t>
      </w:r>
      <w:r w:rsidRPr="000036BE">
        <w:rPr>
          <w:rFonts w:ascii="Arial" w:hAnsi="Arial" w:cs="Arial"/>
          <w:color w:val="333333"/>
          <w:kern w:val="24"/>
        </w:rPr>
        <w:t xml:space="preserve">Multivariable associations with DCIS progression to IBC </w:t>
      </w:r>
      <w:r>
        <w:rPr>
          <w:rFonts w:ascii="Arial" w:hAnsi="Arial" w:cs="Arial"/>
          <w:color w:val="333333"/>
          <w:kern w:val="24"/>
        </w:rPr>
        <w:t xml:space="preserve">using PIK3CA-KD mutations vs no PIK3CA-KD mutations as one of the variables </w:t>
      </w:r>
      <w:r w:rsidR="007501D3">
        <w:rPr>
          <w:rFonts w:ascii="Arial" w:hAnsi="Arial" w:cs="Arial"/>
          <w:color w:val="333333"/>
          <w:kern w:val="24"/>
        </w:rPr>
        <w:t>(n=8</w:t>
      </w:r>
      <w:r w:rsidR="008A7B44">
        <w:rPr>
          <w:rFonts w:ascii="Arial" w:hAnsi="Arial" w:cs="Arial"/>
          <w:color w:val="333333"/>
          <w:kern w:val="24"/>
        </w:rPr>
        <w:t>6</w:t>
      </w:r>
      <w:r w:rsidRPr="000036BE">
        <w:rPr>
          <w:rFonts w:ascii="Arial" w:hAnsi="Arial" w:cs="Arial"/>
          <w:color w:val="333333"/>
          <w:kern w:val="24"/>
        </w:rPr>
        <w:t>)</w:t>
      </w:r>
    </w:p>
    <w:tbl>
      <w:tblPr>
        <w:tblW w:w="7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40"/>
        <w:gridCol w:w="2700"/>
      </w:tblGrid>
      <w:tr w:rsidR="000036BE" w:rsidRPr="000036BE" w14:paraId="2BE0302E" w14:textId="77777777" w:rsidTr="000036BE">
        <w:trPr>
          <w:trHeight w:val="314"/>
        </w:trPr>
        <w:tc>
          <w:tcPr>
            <w:tcW w:w="49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E996BF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Characteristic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48DA01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Odds Ratio (95% CI)</w:t>
            </w:r>
          </w:p>
        </w:tc>
      </w:tr>
      <w:tr w:rsidR="000036BE" w:rsidRPr="000036BE" w14:paraId="50966124" w14:textId="77777777" w:rsidTr="000036BE">
        <w:trPr>
          <w:trHeight w:val="314"/>
        </w:trPr>
        <w:tc>
          <w:tcPr>
            <w:tcW w:w="4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A52A0E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Copy number variations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4B30A8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</w:tr>
      <w:tr w:rsidR="000036BE" w:rsidRPr="000036BE" w14:paraId="2755EB28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34198030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None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5790AC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</w:tr>
      <w:tr w:rsidR="000036BE" w:rsidRPr="000036BE" w14:paraId="5373273B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262B1AC0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1q only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ADFA96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4.79** (1.03, 28.47)</w:t>
            </w:r>
          </w:p>
        </w:tc>
      </w:tr>
      <w:tr w:rsidR="000036BE" w:rsidRPr="000036BE" w14:paraId="290225B2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03B4DB01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8q24 only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425D4D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10.42* (0.98, 177.66)</w:t>
            </w:r>
          </w:p>
        </w:tc>
      </w:tr>
      <w:tr w:rsidR="000036BE" w:rsidRPr="000036BE" w14:paraId="4C58D866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526CE585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11q13 only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AE0093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2.83 (0.17, 40.23)</w:t>
            </w:r>
          </w:p>
        </w:tc>
      </w:tr>
      <w:tr w:rsidR="000036BE" w:rsidRPr="000036BE" w14:paraId="4CCF19E2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0772A876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Two of three gains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B55D74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9.91*** (2.22, 57.75)</w:t>
            </w:r>
          </w:p>
        </w:tc>
      </w:tr>
      <w:tr w:rsidR="000036BE" w:rsidRPr="000036BE" w14:paraId="0928D514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4020DEC6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All three gains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0F2C71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4.79 (0.89, 32.34)</w:t>
            </w:r>
          </w:p>
        </w:tc>
      </w:tr>
      <w:tr w:rsidR="000036BE" w:rsidRPr="000036BE" w14:paraId="1E1ADFEE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831490" w14:textId="1ECD55F5" w:rsidR="000036BE" w:rsidRPr="000036BE" w:rsidRDefault="0043270A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24"/>
              </w:rPr>
              <w:t>Age at diagnosis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B8D047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</w:tr>
      <w:tr w:rsidR="000036BE" w:rsidRPr="000036BE" w14:paraId="0809F415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080D606A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Less than 40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3889C5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0.69 (0.15, 3.00)</w:t>
            </w:r>
          </w:p>
        </w:tc>
      </w:tr>
      <w:tr w:rsidR="000036BE" w:rsidRPr="000036BE" w14:paraId="7D431ED8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00E56EDF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40-49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DB1F0D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0.80 (0.20, 3.20)</w:t>
            </w:r>
          </w:p>
        </w:tc>
      </w:tr>
      <w:tr w:rsidR="000036BE" w:rsidRPr="000036BE" w14:paraId="25C9EFB4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13034A38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50-64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4302AA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</w:tr>
      <w:tr w:rsidR="000036BE" w:rsidRPr="000036BE" w14:paraId="2D10EDDB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4EFD8BDB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65 and older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EB3303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1.72 (0.37, 8.60)</w:t>
            </w:r>
          </w:p>
        </w:tc>
      </w:tr>
      <w:tr w:rsidR="000036BE" w:rsidRPr="000036BE" w14:paraId="15A81F4D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81B675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Race / ethnicity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41A6C7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</w:tr>
      <w:tr w:rsidR="000036BE" w:rsidRPr="000036BE" w14:paraId="12077CE1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6DC57BF3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NH Asian/Pacific Islander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311535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1.60 (0.22, 13.35)</w:t>
            </w:r>
          </w:p>
        </w:tc>
      </w:tr>
      <w:tr w:rsidR="000036BE" w:rsidRPr="000036BE" w14:paraId="1753457E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444E896C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NH white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FACB3B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2.65 (0.49, 17.91)</w:t>
            </w:r>
          </w:p>
        </w:tc>
      </w:tr>
      <w:tr w:rsidR="000036BE" w:rsidRPr="000036BE" w14:paraId="71003956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709DA8F2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Other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673244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</w:tr>
      <w:tr w:rsidR="000036BE" w:rsidRPr="000036BE" w14:paraId="4829310E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A481F8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DCIS nuclear grade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1AC5F6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</w:tr>
      <w:tr w:rsidR="000036BE" w:rsidRPr="000036BE" w14:paraId="03F73DFC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6F4BB2E3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Low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1A8F46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</w:tr>
      <w:tr w:rsidR="000036BE" w:rsidRPr="000036BE" w14:paraId="720335B1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3F119FF3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Intermediate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31F7FC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0.64 (0.06, 6.57)</w:t>
            </w:r>
          </w:p>
        </w:tc>
      </w:tr>
      <w:tr w:rsidR="000036BE" w:rsidRPr="000036BE" w14:paraId="33E21F87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12" w:type="dxa"/>
              <w:bottom w:w="0" w:type="dxa"/>
              <w:right w:w="12" w:type="dxa"/>
            </w:tcMar>
            <w:vAlign w:val="center"/>
            <w:hideMark/>
          </w:tcPr>
          <w:p w14:paraId="002FBB85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High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39864D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0.92 (0.08, 10.49)</w:t>
            </w:r>
          </w:p>
        </w:tc>
      </w:tr>
      <w:tr w:rsidR="000036BE" w:rsidRPr="000036BE" w14:paraId="764ED4C6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E040F5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No PIK3CA-KD mutation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28B259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40.72** (1.79, 7211.67)</w:t>
            </w:r>
          </w:p>
        </w:tc>
      </w:tr>
      <w:tr w:rsidR="000036BE" w:rsidRPr="000036BE" w14:paraId="34FD0F9A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45A4F8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PIK3CA-KD x ER+ interaction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D68D72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0.09 (0.00, 3.45)</w:t>
            </w:r>
          </w:p>
        </w:tc>
      </w:tr>
      <w:tr w:rsidR="000036BE" w:rsidRPr="000036BE" w14:paraId="2311BA29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4C61D5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ER positive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520EE1" w14:textId="77777777" w:rsidR="000036BE" w:rsidRPr="000036BE" w:rsidRDefault="000036BE" w:rsidP="000036BE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3.72 (0.13, 676.17)</w:t>
            </w:r>
          </w:p>
        </w:tc>
      </w:tr>
      <w:tr w:rsidR="007501D3" w:rsidRPr="000036BE" w14:paraId="58B75908" w14:textId="77777777" w:rsidTr="000036BE">
        <w:trPr>
          <w:trHeight w:val="31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4BCDDA" w14:textId="19A9FC40" w:rsidR="007501D3" w:rsidRPr="000036BE" w:rsidRDefault="007501D3" w:rsidP="007501D3">
            <w:pPr>
              <w:spacing w:line="314" w:lineRule="atLeast"/>
              <w:textAlignment w:val="center"/>
              <w:rPr>
                <w:rFonts w:ascii="Arial" w:hAnsi="Arial" w:cs="Arial"/>
                <w:b/>
                <w:bCs/>
                <w:color w:val="333333"/>
                <w:kern w:val="24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HER2 positive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24E6CF" w14:textId="293EEF14" w:rsidR="007501D3" w:rsidRPr="000036BE" w:rsidRDefault="007501D3" w:rsidP="007501D3">
            <w:pPr>
              <w:spacing w:line="314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0.32* (0.08, 1.10)</w:t>
            </w:r>
          </w:p>
        </w:tc>
      </w:tr>
      <w:tr w:rsidR="008A7B44" w:rsidRPr="000036BE" w14:paraId="7FA13DD0" w14:textId="77777777" w:rsidTr="007501D3">
        <w:trPr>
          <w:trHeight w:val="231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1F8A70" w14:textId="63D184D3" w:rsidR="008A7B44" w:rsidRPr="000036BE" w:rsidRDefault="008A7B44" w:rsidP="008A7B44">
            <w:pPr>
              <w:spacing w:line="314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HER2 positive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0ED8D5" w14:textId="77E179C0" w:rsidR="008A7B44" w:rsidRPr="006E4DF5" w:rsidRDefault="008A7B44" w:rsidP="008A7B44">
            <w:pPr>
              <w:spacing w:line="314" w:lineRule="atLeast"/>
              <w:textAlignment w:val="center"/>
              <w:rPr>
                <w:rFonts w:ascii="Arial" w:hAnsi="Arial" w:cs="Arial"/>
                <w:color w:val="333333"/>
                <w:kern w:val="24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0.32* (0.08, 1.10)</w:t>
            </w:r>
          </w:p>
        </w:tc>
      </w:tr>
      <w:tr w:rsidR="008A7B44" w:rsidRPr="000036BE" w14:paraId="4C9B451E" w14:textId="77777777" w:rsidTr="000036BE">
        <w:trPr>
          <w:trHeight w:val="289"/>
        </w:trPr>
        <w:tc>
          <w:tcPr>
            <w:tcW w:w="76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CD5DFB" w14:textId="77777777" w:rsidR="008A7B44" w:rsidRPr="000036BE" w:rsidRDefault="008A7B44" w:rsidP="008A7B44">
            <w:pPr>
              <w:spacing w:line="289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  <w:sz w:val="22"/>
                <w:szCs w:val="22"/>
              </w:rPr>
              <w:t>Note: * p &lt; 0.10, ** p &lt; 0.05, *** p &lt; 0.01</w:t>
            </w:r>
          </w:p>
        </w:tc>
      </w:tr>
    </w:tbl>
    <w:p w14:paraId="7BB76F0E" w14:textId="77777777" w:rsidR="000036BE" w:rsidRDefault="000036BE"/>
    <w:p w14:paraId="472C6026" w14:textId="77777777" w:rsidR="000036BE" w:rsidRDefault="000036BE"/>
    <w:p w14:paraId="2780A2B5" w14:textId="77777777" w:rsidR="00192143" w:rsidRDefault="00192143"/>
    <w:p w14:paraId="413B2E26" w14:textId="77777777" w:rsidR="00192143" w:rsidRDefault="00192143"/>
    <w:p w14:paraId="6A89D8C7" w14:textId="77777777" w:rsidR="00192143" w:rsidRDefault="00192143"/>
    <w:p w14:paraId="6431427A" w14:textId="77777777" w:rsidR="00192143" w:rsidRDefault="00192143"/>
    <w:p w14:paraId="5B733B74" w14:textId="77777777" w:rsidR="00192143" w:rsidRDefault="00192143"/>
    <w:p w14:paraId="576E0B8D" w14:textId="6E22DB17" w:rsidR="00192143" w:rsidRDefault="00192143"/>
    <w:p w14:paraId="4A3C005C" w14:textId="7AE69EC3" w:rsidR="00E46F77" w:rsidRDefault="00E46F77"/>
    <w:p w14:paraId="7C659AC5" w14:textId="77777777" w:rsidR="00E46F77" w:rsidRDefault="00E46F77"/>
    <w:p w14:paraId="1D8D62B0" w14:textId="77777777" w:rsidR="00192143" w:rsidRDefault="00192143"/>
    <w:p w14:paraId="0C717995" w14:textId="5EBB059F" w:rsidR="000036BE" w:rsidRDefault="00192143">
      <w:r w:rsidRPr="000036BE">
        <w:rPr>
          <w:rFonts w:ascii="Arial" w:hAnsi="Arial" w:cs="Arial"/>
          <w:b/>
          <w:bCs/>
          <w:color w:val="333333"/>
          <w:kern w:val="24"/>
        </w:rPr>
        <w:lastRenderedPageBreak/>
        <w:t xml:space="preserve">Table S4. </w:t>
      </w:r>
      <w:r w:rsidRPr="000036BE">
        <w:rPr>
          <w:rFonts w:ascii="Arial" w:hAnsi="Arial" w:cs="Arial"/>
          <w:color w:val="333333"/>
          <w:kern w:val="24"/>
        </w:rPr>
        <w:t xml:space="preserve">Multivariable analysis of associations with DCIS progression to IBC </w:t>
      </w:r>
      <w:r>
        <w:rPr>
          <w:rFonts w:ascii="Arial" w:hAnsi="Arial" w:cs="Arial"/>
          <w:color w:val="333333"/>
          <w:kern w:val="24"/>
        </w:rPr>
        <w:t xml:space="preserve">using PIK3CA mutations vs no PIK3CA mutations as one of the variables </w:t>
      </w:r>
      <w:r w:rsidRPr="000036BE">
        <w:rPr>
          <w:rFonts w:ascii="Arial" w:hAnsi="Arial" w:cs="Arial"/>
          <w:color w:val="333333"/>
          <w:kern w:val="24"/>
        </w:rPr>
        <w:t>(n=86)</w:t>
      </w:r>
    </w:p>
    <w:tbl>
      <w:tblPr>
        <w:tblW w:w="80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40"/>
        <w:gridCol w:w="2900"/>
      </w:tblGrid>
      <w:tr w:rsidR="000036BE" w:rsidRPr="000036BE" w14:paraId="51BBF255" w14:textId="77777777" w:rsidTr="000036BE">
        <w:trPr>
          <w:trHeight w:val="316"/>
        </w:trPr>
        <w:tc>
          <w:tcPr>
            <w:tcW w:w="51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3BEDFB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Characteristic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25AF1E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Odds Ratio (95% CI)</w:t>
            </w:r>
          </w:p>
        </w:tc>
      </w:tr>
      <w:tr w:rsidR="000036BE" w:rsidRPr="000036BE" w14:paraId="0A071023" w14:textId="77777777" w:rsidTr="000036BE">
        <w:trPr>
          <w:trHeight w:val="316"/>
        </w:trPr>
        <w:tc>
          <w:tcPr>
            <w:tcW w:w="5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4C77F4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Copy number variations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A293A6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</w:tr>
      <w:tr w:rsidR="000036BE" w:rsidRPr="000036BE" w14:paraId="3B09AB4C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4C02D778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None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10FEBF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</w:tr>
      <w:tr w:rsidR="000036BE" w:rsidRPr="000036BE" w14:paraId="0245F1E0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7CFD4824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1q only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C57C80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4.43 (0.79, 31.26)</w:t>
            </w:r>
          </w:p>
        </w:tc>
      </w:tr>
      <w:tr w:rsidR="000036BE" w:rsidRPr="000036BE" w14:paraId="0C049309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505CDAC4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8q24 only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417A7C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15.05* (0.84, 561.75)</w:t>
            </w:r>
          </w:p>
        </w:tc>
      </w:tr>
      <w:tr w:rsidR="000036BE" w:rsidRPr="000036BE" w14:paraId="059F9BF2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26896549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Gene 11q13 only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FF7104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2.22 (0.07, 49.06)</w:t>
            </w:r>
          </w:p>
        </w:tc>
      </w:tr>
      <w:tr w:rsidR="000036BE" w:rsidRPr="000036BE" w14:paraId="1155EFE4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572E3F32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Two of three gains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3B486B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10.64*** (2.09, 73.79)</w:t>
            </w:r>
          </w:p>
        </w:tc>
      </w:tr>
      <w:tr w:rsidR="000036BE" w:rsidRPr="000036BE" w14:paraId="24837891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28E0A817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All three gains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9D3EEA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4.86 (0.68, 43.57)</w:t>
            </w:r>
          </w:p>
        </w:tc>
      </w:tr>
      <w:tr w:rsidR="000036BE" w:rsidRPr="000036BE" w14:paraId="3F773CB9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B5192E" w14:textId="702E157C" w:rsidR="000036BE" w:rsidRPr="000036BE" w:rsidRDefault="0043270A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24"/>
              </w:rPr>
              <w:t xml:space="preserve">Age at diagnosis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93F6FD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</w:tr>
      <w:tr w:rsidR="000036BE" w:rsidRPr="000036BE" w14:paraId="1A6FAD59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5C6165DD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Less than 40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8DB544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0.60 (0.11, 3.07)</w:t>
            </w:r>
          </w:p>
        </w:tc>
      </w:tr>
      <w:tr w:rsidR="000036BE" w:rsidRPr="000036BE" w14:paraId="47CF8B9A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4959F949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40-49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D4A13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0.57 (0.11, 2.75)</w:t>
            </w:r>
          </w:p>
        </w:tc>
      </w:tr>
      <w:tr w:rsidR="000036BE" w:rsidRPr="000036BE" w14:paraId="57AB5A93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002B5E7A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50-64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D42565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</w:tr>
      <w:tr w:rsidR="000036BE" w:rsidRPr="000036BE" w14:paraId="1394C6F8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63BE9B2F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65 and older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54357D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1.22 (0.24, 6.30)</w:t>
            </w:r>
          </w:p>
        </w:tc>
      </w:tr>
      <w:tr w:rsidR="000036BE" w:rsidRPr="000036BE" w14:paraId="7567817C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A1C14E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Race / ethnicity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81A36E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</w:tr>
      <w:tr w:rsidR="000036BE" w:rsidRPr="000036BE" w14:paraId="3E29B4DC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1EDF59AD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NH Asian/Pacific Islander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7FFD6A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2.12 (0.21, 26.52)</w:t>
            </w:r>
          </w:p>
        </w:tc>
      </w:tr>
      <w:tr w:rsidR="000036BE" w:rsidRPr="000036BE" w14:paraId="11C7AC18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610C1E62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NH white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F673DD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5.40 (0.73, 53.14)</w:t>
            </w:r>
          </w:p>
        </w:tc>
      </w:tr>
      <w:tr w:rsidR="000036BE" w:rsidRPr="000036BE" w14:paraId="7E0D63B8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3421E126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Other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C72CC6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</w:tr>
      <w:tr w:rsidR="000036BE" w:rsidRPr="000036BE" w14:paraId="60AAEB02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B78819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DCIS nuclear grade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ED0378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 </w:t>
            </w:r>
          </w:p>
        </w:tc>
      </w:tr>
      <w:tr w:rsidR="000036BE" w:rsidRPr="000036BE" w14:paraId="170D9DEB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18069275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Low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2D471A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reference</w:t>
            </w:r>
          </w:p>
        </w:tc>
      </w:tr>
      <w:tr w:rsidR="000036BE" w:rsidRPr="000036BE" w14:paraId="23BF0C27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00700250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Intermediate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15648B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0.35 (0.02, 5.24)</w:t>
            </w:r>
          </w:p>
        </w:tc>
      </w:tr>
      <w:tr w:rsidR="000036BE" w:rsidRPr="000036BE" w14:paraId="4FBFCB30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09" w:type="dxa"/>
              <w:bottom w:w="0" w:type="dxa"/>
              <w:right w:w="12" w:type="dxa"/>
            </w:tcMar>
            <w:vAlign w:val="center"/>
            <w:hideMark/>
          </w:tcPr>
          <w:p w14:paraId="7342096F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High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70DC4A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0.50 (0.03, 8.45)</w:t>
            </w:r>
          </w:p>
        </w:tc>
      </w:tr>
      <w:tr w:rsidR="000036BE" w:rsidRPr="000036BE" w14:paraId="5E16C3C4" w14:textId="77777777" w:rsidTr="000036BE">
        <w:trPr>
          <w:trHeight w:val="42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E2D525" w14:textId="77777777" w:rsidR="000036BE" w:rsidRPr="000036BE" w:rsidRDefault="000036BE" w:rsidP="000036BE">
            <w:pPr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No PIK3CA mutation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17A4B7" w14:textId="77777777" w:rsidR="000036BE" w:rsidRPr="000036BE" w:rsidRDefault="000036BE" w:rsidP="000036BE">
            <w:pPr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68.79*** (4.31, 2,732.17)</w:t>
            </w:r>
          </w:p>
        </w:tc>
      </w:tr>
      <w:tr w:rsidR="000036BE" w:rsidRPr="000036BE" w14:paraId="700B422B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611464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PIK3CA x ER+ interaction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58002A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0.04** (0.001, 0.73)</w:t>
            </w:r>
          </w:p>
        </w:tc>
      </w:tr>
      <w:tr w:rsidR="000036BE" w:rsidRPr="000036BE" w14:paraId="7AAACB93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F64F92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ER positive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57A03B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2.75 (0.23, 71.50)</w:t>
            </w:r>
          </w:p>
        </w:tc>
      </w:tr>
      <w:tr w:rsidR="000036BE" w:rsidRPr="000036BE" w14:paraId="7911F24C" w14:textId="77777777" w:rsidTr="000036BE">
        <w:trPr>
          <w:trHeight w:val="316"/>
        </w:trPr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50C5EF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b/>
                <w:bCs/>
                <w:color w:val="333333"/>
                <w:kern w:val="24"/>
              </w:rPr>
              <w:t>HER2 positive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C61B4C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</w:rPr>
              <w:t>0.19** (0.04, 0.85)</w:t>
            </w:r>
          </w:p>
        </w:tc>
      </w:tr>
      <w:tr w:rsidR="000036BE" w:rsidRPr="000036BE" w14:paraId="6AFFDE66" w14:textId="77777777" w:rsidTr="000036BE">
        <w:trPr>
          <w:trHeight w:val="316"/>
        </w:trPr>
        <w:tc>
          <w:tcPr>
            <w:tcW w:w="80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893696" w14:textId="77777777" w:rsidR="000036BE" w:rsidRPr="000036BE" w:rsidRDefault="000036BE" w:rsidP="000036BE">
            <w:pPr>
              <w:spacing w:line="316" w:lineRule="atLeast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0036BE">
              <w:rPr>
                <w:rFonts w:ascii="Arial" w:hAnsi="Arial" w:cs="Arial"/>
                <w:color w:val="333333"/>
                <w:kern w:val="24"/>
                <w:sz w:val="22"/>
                <w:szCs w:val="22"/>
              </w:rPr>
              <w:t>Note: * p &lt; 0.10, ** p &lt; 0.05, *** p &lt; 0.01</w:t>
            </w:r>
          </w:p>
        </w:tc>
      </w:tr>
    </w:tbl>
    <w:p w14:paraId="4402D087" w14:textId="785D94EB" w:rsidR="0043270A" w:rsidRDefault="0043270A" w:rsidP="00195DDC">
      <w:pPr>
        <w:rPr>
          <w:rFonts w:ascii="Arial" w:hAnsi="Arial" w:cs="Arial"/>
        </w:rPr>
      </w:pPr>
    </w:p>
    <w:p w14:paraId="073E374E" w14:textId="78DC66D3" w:rsidR="0043270A" w:rsidRDefault="0043270A" w:rsidP="00195DDC">
      <w:pPr>
        <w:rPr>
          <w:rFonts w:ascii="Arial" w:hAnsi="Arial" w:cs="Arial"/>
        </w:rPr>
      </w:pPr>
    </w:p>
    <w:p w14:paraId="3A61B566" w14:textId="77777777" w:rsidR="0043270A" w:rsidRDefault="0043270A" w:rsidP="00195DDC">
      <w:pPr>
        <w:rPr>
          <w:rFonts w:ascii="Arial" w:hAnsi="Arial" w:cs="Arial"/>
        </w:rPr>
      </w:pPr>
    </w:p>
    <w:p w14:paraId="366ACAEE" w14:textId="77777777" w:rsidR="00195DDC" w:rsidRDefault="00195DDC" w:rsidP="00195DDC">
      <w:pPr>
        <w:rPr>
          <w:rFonts w:ascii="Arial" w:hAnsi="Arial" w:cs="Arial"/>
        </w:rPr>
      </w:pPr>
    </w:p>
    <w:p w14:paraId="79892D0D" w14:textId="0623048A" w:rsidR="00195DDC" w:rsidRPr="00195DDC" w:rsidRDefault="00195DDC">
      <w:pPr>
        <w:rPr>
          <w:rFonts w:ascii="Arial" w:hAnsi="Arial" w:cs="Arial"/>
        </w:rPr>
      </w:pPr>
    </w:p>
    <w:sectPr w:rsidR="00195DDC" w:rsidRPr="00195DDC" w:rsidSect="001921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BE"/>
    <w:rsid w:val="000036BE"/>
    <w:rsid w:val="000E1E17"/>
    <w:rsid w:val="00164481"/>
    <w:rsid w:val="00192143"/>
    <w:rsid w:val="00195DDC"/>
    <w:rsid w:val="0043270A"/>
    <w:rsid w:val="00513312"/>
    <w:rsid w:val="006818CD"/>
    <w:rsid w:val="0068622D"/>
    <w:rsid w:val="006E4DF5"/>
    <w:rsid w:val="00712A9E"/>
    <w:rsid w:val="007343CA"/>
    <w:rsid w:val="007501D3"/>
    <w:rsid w:val="007B31CA"/>
    <w:rsid w:val="008010CE"/>
    <w:rsid w:val="008A1C46"/>
    <w:rsid w:val="008A7B44"/>
    <w:rsid w:val="00D815E6"/>
    <w:rsid w:val="00E46F77"/>
    <w:rsid w:val="00FB0E88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430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Chieh-Yu Lin</dc:creator>
  <cp:keywords/>
  <dc:description/>
  <cp:lastModifiedBy>Chieh-Yu Lin</cp:lastModifiedBy>
  <cp:revision>2</cp:revision>
  <dcterms:created xsi:type="dcterms:W3CDTF">2018-09-22T03:35:00Z</dcterms:created>
  <dcterms:modified xsi:type="dcterms:W3CDTF">2018-09-22T03:35:00Z</dcterms:modified>
</cp:coreProperties>
</file>