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76" w:rsidRPr="00D64276" w:rsidRDefault="00D64276" w:rsidP="00D642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D44107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2A9">
        <w:rPr>
          <w:rFonts w:ascii="Times New Roman" w:hAnsi="Times New Roman" w:cs="Times New Roman"/>
          <w:b/>
          <w:sz w:val="24"/>
          <w:szCs w:val="24"/>
        </w:rPr>
        <w:t xml:space="preserve">Table. Challenges from evaluation of Phase I modified CBS implementation in Ketu South and </w:t>
      </w:r>
      <w:proofErr w:type="spellStart"/>
      <w:r w:rsidRPr="00BD22A9">
        <w:rPr>
          <w:rFonts w:ascii="Times New Roman" w:hAnsi="Times New Roman" w:cs="Times New Roman"/>
          <w:b/>
          <w:sz w:val="24"/>
          <w:szCs w:val="24"/>
        </w:rPr>
        <w:t>Kassena</w:t>
      </w:r>
      <w:proofErr w:type="spellEnd"/>
      <w:r w:rsidRPr="00BD22A9">
        <w:rPr>
          <w:rFonts w:ascii="Times New Roman" w:hAnsi="Times New Roman" w:cs="Times New Roman"/>
          <w:b/>
          <w:sz w:val="24"/>
          <w:szCs w:val="24"/>
        </w:rPr>
        <w:t xml:space="preserve"> Nankana West districts, and solutions implemented for Phase 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677"/>
        <w:gridCol w:w="4678"/>
      </w:tblGrid>
      <w:tr w:rsidR="00D64276" w:rsidTr="00F3783B">
        <w:tc>
          <w:tcPr>
            <w:tcW w:w="445" w:type="dxa"/>
          </w:tcPr>
          <w:p w:rsidR="00D64276" w:rsidRDefault="00D64276" w:rsidP="00F3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64276" w:rsidRPr="00410D24" w:rsidRDefault="00D64276" w:rsidP="00F3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challenge from Phase I</w:t>
            </w:r>
          </w:p>
        </w:tc>
        <w:tc>
          <w:tcPr>
            <w:tcW w:w="4678" w:type="dxa"/>
          </w:tcPr>
          <w:p w:rsidR="00D64276" w:rsidRPr="00410D24" w:rsidRDefault="00D64276" w:rsidP="00F3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Solution implemented</w:t>
            </w:r>
            <w:r w:rsidRPr="0041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Phase II</w:t>
            </w:r>
          </w:p>
        </w:tc>
      </w:tr>
      <w:tr w:rsidR="00D64276" w:rsidTr="00F3783B">
        <w:tc>
          <w:tcPr>
            <w:tcW w:w="445" w:type="dxa"/>
          </w:tcPr>
          <w:p w:rsidR="00D64276" w:rsidRDefault="00D64276" w:rsidP="00F3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64276" w:rsidRDefault="00D64276" w:rsidP="00F3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Sensitivity of signals designed to capture unusual health events was very high, resulting in the reporting of many non-events</w:t>
            </w:r>
          </w:p>
        </w:tc>
        <w:tc>
          <w:tcPr>
            <w:tcW w:w="4678" w:type="dxa"/>
          </w:tcPr>
          <w:p w:rsidR="00D64276" w:rsidRDefault="00D64276" w:rsidP="00F3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signals to increase the specificity of unusual health event detection</w:t>
            </w:r>
          </w:p>
        </w:tc>
      </w:tr>
      <w:tr w:rsidR="00D64276" w:rsidTr="00F3783B">
        <w:tc>
          <w:tcPr>
            <w:tcW w:w="445" w:type="dxa"/>
          </w:tcPr>
          <w:p w:rsidR="00D64276" w:rsidRDefault="00D64276" w:rsidP="00F3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64276" w:rsidRDefault="00D64276" w:rsidP="00F3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Inconsistent and non-standardized recording of event details at the district level, resulting in poor data quality</w:t>
            </w:r>
          </w:p>
        </w:tc>
        <w:tc>
          <w:tcPr>
            <w:tcW w:w="4678" w:type="dxa"/>
          </w:tcPr>
          <w:p w:rsidR="00D64276" w:rsidRDefault="00D64276" w:rsidP="00F3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tools to increase clarity</w:t>
            </w:r>
          </w:p>
          <w:p w:rsidR="00D64276" w:rsidRDefault="00D64276" w:rsidP="00F3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Emphasize correct usage of data collection tools during training for Phase II implementation</w:t>
            </w:r>
          </w:p>
        </w:tc>
      </w:tr>
      <w:tr w:rsidR="00D64276" w:rsidTr="00F3783B">
        <w:tc>
          <w:tcPr>
            <w:tcW w:w="445" w:type="dxa"/>
          </w:tcPr>
          <w:p w:rsidR="00D64276" w:rsidRDefault="00D64276" w:rsidP="00F3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D64276" w:rsidRDefault="00D64276" w:rsidP="00F3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CBSVs provided with incentive package that may not be sustainable</w:t>
            </w:r>
          </w:p>
        </w:tc>
        <w:tc>
          <w:tcPr>
            <w:tcW w:w="4678" w:type="dxa"/>
          </w:tcPr>
          <w:p w:rsidR="00D64276" w:rsidRDefault="00D64276" w:rsidP="00F3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 incentive package to a sustainable level while maintaining productivity and engagement at the community level</w:t>
            </w:r>
          </w:p>
        </w:tc>
      </w:tr>
      <w:tr w:rsidR="00D64276" w:rsidTr="00F3783B">
        <w:tc>
          <w:tcPr>
            <w:tcW w:w="445" w:type="dxa"/>
          </w:tcPr>
          <w:p w:rsidR="00D64276" w:rsidRDefault="00D64276" w:rsidP="00F3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D64276" w:rsidRDefault="00D64276" w:rsidP="00F3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health-seeking behaviors among residents in communities with easy access to healthcare facilities, mostly in peri-urban areas, resulting in weaker engagement with CBSVs</w:t>
            </w:r>
          </w:p>
        </w:tc>
        <w:tc>
          <w:tcPr>
            <w:tcW w:w="4678" w:type="dxa"/>
          </w:tcPr>
          <w:p w:rsidR="00D64276" w:rsidRDefault="00D64276" w:rsidP="00F3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Districts selection for Phase II implementation of modified CBS should focus on areas with low access to healthcare to ensure strong engagement with CBSVs</w:t>
            </w:r>
          </w:p>
        </w:tc>
      </w:tr>
    </w:tbl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76"/>
    <w:rsid w:val="00D26908"/>
    <w:rsid w:val="00D44107"/>
    <w:rsid w:val="00D6427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F5D0"/>
  <w15:chartTrackingRefBased/>
  <w15:docId w15:val="{73C4DC35-110B-462E-A0E6-6C4BB58C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42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Merali, Sharifa (CDC/DDID/NCIRD/DVD)</dc:creator>
  <cp:keywords/>
  <dc:description/>
  <cp:lastModifiedBy>Merali, Sharifa (CDC/DDID/NCIRD/DVD)</cp:lastModifiedBy>
  <cp:revision>2</cp:revision>
  <dcterms:created xsi:type="dcterms:W3CDTF">2020-05-07T14:31:00Z</dcterms:created>
  <dcterms:modified xsi:type="dcterms:W3CDTF">2020-07-23T19:47:00Z</dcterms:modified>
</cp:coreProperties>
</file>