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3535"/>
        <w:gridCol w:w="8735"/>
      </w:tblGrid>
      <w:tr w:rsidR="003C184D" w:rsidTr="00EA2274">
        <w:tc>
          <w:tcPr>
            <w:tcW w:w="0" w:type="auto"/>
            <w:gridSpan w:val="3"/>
          </w:tcPr>
          <w:p w:rsidR="003C184D" w:rsidRPr="007426B7" w:rsidRDefault="003C184D" w:rsidP="00EA2274">
            <w:pPr>
              <w:contextualSpacing/>
              <w:jc w:val="center"/>
              <w:rPr>
                <w:rFonts w:ascii="Calibri" w:hAnsi="Calibri" w:cs="Calibri"/>
              </w:rPr>
            </w:pPr>
            <w:r>
              <w:rPr>
                <w:rFonts w:ascii="Calibri" w:hAnsi="Calibri" w:cs="Calibri"/>
              </w:rPr>
              <w:t>Appendix Table 1: Health insurance mandates pertaining to ASD</w:t>
            </w:r>
          </w:p>
        </w:tc>
      </w:tr>
      <w:tr w:rsidR="003C184D" w:rsidTr="00EA2274">
        <w:tc>
          <w:tcPr>
            <w:tcW w:w="0" w:type="auto"/>
          </w:tcPr>
          <w:p w:rsidR="003C184D" w:rsidRPr="007426B7" w:rsidRDefault="003C184D" w:rsidP="00EA2274">
            <w:pPr>
              <w:contextualSpacing/>
              <w:jc w:val="center"/>
              <w:rPr>
                <w:rFonts w:ascii="Calibri" w:hAnsi="Calibri" w:cs="Calibri"/>
              </w:rPr>
            </w:pPr>
            <w:r w:rsidRPr="007426B7">
              <w:rPr>
                <w:rFonts w:ascii="Calibri" w:hAnsi="Calibri" w:cs="Calibri"/>
              </w:rPr>
              <w:t>State</w:t>
            </w:r>
          </w:p>
        </w:tc>
        <w:tc>
          <w:tcPr>
            <w:tcW w:w="0" w:type="auto"/>
          </w:tcPr>
          <w:p w:rsidR="003C184D" w:rsidRPr="007426B7" w:rsidRDefault="003C184D" w:rsidP="00EA2274">
            <w:pPr>
              <w:contextualSpacing/>
              <w:jc w:val="center"/>
              <w:rPr>
                <w:rFonts w:ascii="Calibri" w:hAnsi="Calibri" w:cs="Calibri"/>
              </w:rPr>
            </w:pPr>
            <w:r>
              <w:rPr>
                <w:rFonts w:ascii="Calibri" w:hAnsi="Calibri" w:cs="Calibri"/>
              </w:rPr>
              <w:t>ASD</w:t>
            </w:r>
            <w:r w:rsidRPr="007426B7">
              <w:rPr>
                <w:rFonts w:ascii="Calibri" w:hAnsi="Calibri" w:cs="Calibri"/>
              </w:rPr>
              <w:t xml:space="preserve"> mandate</w:t>
            </w:r>
            <w:r>
              <w:rPr>
                <w:rFonts w:ascii="Calibri" w:hAnsi="Calibri" w:cs="Calibri"/>
              </w:rPr>
              <w:t>?</w:t>
            </w:r>
          </w:p>
        </w:tc>
        <w:tc>
          <w:tcPr>
            <w:tcW w:w="0" w:type="auto"/>
          </w:tcPr>
          <w:p w:rsidR="003C184D" w:rsidRPr="007426B7" w:rsidRDefault="003C184D" w:rsidP="00EA2274">
            <w:pPr>
              <w:contextualSpacing/>
              <w:jc w:val="center"/>
              <w:rPr>
                <w:rFonts w:ascii="Calibri" w:hAnsi="Calibri" w:cs="Calibri"/>
              </w:rPr>
            </w:pPr>
            <w:r>
              <w:rPr>
                <w:rFonts w:ascii="Calibri" w:hAnsi="Calibri" w:cs="Calibri"/>
              </w:rPr>
              <w:t>Details of legislation</w:t>
            </w:r>
          </w:p>
        </w:tc>
      </w:tr>
      <w:tr w:rsidR="003C184D" w:rsidTr="00EA2274">
        <w:tc>
          <w:tcPr>
            <w:tcW w:w="0" w:type="auto"/>
          </w:tcPr>
          <w:p w:rsidR="003C184D" w:rsidRPr="007426B7" w:rsidRDefault="003C184D" w:rsidP="00EA2274">
            <w:pPr>
              <w:contextualSpacing/>
              <w:rPr>
                <w:rFonts w:ascii="Calibri" w:hAnsi="Calibri" w:cs="Calibri"/>
              </w:rPr>
            </w:pPr>
            <w:r w:rsidRPr="007426B7">
              <w:rPr>
                <w:rFonts w:ascii="Calibri" w:hAnsi="Calibri" w:cs="Calibri"/>
              </w:rPr>
              <w:t>AL</w:t>
            </w:r>
          </w:p>
        </w:tc>
        <w:tc>
          <w:tcPr>
            <w:tcW w:w="0" w:type="auto"/>
          </w:tcPr>
          <w:p w:rsidR="003C184D" w:rsidRPr="007426B7" w:rsidRDefault="003C184D" w:rsidP="00EA2274">
            <w:pPr>
              <w:contextualSpacing/>
              <w:rPr>
                <w:rFonts w:ascii="Calibri" w:hAnsi="Calibri" w:cs="Calibri"/>
              </w:rPr>
            </w:pPr>
            <w:r>
              <w:rPr>
                <w:rFonts w:ascii="Calibri" w:hAnsi="Calibri" w:cs="Calibri"/>
              </w:rPr>
              <w:t>No</w:t>
            </w:r>
          </w:p>
        </w:tc>
        <w:tc>
          <w:tcPr>
            <w:tcW w:w="0" w:type="auto"/>
          </w:tcPr>
          <w:p w:rsidR="003C184D" w:rsidRPr="007426B7" w:rsidRDefault="003C184D" w:rsidP="00EA2274">
            <w:pPr>
              <w:contextualSpacing/>
              <w:rPr>
                <w:rFonts w:ascii="Calibri" w:hAnsi="Calibri" w:cs="Calibri"/>
              </w:rPr>
            </w:pPr>
          </w:p>
        </w:tc>
      </w:tr>
      <w:tr w:rsidR="003C184D" w:rsidTr="00EA2274">
        <w:tc>
          <w:tcPr>
            <w:tcW w:w="0" w:type="auto"/>
          </w:tcPr>
          <w:p w:rsidR="003C184D" w:rsidRPr="007426B7" w:rsidRDefault="003C184D" w:rsidP="00EA2274">
            <w:pPr>
              <w:contextualSpacing/>
              <w:rPr>
                <w:rFonts w:ascii="Calibri" w:hAnsi="Calibri" w:cs="Calibri"/>
              </w:rPr>
            </w:pPr>
            <w:r w:rsidRPr="007426B7">
              <w:rPr>
                <w:rFonts w:ascii="Calibri" w:hAnsi="Calibri" w:cs="Calibri"/>
              </w:rPr>
              <w:t>AK</w:t>
            </w:r>
            <w:r>
              <w:rPr>
                <w:rFonts w:ascii="Calibri" w:hAnsi="Calibri" w:cs="Calibri"/>
              </w:rPr>
              <w:t>*</w:t>
            </w:r>
          </w:p>
        </w:tc>
        <w:tc>
          <w:tcPr>
            <w:tcW w:w="0" w:type="auto"/>
          </w:tcPr>
          <w:p w:rsidR="003C184D" w:rsidRPr="007426B7" w:rsidRDefault="003C184D" w:rsidP="00EA2274">
            <w:pPr>
              <w:contextualSpacing/>
              <w:rPr>
                <w:rFonts w:ascii="Calibri" w:hAnsi="Calibri" w:cs="Calibri"/>
              </w:rPr>
            </w:pPr>
            <w:r>
              <w:rPr>
                <w:rFonts w:ascii="Calibri" w:hAnsi="Calibri" w:cs="Calibri"/>
              </w:rPr>
              <w:t>Passed June 2012,  effective January 2013</w:t>
            </w:r>
          </w:p>
        </w:tc>
        <w:tc>
          <w:tcPr>
            <w:tcW w:w="0" w:type="auto"/>
          </w:tcPr>
          <w:p w:rsidR="003C184D" w:rsidRPr="007426B7" w:rsidRDefault="003C184D" w:rsidP="00EA2274">
            <w:pPr>
              <w:contextualSpacing/>
              <w:rPr>
                <w:rFonts w:ascii="Calibri" w:hAnsi="Calibri" w:cs="Calibri"/>
              </w:rPr>
            </w:pPr>
            <w:r>
              <w:rPr>
                <w:rFonts w:ascii="Calibri" w:hAnsi="Calibri" w:cs="Calibri"/>
              </w:rPr>
              <w:t>Includes diagnosis, testing and treatment of ASD, up to age 21 with no financial cap on benefits. ABA included</w:t>
            </w:r>
          </w:p>
        </w:tc>
      </w:tr>
      <w:tr w:rsidR="003C184D" w:rsidTr="00EA2274">
        <w:tc>
          <w:tcPr>
            <w:tcW w:w="0" w:type="auto"/>
          </w:tcPr>
          <w:p w:rsidR="003C184D" w:rsidRPr="007426B7" w:rsidRDefault="003C184D" w:rsidP="00EA2274">
            <w:pPr>
              <w:contextualSpacing/>
              <w:rPr>
                <w:rFonts w:ascii="Calibri" w:hAnsi="Calibri" w:cs="Calibri"/>
              </w:rPr>
            </w:pPr>
            <w:r w:rsidRPr="007426B7">
              <w:rPr>
                <w:rFonts w:ascii="Calibri" w:hAnsi="Calibri" w:cs="Calibri"/>
              </w:rPr>
              <w:t>AZ</w:t>
            </w:r>
          </w:p>
        </w:tc>
        <w:tc>
          <w:tcPr>
            <w:tcW w:w="0" w:type="auto"/>
          </w:tcPr>
          <w:p w:rsidR="003C184D" w:rsidRPr="007426B7" w:rsidRDefault="003C184D" w:rsidP="00EA2274">
            <w:pPr>
              <w:contextualSpacing/>
              <w:rPr>
                <w:rFonts w:ascii="Calibri" w:hAnsi="Calibri" w:cs="Calibri"/>
              </w:rPr>
            </w:pPr>
            <w:r w:rsidRPr="007426B7">
              <w:rPr>
                <w:rFonts w:ascii="Calibri" w:hAnsi="Calibri" w:cs="Calibri"/>
              </w:rPr>
              <w:t>Passed March2008, effective July 2009</w:t>
            </w:r>
          </w:p>
        </w:tc>
        <w:tc>
          <w:tcPr>
            <w:tcW w:w="0" w:type="auto"/>
          </w:tcPr>
          <w:p w:rsidR="003C184D" w:rsidRPr="007426B7" w:rsidRDefault="003C184D" w:rsidP="00EA2274">
            <w:pPr>
              <w:contextualSpacing/>
              <w:rPr>
                <w:rFonts w:ascii="Calibri" w:hAnsi="Calibri" w:cs="Calibri"/>
              </w:rPr>
            </w:pPr>
            <w:r>
              <w:rPr>
                <w:rFonts w:ascii="Calibri" w:hAnsi="Calibri" w:cs="Calibri"/>
              </w:rPr>
              <w:t>Under age 17</w:t>
            </w:r>
            <w:r w:rsidRPr="007426B7">
              <w:rPr>
                <w:rFonts w:ascii="Calibri" w:hAnsi="Calibri" w:cs="Calibri"/>
              </w:rPr>
              <w:t>; behavioral therapy limited to $50,000 per year for ages 0-9, $25,000 per year for ages 9-16; ABA included</w:t>
            </w:r>
          </w:p>
        </w:tc>
      </w:tr>
      <w:tr w:rsidR="003C184D" w:rsidTr="00EA2274">
        <w:tc>
          <w:tcPr>
            <w:tcW w:w="0" w:type="auto"/>
          </w:tcPr>
          <w:p w:rsidR="003C184D" w:rsidRPr="007426B7" w:rsidRDefault="003C184D" w:rsidP="00EA2274">
            <w:pPr>
              <w:contextualSpacing/>
              <w:rPr>
                <w:rFonts w:ascii="Calibri" w:hAnsi="Calibri" w:cs="Calibri"/>
              </w:rPr>
            </w:pPr>
            <w:r w:rsidRPr="007426B7">
              <w:rPr>
                <w:rFonts w:ascii="Calibri" w:hAnsi="Calibri" w:cs="Calibri"/>
              </w:rPr>
              <w:t>AR</w:t>
            </w:r>
            <w:r>
              <w:rPr>
                <w:rFonts w:ascii="Calibri" w:hAnsi="Calibri" w:cs="Calibri"/>
              </w:rPr>
              <w:t>*</w:t>
            </w:r>
          </w:p>
        </w:tc>
        <w:tc>
          <w:tcPr>
            <w:tcW w:w="0" w:type="auto"/>
          </w:tcPr>
          <w:p w:rsidR="003C184D" w:rsidRPr="007426B7" w:rsidRDefault="003C184D" w:rsidP="00EA2274">
            <w:pPr>
              <w:contextualSpacing/>
              <w:rPr>
                <w:rFonts w:ascii="Calibri" w:hAnsi="Calibri" w:cs="Calibri"/>
              </w:rPr>
            </w:pPr>
            <w:r w:rsidRPr="007426B7">
              <w:rPr>
                <w:rFonts w:ascii="Calibri" w:hAnsi="Calibri" w:cs="Calibri"/>
              </w:rPr>
              <w:t>Passed March 2011, effective October 2011</w:t>
            </w:r>
          </w:p>
        </w:tc>
        <w:tc>
          <w:tcPr>
            <w:tcW w:w="0" w:type="auto"/>
          </w:tcPr>
          <w:p w:rsidR="003C184D" w:rsidRPr="007426B7" w:rsidRDefault="003C184D" w:rsidP="00EA2274">
            <w:pPr>
              <w:contextualSpacing/>
              <w:rPr>
                <w:rFonts w:ascii="Calibri" w:hAnsi="Calibri" w:cs="Calibri"/>
              </w:rPr>
            </w:pPr>
            <w:r w:rsidRPr="007426B7">
              <w:rPr>
                <w:rFonts w:ascii="Calibri" w:hAnsi="Calibri" w:cs="Calibri"/>
              </w:rPr>
              <w:t>Includes ABA, but with $50,000 cap and only for those under 18</w:t>
            </w:r>
          </w:p>
        </w:tc>
      </w:tr>
      <w:tr w:rsidR="003C184D" w:rsidTr="00EA2274">
        <w:tc>
          <w:tcPr>
            <w:tcW w:w="0" w:type="auto"/>
          </w:tcPr>
          <w:p w:rsidR="003C184D" w:rsidRPr="007426B7" w:rsidRDefault="003C184D" w:rsidP="00EA2274">
            <w:pPr>
              <w:contextualSpacing/>
              <w:rPr>
                <w:rFonts w:ascii="Calibri" w:hAnsi="Calibri" w:cs="Calibri"/>
              </w:rPr>
            </w:pPr>
            <w:r w:rsidRPr="007426B7">
              <w:rPr>
                <w:rFonts w:ascii="Calibri" w:hAnsi="Calibri" w:cs="Calibri"/>
              </w:rPr>
              <w:t>CA</w:t>
            </w:r>
            <w:r>
              <w:rPr>
                <w:rFonts w:ascii="Calibri" w:hAnsi="Calibri" w:cs="Calibri"/>
              </w:rPr>
              <w:t>*</w:t>
            </w:r>
          </w:p>
        </w:tc>
        <w:tc>
          <w:tcPr>
            <w:tcW w:w="0" w:type="auto"/>
          </w:tcPr>
          <w:p w:rsidR="003C184D" w:rsidRPr="007426B7" w:rsidRDefault="003C184D" w:rsidP="00EA2274">
            <w:pPr>
              <w:contextualSpacing/>
              <w:rPr>
                <w:rFonts w:ascii="Calibri" w:hAnsi="Calibri" w:cs="Calibri"/>
              </w:rPr>
            </w:pPr>
            <w:r w:rsidRPr="007426B7">
              <w:rPr>
                <w:rFonts w:ascii="Calibri" w:hAnsi="Calibri" w:cs="Calibri"/>
              </w:rPr>
              <w:t>Passed October 2011, effective July 2012</w:t>
            </w:r>
          </w:p>
        </w:tc>
        <w:tc>
          <w:tcPr>
            <w:tcW w:w="0" w:type="auto"/>
          </w:tcPr>
          <w:p w:rsidR="003C184D" w:rsidRPr="007426B7" w:rsidRDefault="003C184D" w:rsidP="00EA2274">
            <w:pPr>
              <w:contextualSpacing/>
              <w:rPr>
                <w:rFonts w:ascii="Calibri" w:hAnsi="Calibri" w:cs="Calibri"/>
              </w:rPr>
            </w:pPr>
            <w:r w:rsidRPr="007426B7">
              <w:rPr>
                <w:rFonts w:ascii="Calibri" w:hAnsi="Calibri" w:cs="Calibri"/>
              </w:rPr>
              <w:t>Includes ABA</w:t>
            </w:r>
            <w:r>
              <w:rPr>
                <w:rFonts w:ascii="Calibri" w:hAnsi="Calibri" w:cs="Calibri"/>
              </w:rPr>
              <w:t xml:space="preserve"> but does not apply to plans that do not offer behavioral health services.</w:t>
            </w:r>
          </w:p>
        </w:tc>
      </w:tr>
      <w:tr w:rsidR="003C184D" w:rsidTr="00EA2274">
        <w:tc>
          <w:tcPr>
            <w:tcW w:w="0" w:type="auto"/>
          </w:tcPr>
          <w:p w:rsidR="003C184D" w:rsidRPr="007426B7" w:rsidRDefault="003C184D" w:rsidP="00EA2274">
            <w:pPr>
              <w:contextualSpacing/>
              <w:rPr>
                <w:rFonts w:ascii="Calibri" w:hAnsi="Calibri" w:cs="Calibri"/>
              </w:rPr>
            </w:pPr>
            <w:r w:rsidRPr="007426B7">
              <w:rPr>
                <w:rFonts w:ascii="Calibri" w:hAnsi="Calibri" w:cs="Calibri"/>
              </w:rPr>
              <w:t>CO</w:t>
            </w:r>
          </w:p>
        </w:tc>
        <w:tc>
          <w:tcPr>
            <w:tcW w:w="0" w:type="auto"/>
          </w:tcPr>
          <w:p w:rsidR="003C184D" w:rsidRPr="007426B7" w:rsidRDefault="003C184D" w:rsidP="00EA2274">
            <w:pPr>
              <w:contextualSpacing/>
              <w:rPr>
                <w:rFonts w:ascii="Calibri" w:hAnsi="Calibri" w:cs="Calibri"/>
              </w:rPr>
            </w:pPr>
            <w:r w:rsidRPr="007426B7">
              <w:rPr>
                <w:rFonts w:ascii="Calibri" w:hAnsi="Calibri" w:cs="Calibri"/>
              </w:rPr>
              <w:t>Passed June 2009, effective July 2010</w:t>
            </w:r>
          </w:p>
        </w:tc>
        <w:tc>
          <w:tcPr>
            <w:tcW w:w="0" w:type="auto"/>
          </w:tcPr>
          <w:p w:rsidR="003C184D" w:rsidRPr="007426B7" w:rsidRDefault="003C184D" w:rsidP="00EA2274">
            <w:pPr>
              <w:contextualSpacing/>
              <w:rPr>
                <w:rFonts w:ascii="Calibri" w:hAnsi="Calibri" w:cs="Calibri"/>
              </w:rPr>
            </w:pPr>
            <w:r w:rsidRPr="007426B7">
              <w:rPr>
                <w:rFonts w:ascii="Calibri" w:hAnsi="Calibri" w:cs="Calibri"/>
              </w:rPr>
              <w:t>Under age 19, at least $34,000 of ABA coverage until age 9, at leas</w:t>
            </w:r>
            <w:r>
              <w:rPr>
                <w:rFonts w:ascii="Calibri" w:hAnsi="Calibri" w:cs="Calibri"/>
              </w:rPr>
              <w:t>t $12,000 coverage from age 9-18</w:t>
            </w: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CT</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Passed June 2009, effective January 2010</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Under age 15, behavioral therapy capped at $50,000 for 0-9, $35,000 for ages9-12, and $25,000 for ages 13-14</w:t>
            </w: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DE*</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Passed August 2012, effective December 2012</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 xml:space="preserve">Includes diagnosis, testing and treatment of </w:t>
            </w:r>
            <w:r>
              <w:rPr>
                <w:rFonts w:ascii="Calibri" w:hAnsi="Calibri" w:cs="Calibri"/>
              </w:rPr>
              <w:t>ASD</w:t>
            </w:r>
            <w:r w:rsidRPr="00CA2BDD">
              <w:rPr>
                <w:rFonts w:ascii="Calibri" w:hAnsi="Calibri" w:cs="Calibri"/>
              </w:rPr>
              <w:t xml:space="preserve"> up to age 21</w:t>
            </w: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FL</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Passed May 2008, mandate effective April 2009</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Includes Medicaid waiver authorization, developmental disabilities compact, and autism mandate.  Mandate includes ABA.</w:t>
            </w: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GA</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No</w:t>
            </w:r>
          </w:p>
        </w:tc>
        <w:tc>
          <w:tcPr>
            <w:tcW w:w="0" w:type="auto"/>
          </w:tcPr>
          <w:p w:rsidR="003C184D" w:rsidRPr="00CA2BDD" w:rsidRDefault="003C184D" w:rsidP="00EA2274">
            <w:pPr>
              <w:ind w:left="720"/>
              <w:contextualSpacing/>
              <w:rPr>
                <w:rFonts w:ascii="Calibri" w:hAnsi="Calibri" w:cs="Calibri"/>
              </w:rPr>
            </w:pP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HI</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No</w:t>
            </w:r>
          </w:p>
        </w:tc>
        <w:tc>
          <w:tcPr>
            <w:tcW w:w="0" w:type="auto"/>
          </w:tcPr>
          <w:p w:rsidR="003C184D" w:rsidRPr="00CA2BDD" w:rsidRDefault="003C184D" w:rsidP="00EA2274">
            <w:pPr>
              <w:ind w:left="720"/>
              <w:contextualSpacing/>
              <w:rPr>
                <w:rFonts w:ascii="Calibri" w:hAnsi="Calibri" w:cs="Calibri"/>
              </w:rPr>
            </w:pP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ID</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No</w:t>
            </w:r>
          </w:p>
        </w:tc>
        <w:tc>
          <w:tcPr>
            <w:tcW w:w="0" w:type="auto"/>
          </w:tcPr>
          <w:p w:rsidR="003C184D" w:rsidRPr="00CA2BDD" w:rsidRDefault="003C184D" w:rsidP="00EA2274">
            <w:pPr>
              <w:ind w:left="720"/>
              <w:contextualSpacing/>
              <w:rPr>
                <w:rFonts w:ascii="Calibri" w:hAnsi="Calibri" w:cs="Calibri"/>
              </w:rPr>
            </w:pP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IL</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Passed and effective December 2008</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Includes diagnostic and treatment services including ABA for those under age 21, up to $36,000 per year</w:t>
            </w: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IN</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Passed and effective June 2001</w:t>
            </w:r>
          </w:p>
        </w:tc>
        <w:tc>
          <w:tcPr>
            <w:tcW w:w="0" w:type="auto"/>
          </w:tcPr>
          <w:p w:rsidR="003C184D" w:rsidRPr="00CA2BDD" w:rsidRDefault="003C184D" w:rsidP="00EA2274">
            <w:pPr>
              <w:ind w:left="720"/>
              <w:contextualSpacing/>
              <w:rPr>
                <w:rFonts w:ascii="Calibri" w:hAnsi="Calibri" w:cs="Calibri"/>
              </w:rPr>
            </w:pP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IA</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No, applies to state employees only</w:t>
            </w:r>
          </w:p>
        </w:tc>
        <w:tc>
          <w:tcPr>
            <w:tcW w:w="0" w:type="auto"/>
          </w:tcPr>
          <w:p w:rsidR="003C184D" w:rsidRPr="00CA2BDD" w:rsidRDefault="003C184D" w:rsidP="00EA2274">
            <w:pPr>
              <w:contextualSpacing/>
              <w:rPr>
                <w:rFonts w:ascii="Calibri" w:hAnsi="Calibri" w:cs="Calibri"/>
              </w:rPr>
            </w:pP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KS</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No, applies to state employees only</w:t>
            </w:r>
          </w:p>
        </w:tc>
        <w:tc>
          <w:tcPr>
            <w:tcW w:w="0" w:type="auto"/>
          </w:tcPr>
          <w:p w:rsidR="003C184D" w:rsidRPr="00CA2BDD" w:rsidRDefault="003C184D" w:rsidP="00EA2274">
            <w:pPr>
              <w:ind w:left="720"/>
              <w:contextualSpacing/>
              <w:rPr>
                <w:rFonts w:ascii="Calibri" w:hAnsi="Calibri" w:cs="Calibri"/>
              </w:rPr>
            </w:pP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KY</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Passed April 2010, effective January 2011</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Includes ABA but coverage limited to $50,000 for ages 1-6, max monthly benefit of $1,000 for ages 7-21</w:t>
            </w: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lastRenderedPageBreak/>
              <w:t>LA</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Passed July 2008, effective Jan. 2009</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Covers ages 17 and under.  Includes ABA. Limited at $36,000 per year.</w:t>
            </w: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ME</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Passed April 2010, effective Jan. 2011</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 xml:space="preserve">Only covers </w:t>
            </w:r>
            <w:r>
              <w:rPr>
                <w:rFonts w:ascii="Calibri" w:hAnsi="Calibri" w:cs="Calibri"/>
              </w:rPr>
              <w:t xml:space="preserve"> children </w:t>
            </w:r>
            <w:r w:rsidRPr="00CA2BDD">
              <w:rPr>
                <w:rFonts w:ascii="Calibri" w:hAnsi="Calibri" w:cs="Calibri"/>
              </w:rPr>
              <w:t>5 and under, ABA limited to $36,000 per year</w:t>
            </w: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MD</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No</w:t>
            </w:r>
          </w:p>
        </w:tc>
        <w:tc>
          <w:tcPr>
            <w:tcW w:w="0" w:type="auto"/>
          </w:tcPr>
          <w:p w:rsidR="003C184D" w:rsidRPr="00CA2BDD" w:rsidRDefault="003C184D" w:rsidP="00EA2274">
            <w:pPr>
              <w:contextualSpacing/>
              <w:rPr>
                <w:rFonts w:ascii="Calibri" w:hAnsi="Calibri" w:cs="Calibri"/>
              </w:rPr>
            </w:pP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MA</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Passed August 2010, effective Jan. 2011</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Includes ABA</w:t>
            </w: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MI*</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Passed April 2012, effective October 2012</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 xml:space="preserve">ASD coverage mandates with $50,000 annual limit for </w:t>
            </w:r>
            <w:r>
              <w:rPr>
                <w:rFonts w:ascii="Calibri" w:hAnsi="Calibri" w:cs="Calibri"/>
              </w:rPr>
              <w:t xml:space="preserve">children </w:t>
            </w:r>
            <w:r w:rsidRPr="00CA2BDD">
              <w:rPr>
                <w:rFonts w:ascii="Calibri" w:hAnsi="Calibri" w:cs="Calibri"/>
              </w:rPr>
              <w:t>under 7 years, $40,000 for ages 7-12 and $30,000 for ages 13-18</w:t>
            </w: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MS</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No</w:t>
            </w:r>
          </w:p>
        </w:tc>
        <w:tc>
          <w:tcPr>
            <w:tcW w:w="0" w:type="auto"/>
          </w:tcPr>
          <w:p w:rsidR="003C184D" w:rsidRPr="00CA2BDD" w:rsidRDefault="003C184D" w:rsidP="00EA2274">
            <w:pPr>
              <w:contextualSpacing/>
              <w:rPr>
                <w:rFonts w:ascii="Calibri" w:hAnsi="Calibri" w:cs="Calibri"/>
              </w:rPr>
            </w:pP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MO</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Passed June 2010, effective Jan. 2011</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Up to age 18, max $40,000 of ABA coverage per year</w:t>
            </w: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MN</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No</w:t>
            </w:r>
          </w:p>
        </w:tc>
        <w:tc>
          <w:tcPr>
            <w:tcW w:w="0" w:type="auto"/>
          </w:tcPr>
          <w:p w:rsidR="003C184D" w:rsidRPr="00CA2BDD" w:rsidRDefault="003C184D" w:rsidP="00EA2274">
            <w:pPr>
              <w:contextualSpacing/>
              <w:rPr>
                <w:rFonts w:ascii="Calibri" w:hAnsi="Calibri" w:cs="Calibri"/>
              </w:rPr>
            </w:pP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MT</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Passed May 2009, effective Jan. 2010</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Up to age 18, $50,000 per year for a child 8 and younger, $20,000 per year for child 9-18</w:t>
            </w: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NE</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No</w:t>
            </w:r>
          </w:p>
        </w:tc>
        <w:tc>
          <w:tcPr>
            <w:tcW w:w="0" w:type="auto"/>
          </w:tcPr>
          <w:p w:rsidR="003C184D" w:rsidRPr="00CA2BDD" w:rsidRDefault="003C184D" w:rsidP="00EA2274">
            <w:pPr>
              <w:contextualSpacing/>
              <w:rPr>
                <w:rFonts w:ascii="Calibri" w:hAnsi="Calibri" w:cs="Calibri"/>
              </w:rPr>
            </w:pP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NV</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Passed in May 2009, effective Jan. 2011</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Includes ABA up to $36,000 per year, up to age 18 or 21 if in high school</w:t>
            </w: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NH</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Passed July 2010, effective January 2011</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Includes ABA, $36,000 cap on ABA for up to age 12, $27,000 up to age 21</w:t>
            </w: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NJ</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Passed August 2009, effective Feb. 2010</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Up to age 21, ABA included</w:t>
            </w: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NM</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Passed April 2009, effective June 2009</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ABA included, up to age 18 or age 22 if in high school, $36,000 per year</w:t>
            </w: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NY*</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Passed June 2011, effective November 2012</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ABA included up to $45,000 per year</w:t>
            </w: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NC</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No</w:t>
            </w:r>
          </w:p>
        </w:tc>
        <w:tc>
          <w:tcPr>
            <w:tcW w:w="0" w:type="auto"/>
          </w:tcPr>
          <w:p w:rsidR="003C184D" w:rsidRPr="00CA2BDD" w:rsidRDefault="003C184D" w:rsidP="00EA2274">
            <w:pPr>
              <w:contextualSpacing/>
              <w:rPr>
                <w:rFonts w:ascii="Calibri" w:hAnsi="Calibri" w:cs="Calibri"/>
              </w:rPr>
            </w:pP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ND</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No</w:t>
            </w:r>
          </w:p>
        </w:tc>
        <w:tc>
          <w:tcPr>
            <w:tcW w:w="0" w:type="auto"/>
          </w:tcPr>
          <w:p w:rsidR="003C184D" w:rsidRPr="00CA2BDD" w:rsidRDefault="003C184D" w:rsidP="00EA2274">
            <w:pPr>
              <w:contextualSpacing/>
              <w:rPr>
                <w:rFonts w:ascii="Calibri" w:hAnsi="Calibri" w:cs="Calibri"/>
              </w:rPr>
            </w:pP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OH</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No</w:t>
            </w:r>
          </w:p>
        </w:tc>
        <w:tc>
          <w:tcPr>
            <w:tcW w:w="0" w:type="auto"/>
          </w:tcPr>
          <w:p w:rsidR="003C184D" w:rsidRPr="00CA2BDD" w:rsidRDefault="003C184D" w:rsidP="00EA2274">
            <w:pPr>
              <w:contextualSpacing/>
              <w:rPr>
                <w:rFonts w:ascii="Calibri" w:hAnsi="Calibri" w:cs="Calibri"/>
              </w:rPr>
            </w:pP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OK</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No</w:t>
            </w:r>
          </w:p>
        </w:tc>
        <w:tc>
          <w:tcPr>
            <w:tcW w:w="0" w:type="auto"/>
          </w:tcPr>
          <w:p w:rsidR="003C184D" w:rsidRPr="00CA2BDD" w:rsidRDefault="003C184D" w:rsidP="00EA2274">
            <w:pPr>
              <w:contextualSpacing/>
              <w:rPr>
                <w:rFonts w:ascii="Calibri" w:hAnsi="Calibri" w:cs="Calibri"/>
              </w:rPr>
            </w:pP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lastRenderedPageBreak/>
              <w:t>OR</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No</w:t>
            </w:r>
          </w:p>
        </w:tc>
        <w:tc>
          <w:tcPr>
            <w:tcW w:w="0" w:type="auto"/>
          </w:tcPr>
          <w:p w:rsidR="003C184D" w:rsidRPr="00CA2BDD" w:rsidRDefault="003C184D" w:rsidP="00EA2274">
            <w:pPr>
              <w:contextualSpacing/>
              <w:rPr>
                <w:rFonts w:ascii="Calibri" w:hAnsi="Calibri" w:cs="Calibri"/>
              </w:rPr>
            </w:pP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PA</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Passed July 2008, effective July 2009</w:t>
            </w:r>
          </w:p>
        </w:tc>
        <w:tc>
          <w:tcPr>
            <w:tcW w:w="0" w:type="auto"/>
          </w:tcPr>
          <w:p w:rsidR="003C184D" w:rsidRPr="00CA2BDD" w:rsidRDefault="003C184D" w:rsidP="00EA2274">
            <w:pPr>
              <w:contextualSpacing/>
              <w:rPr>
                <w:rFonts w:ascii="Calibri" w:hAnsi="Calibri" w:cs="Calibri"/>
              </w:rPr>
            </w:pP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RI*</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Passed June 2011, effective January 2012</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ASD therapies covered up to age 15, ABA covered with $32,000 maximum yearly benefit</w:t>
            </w: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SC</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Passed June 2007, effective July 2008</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Up to age 16</w:t>
            </w: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SD</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No</w:t>
            </w:r>
          </w:p>
        </w:tc>
        <w:tc>
          <w:tcPr>
            <w:tcW w:w="0" w:type="auto"/>
          </w:tcPr>
          <w:p w:rsidR="003C184D" w:rsidRPr="00CA2BDD" w:rsidRDefault="003C184D" w:rsidP="00EA2274">
            <w:pPr>
              <w:contextualSpacing/>
              <w:rPr>
                <w:rFonts w:ascii="Calibri" w:hAnsi="Calibri" w:cs="Calibri"/>
              </w:rPr>
            </w:pP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TN</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No</w:t>
            </w:r>
          </w:p>
        </w:tc>
        <w:tc>
          <w:tcPr>
            <w:tcW w:w="0" w:type="auto"/>
          </w:tcPr>
          <w:p w:rsidR="003C184D" w:rsidRPr="00CA2BDD" w:rsidRDefault="003C184D" w:rsidP="00EA2274">
            <w:pPr>
              <w:contextualSpacing/>
              <w:rPr>
                <w:rFonts w:ascii="Calibri" w:hAnsi="Calibri" w:cs="Calibri"/>
              </w:rPr>
            </w:pP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TX</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 xml:space="preserve">Passed in June 2007, effective January 2008  </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2007 legislation covered only ages 2-6.  Expanded to older age groups with new legislation passed June 2009, effective Jan. 2010.</w:t>
            </w: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UT</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No</w:t>
            </w:r>
          </w:p>
        </w:tc>
        <w:tc>
          <w:tcPr>
            <w:tcW w:w="0" w:type="auto"/>
          </w:tcPr>
          <w:p w:rsidR="003C184D" w:rsidRPr="00CA2BDD" w:rsidRDefault="003C184D" w:rsidP="00EA2274">
            <w:pPr>
              <w:contextualSpacing/>
              <w:rPr>
                <w:rFonts w:ascii="Calibri" w:hAnsi="Calibri" w:cs="Calibri"/>
              </w:rPr>
            </w:pP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VT*</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Passed May 2010, effective July 2011</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 xml:space="preserve">Only applies to </w:t>
            </w:r>
            <w:r>
              <w:rPr>
                <w:rFonts w:ascii="Calibri" w:hAnsi="Calibri" w:cs="Calibri"/>
              </w:rPr>
              <w:t xml:space="preserve">children </w:t>
            </w:r>
            <w:r w:rsidRPr="00CA2BDD">
              <w:rPr>
                <w:rFonts w:ascii="Calibri" w:hAnsi="Calibri" w:cs="Calibri"/>
              </w:rPr>
              <w:t>under 6, more expansive law passed in 2012.</w:t>
            </w: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VA*</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Passed May 2011, effective January 2012</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May 2011 law applies to ages 2-6, more expansive law passed in 2012.</w:t>
            </w:r>
          </w:p>
        </w:tc>
      </w:tr>
      <w:tr w:rsidR="003C184D" w:rsidRPr="00CA2BD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WA</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No</w:t>
            </w:r>
          </w:p>
        </w:tc>
        <w:tc>
          <w:tcPr>
            <w:tcW w:w="0" w:type="auto"/>
          </w:tcPr>
          <w:p w:rsidR="003C184D" w:rsidRPr="00CA2BDD" w:rsidRDefault="003C184D" w:rsidP="00EA2274">
            <w:pPr>
              <w:contextualSpacing/>
              <w:rPr>
                <w:rFonts w:ascii="Calibri" w:hAnsi="Calibri" w:cs="Calibri"/>
              </w:rPr>
            </w:pPr>
          </w:p>
        </w:tc>
      </w:tr>
      <w:tr w:rsidR="003C184D" w:rsidTr="00EA2274">
        <w:tc>
          <w:tcPr>
            <w:tcW w:w="0" w:type="auto"/>
          </w:tcPr>
          <w:p w:rsidR="003C184D" w:rsidRPr="00CA2BDD" w:rsidRDefault="003C184D" w:rsidP="00EA2274">
            <w:pPr>
              <w:contextualSpacing/>
              <w:rPr>
                <w:rFonts w:ascii="Calibri" w:hAnsi="Calibri" w:cs="Calibri"/>
              </w:rPr>
            </w:pPr>
            <w:r w:rsidRPr="00CA2BDD">
              <w:rPr>
                <w:rFonts w:ascii="Calibri" w:hAnsi="Calibri" w:cs="Calibri"/>
              </w:rPr>
              <w:t>WI</w:t>
            </w:r>
          </w:p>
        </w:tc>
        <w:tc>
          <w:tcPr>
            <w:tcW w:w="0" w:type="auto"/>
          </w:tcPr>
          <w:p w:rsidR="003C184D" w:rsidRPr="00CA2BDD" w:rsidRDefault="003C184D" w:rsidP="00EA2274">
            <w:pPr>
              <w:contextualSpacing/>
              <w:rPr>
                <w:rFonts w:ascii="Calibri" w:hAnsi="Calibri" w:cs="Calibri"/>
              </w:rPr>
            </w:pPr>
            <w:r w:rsidRPr="00CA2BDD">
              <w:rPr>
                <w:rFonts w:ascii="Calibri" w:hAnsi="Calibri" w:cs="Calibri"/>
              </w:rPr>
              <w:t>Passed June 2009, effective Nov. 2009</w:t>
            </w:r>
          </w:p>
        </w:tc>
        <w:tc>
          <w:tcPr>
            <w:tcW w:w="0" w:type="auto"/>
          </w:tcPr>
          <w:p w:rsidR="003C184D" w:rsidRPr="007426B7" w:rsidRDefault="003C184D" w:rsidP="00EA2274">
            <w:pPr>
              <w:contextualSpacing/>
              <w:rPr>
                <w:rFonts w:ascii="Calibri" w:hAnsi="Calibri" w:cs="Calibri"/>
              </w:rPr>
            </w:pPr>
            <w:r w:rsidRPr="00CA2BDD">
              <w:rPr>
                <w:rFonts w:ascii="Calibri" w:hAnsi="Calibri" w:cs="Calibri"/>
              </w:rPr>
              <w:t>Covers diagnosis and treatment up to $50,000 per year for four years; after four years, covers at least $25,000 annually</w:t>
            </w:r>
          </w:p>
        </w:tc>
      </w:tr>
      <w:tr w:rsidR="003C184D" w:rsidTr="00EA2274">
        <w:tc>
          <w:tcPr>
            <w:tcW w:w="0" w:type="auto"/>
          </w:tcPr>
          <w:p w:rsidR="003C184D" w:rsidRPr="007426B7" w:rsidRDefault="003C184D" w:rsidP="00EA2274">
            <w:pPr>
              <w:contextualSpacing/>
              <w:rPr>
                <w:rFonts w:ascii="Calibri" w:hAnsi="Calibri" w:cs="Calibri"/>
              </w:rPr>
            </w:pPr>
            <w:r w:rsidRPr="007426B7">
              <w:rPr>
                <w:rFonts w:ascii="Calibri" w:hAnsi="Calibri" w:cs="Calibri"/>
              </w:rPr>
              <w:t>WV</w:t>
            </w:r>
            <w:r>
              <w:rPr>
                <w:rFonts w:ascii="Calibri" w:hAnsi="Calibri" w:cs="Calibri"/>
              </w:rPr>
              <w:t>*</w:t>
            </w:r>
          </w:p>
        </w:tc>
        <w:tc>
          <w:tcPr>
            <w:tcW w:w="0" w:type="auto"/>
          </w:tcPr>
          <w:p w:rsidR="003C184D" w:rsidRPr="007426B7" w:rsidRDefault="003C184D" w:rsidP="00EA2274">
            <w:pPr>
              <w:contextualSpacing/>
              <w:rPr>
                <w:rFonts w:ascii="Calibri" w:hAnsi="Calibri" w:cs="Calibri"/>
              </w:rPr>
            </w:pPr>
            <w:r>
              <w:rPr>
                <w:rFonts w:ascii="Calibri" w:hAnsi="Calibri" w:cs="Calibri"/>
              </w:rPr>
              <w:t>Passed April 2011, effective June 2012</w:t>
            </w:r>
          </w:p>
        </w:tc>
        <w:tc>
          <w:tcPr>
            <w:tcW w:w="0" w:type="auto"/>
          </w:tcPr>
          <w:p w:rsidR="003C184D" w:rsidRPr="007426B7" w:rsidRDefault="003C184D" w:rsidP="00EA2274">
            <w:pPr>
              <w:contextualSpacing/>
              <w:rPr>
                <w:rFonts w:ascii="Calibri" w:hAnsi="Calibri" w:cs="Calibri"/>
              </w:rPr>
            </w:pPr>
            <w:r>
              <w:rPr>
                <w:rFonts w:ascii="Calibri" w:hAnsi="Calibri" w:cs="Calibri"/>
              </w:rPr>
              <w:t>$30,000 annual cap on ABA</w:t>
            </w:r>
          </w:p>
        </w:tc>
      </w:tr>
      <w:tr w:rsidR="003C184D" w:rsidTr="00EA2274">
        <w:tc>
          <w:tcPr>
            <w:tcW w:w="0" w:type="auto"/>
          </w:tcPr>
          <w:p w:rsidR="003C184D" w:rsidRPr="007426B7" w:rsidRDefault="003C184D" w:rsidP="00EA2274">
            <w:pPr>
              <w:contextualSpacing/>
              <w:rPr>
                <w:rFonts w:ascii="Calibri" w:hAnsi="Calibri" w:cs="Calibri"/>
              </w:rPr>
            </w:pPr>
            <w:r w:rsidRPr="007426B7">
              <w:rPr>
                <w:rFonts w:ascii="Calibri" w:hAnsi="Calibri" w:cs="Calibri"/>
              </w:rPr>
              <w:t>WY</w:t>
            </w:r>
          </w:p>
        </w:tc>
        <w:tc>
          <w:tcPr>
            <w:tcW w:w="0" w:type="auto"/>
          </w:tcPr>
          <w:p w:rsidR="003C184D" w:rsidRPr="007426B7" w:rsidRDefault="003C184D" w:rsidP="00EA2274">
            <w:pPr>
              <w:contextualSpacing/>
              <w:rPr>
                <w:rFonts w:ascii="Calibri" w:hAnsi="Calibri" w:cs="Calibri"/>
              </w:rPr>
            </w:pPr>
            <w:r w:rsidRPr="007426B7">
              <w:rPr>
                <w:rFonts w:ascii="Calibri" w:hAnsi="Calibri" w:cs="Calibri"/>
              </w:rPr>
              <w:t>No</w:t>
            </w:r>
          </w:p>
        </w:tc>
        <w:tc>
          <w:tcPr>
            <w:tcW w:w="0" w:type="auto"/>
          </w:tcPr>
          <w:p w:rsidR="003C184D" w:rsidRPr="007426B7" w:rsidRDefault="003C184D" w:rsidP="00EA2274">
            <w:pPr>
              <w:contextualSpacing/>
              <w:rPr>
                <w:rFonts w:ascii="Calibri" w:hAnsi="Calibri" w:cs="Calibri"/>
              </w:rPr>
            </w:pPr>
          </w:p>
        </w:tc>
      </w:tr>
    </w:tbl>
    <w:p w:rsidR="003C184D" w:rsidRDefault="003C184D" w:rsidP="003C184D">
      <w:pPr>
        <w:spacing w:after="0" w:line="240" w:lineRule="auto"/>
      </w:pPr>
      <w:r w:rsidRPr="001C73DC">
        <w:t>Notes: (1) OR pass</w:t>
      </w:r>
      <w:r>
        <w:t>ed a mandate that includes all pervasive developmental disorders, not just AASD</w:t>
      </w:r>
      <w:r w:rsidRPr="001C73DC">
        <w:t>, so</w:t>
      </w:r>
      <w:r>
        <w:t xml:space="preserve"> we do not consider it an ASD</w:t>
      </w:r>
      <w:r w:rsidRPr="001C73DC">
        <w:t xml:space="preserve"> mandate. (2)</w:t>
      </w:r>
      <w:r>
        <w:t xml:space="preserve"> </w:t>
      </w:r>
      <w:r w:rsidRPr="001C73DC">
        <w:t>KS and IA passed mandates that did not apply to everyone, just state employees – we did not consider it a mandate. (3)</w:t>
      </w:r>
      <w:r>
        <w:t xml:space="preserve"> Asterix indicates that the legislation went into effect after our study period, which ends in March 2011. (4) ASD stands for Autism Spectrum Disorder, and ABA stands for Applied Behavioral Analysis.</w:t>
      </w:r>
      <w:r w:rsidRPr="001C73DC">
        <w:t xml:space="preserve">  </w:t>
      </w:r>
    </w:p>
    <w:p w:rsidR="003C184D" w:rsidRPr="001C73DC" w:rsidRDefault="003C184D" w:rsidP="003C184D">
      <w:pPr>
        <w:spacing w:after="0" w:line="240" w:lineRule="auto"/>
        <w:sectPr w:rsidR="003C184D" w:rsidRPr="001C73DC" w:rsidSect="00A546A5">
          <w:headerReference w:type="even" r:id="rId6"/>
          <w:headerReference w:type="default" r:id="rId7"/>
          <w:footerReference w:type="even" r:id="rId8"/>
          <w:footerReference w:type="default" r:id="rId9"/>
          <w:headerReference w:type="first" r:id="rId10"/>
          <w:footerReference w:type="first" r:id="rId11"/>
          <w:endnotePr>
            <w:numFmt w:val="decimal"/>
          </w:endnotePr>
          <w:pgSz w:w="15840" w:h="12240" w:orient="landscape" w:code="1"/>
          <w:pgMar w:top="1440" w:right="1440" w:bottom="1440" w:left="1440" w:header="720" w:footer="720" w:gutter="0"/>
          <w:cols w:space="720"/>
          <w:docGrid w:linePitch="360"/>
        </w:sectPr>
      </w:pPr>
      <w:r w:rsidRPr="001C73DC">
        <w:t xml:space="preserve">Source: </w:t>
      </w:r>
      <w:r>
        <w:t xml:space="preserve">  </w:t>
      </w:r>
      <w:hyperlink r:id="rId12" w:history="1">
        <w:r w:rsidRPr="00B6276C">
          <w:rPr>
            <w:rStyle w:val="Hyperlink"/>
          </w:rPr>
          <w:t>http://www.autismspeaks.org/advocacy/states</w:t>
        </w:r>
      </w:hyperlink>
      <w:r>
        <w:t xml:space="preserve">, Accessed, 1/13. </w:t>
      </w:r>
    </w:p>
    <w:tbl>
      <w:tblPr>
        <w:tblW w:w="52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0"/>
        <w:gridCol w:w="822"/>
        <w:gridCol w:w="894"/>
        <w:gridCol w:w="573"/>
        <w:gridCol w:w="596"/>
        <w:gridCol w:w="620"/>
        <w:gridCol w:w="620"/>
        <w:gridCol w:w="622"/>
      </w:tblGrid>
      <w:tr w:rsidR="003C184D" w:rsidRPr="00193117" w:rsidTr="00EA2274">
        <w:trPr>
          <w:trHeight w:val="300"/>
        </w:trPr>
        <w:tc>
          <w:tcPr>
            <w:tcW w:w="5000" w:type="pct"/>
            <w:gridSpan w:val="8"/>
            <w:shd w:val="clear" w:color="auto" w:fill="auto"/>
            <w:noWrap/>
            <w:vAlign w:val="bottom"/>
            <w:hideMark/>
          </w:tcPr>
          <w:p w:rsidR="003C184D" w:rsidRPr="000926B5" w:rsidRDefault="003C184D" w:rsidP="00EA227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lastRenderedPageBreak/>
              <w:t xml:space="preserve">Appendix </w:t>
            </w:r>
            <w:r w:rsidRPr="000926B5">
              <w:rPr>
                <w:rFonts w:ascii="Calibri" w:eastAsia="Times New Roman" w:hAnsi="Calibri" w:cs="Calibri"/>
                <w:color w:val="000000"/>
                <w:sz w:val="20"/>
                <w:szCs w:val="20"/>
              </w:rPr>
              <w:t>Table 2: Weighted Means for DDD Sample</w:t>
            </w:r>
          </w:p>
          <w:p w:rsidR="003C184D" w:rsidRPr="000926B5" w:rsidRDefault="003C184D" w:rsidP="00EA2274">
            <w:pPr>
              <w:spacing w:after="0" w:line="240" w:lineRule="auto"/>
              <w:jc w:val="center"/>
              <w:rPr>
                <w:rFonts w:ascii="Calibri" w:eastAsia="Times New Roman" w:hAnsi="Calibri" w:cs="Calibri"/>
                <w:color w:val="000000"/>
                <w:sz w:val="20"/>
                <w:szCs w:val="20"/>
              </w:rPr>
            </w:pPr>
            <w:r w:rsidRPr="000926B5">
              <w:rPr>
                <w:rFonts w:ascii="Calibri" w:eastAsia="Times New Roman" w:hAnsi="Calibri" w:cs="Calibri"/>
                <w:color w:val="000000"/>
                <w:sz w:val="20"/>
                <w:szCs w:val="20"/>
              </w:rPr>
              <w:t xml:space="preserve">Sample Includes Privately Insured CSHCN in Treatment </w:t>
            </w:r>
            <w:r>
              <w:rPr>
                <w:rFonts w:ascii="Calibri" w:eastAsia="Times New Roman" w:hAnsi="Calibri" w:cs="Calibri"/>
                <w:color w:val="000000"/>
                <w:sz w:val="20"/>
                <w:szCs w:val="20"/>
              </w:rPr>
              <w:t>(Tx) Group or Comparison Group 2</w:t>
            </w:r>
            <w:r w:rsidRPr="000926B5">
              <w:rPr>
                <w:rFonts w:ascii="Calibri" w:eastAsia="Times New Roman" w:hAnsi="Calibri" w:cs="Calibri"/>
                <w:color w:val="000000"/>
                <w:sz w:val="20"/>
                <w:szCs w:val="20"/>
              </w:rPr>
              <w:t xml:space="preserve"> from All States</w:t>
            </w:r>
          </w:p>
        </w:tc>
      </w:tr>
      <w:tr w:rsidR="003C184D" w:rsidRPr="00193117" w:rsidTr="00EA2274">
        <w:trPr>
          <w:trHeight w:val="300"/>
        </w:trPr>
        <w:tc>
          <w:tcPr>
            <w:tcW w:w="2748" w:type="pct"/>
            <w:shd w:val="clear" w:color="auto" w:fill="auto"/>
            <w:noWrap/>
            <w:vAlign w:val="bottom"/>
            <w:hideMark/>
          </w:tcPr>
          <w:p w:rsidR="003C184D" w:rsidRPr="000926B5" w:rsidRDefault="003C184D" w:rsidP="00EA2274">
            <w:pPr>
              <w:spacing w:after="0" w:line="240" w:lineRule="auto"/>
              <w:rPr>
                <w:rFonts w:ascii="Calibri" w:eastAsia="Times New Roman" w:hAnsi="Calibri" w:cs="Calibri"/>
                <w:color w:val="000000"/>
                <w:sz w:val="20"/>
                <w:szCs w:val="20"/>
              </w:rPr>
            </w:pPr>
          </w:p>
        </w:tc>
        <w:tc>
          <w:tcPr>
            <w:tcW w:w="390" w:type="pct"/>
            <w:shd w:val="clear" w:color="auto" w:fill="auto"/>
            <w:noWrap/>
            <w:vAlign w:val="bottom"/>
            <w:hideMark/>
          </w:tcPr>
          <w:p w:rsidR="003C184D" w:rsidRPr="000926B5" w:rsidRDefault="003C184D" w:rsidP="00EA2274">
            <w:pPr>
              <w:spacing w:after="0" w:line="240" w:lineRule="auto"/>
              <w:jc w:val="center"/>
              <w:rPr>
                <w:rFonts w:ascii="Calibri" w:eastAsia="Times New Roman" w:hAnsi="Calibri" w:cs="Calibri"/>
                <w:color w:val="000000"/>
                <w:sz w:val="20"/>
                <w:szCs w:val="20"/>
              </w:rPr>
            </w:pPr>
            <w:r w:rsidRPr="000926B5">
              <w:rPr>
                <w:rFonts w:ascii="Calibri" w:eastAsia="Times New Roman" w:hAnsi="Calibri" w:cs="Calibri"/>
                <w:color w:val="000000"/>
                <w:sz w:val="20"/>
                <w:szCs w:val="20"/>
              </w:rPr>
              <w:t>(1)</w:t>
            </w:r>
          </w:p>
          <w:p w:rsidR="003C184D" w:rsidRPr="000926B5" w:rsidRDefault="003C184D" w:rsidP="00EA2274">
            <w:pPr>
              <w:spacing w:after="0" w:line="240" w:lineRule="auto"/>
              <w:jc w:val="center"/>
              <w:rPr>
                <w:rFonts w:ascii="Calibri" w:eastAsia="Times New Roman" w:hAnsi="Calibri" w:cs="Calibri"/>
                <w:color w:val="000000"/>
                <w:sz w:val="20"/>
                <w:szCs w:val="20"/>
              </w:rPr>
            </w:pPr>
            <w:r w:rsidRPr="000926B5">
              <w:rPr>
                <w:rFonts w:ascii="Calibri" w:eastAsia="Times New Roman" w:hAnsi="Calibri" w:cs="Calibri"/>
                <w:color w:val="000000"/>
                <w:sz w:val="20"/>
                <w:szCs w:val="20"/>
              </w:rPr>
              <w:t xml:space="preserve">Tx + </w:t>
            </w:r>
          </w:p>
          <w:p w:rsidR="003C184D" w:rsidRPr="000926B5" w:rsidRDefault="003C184D" w:rsidP="00EA227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Comp 2</w:t>
            </w:r>
            <w:r w:rsidRPr="000926B5">
              <w:rPr>
                <w:rFonts w:ascii="Calibri" w:eastAsia="Times New Roman" w:hAnsi="Calibri" w:cs="Calibri"/>
                <w:color w:val="000000"/>
                <w:sz w:val="20"/>
                <w:szCs w:val="20"/>
              </w:rPr>
              <w:t xml:space="preserve"> </w:t>
            </w:r>
          </w:p>
        </w:tc>
        <w:tc>
          <w:tcPr>
            <w:tcW w:w="424" w:type="pct"/>
            <w:shd w:val="clear" w:color="auto" w:fill="auto"/>
            <w:noWrap/>
            <w:vAlign w:val="bottom"/>
            <w:hideMark/>
          </w:tcPr>
          <w:p w:rsidR="003C184D" w:rsidRPr="000926B5" w:rsidRDefault="003C184D" w:rsidP="00EA2274">
            <w:pPr>
              <w:spacing w:after="0" w:line="240" w:lineRule="auto"/>
              <w:jc w:val="center"/>
              <w:rPr>
                <w:rFonts w:ascii="Calibri" w:eastAsia="Times New Roman" w:hAnsi="Calibri" w:cs="Calibri"/>
                <w:color w:val="000000"/>
                <w:sz w:val="20"/>
                <w:szCs w:val="20"/>
              </w:rPr>
            </w:pPr>
            <w:r w:rsidRPr="000926B5">
              <w:rPr>
                <w:rFonts w:ascii="Calibri" w:eastAsia="Times New Roman" w:hAnsi="Calibri" w:cs="Calibri"/>
                <w:color w:val="000000"/>
                <w:sz w:val="20"/>
                <w:szCs w:val="20"/>
              </w:rPr>
              <w:t>(2)</w:t>
            </w:r>
          </w:p>
          <w:p w:rsidR="003C184D" w:rsidRPr="000926B5" w:rsidRDefault="003C184D" w:rsidP="00EA2274">
            <w:pPr>
              <w:spacing w:after="0" w:line="240" w:lineRule="auto"/>
              <w:jc w:val="center"/>
              <w:rPr>
                <w:rFonts w:ascii="Calibri" w:eastAsia="Times New Roman" w:hAnsi="Calibri" w:cs="Calibri"/>
                <w:color w:val="000000"/>
                <w:sz w:val="20"/>
                <w:szCs w:val="20"/>
              </w:rPr>
            </w:pPr>
            <w:r w:rsidRPr="000926B5">
              <w:rPr>
                <w:rFonts w:ascii="Calibri" w:eastAsia="Times New Roman" w:hAnsi="Calibri" w:cs="Calibri"/>
                <w:color w:val="000000"/>
                <w:sz w:val="20"/>
                <w:szCs w:val="20"/>
              </w:rPr>
              <w:t>Tx=</w:t>
            </w:r>
          </w:p>
          <w:p w:rsidR="003C184D" w:rsidRPr="000926B5" w:rsidRDefault="003C184D" w:rsidP="00EA2274">
            <w:pPr>
              <w:spacing w:after="0" w:line="240" w:lineRule="auto"/>
              <w:jc w:val="center"/>
              <w:rPr>
                <w:rFonts w:ascii="Calibri" w:eastAsia="Times New Roman" w:hAnsi="Calibri" w:cs="Calibri"/>
                <w:color w:val="000000"/>
                <w:sz w:val="20"/>
                <w:szCs w:val="20"/>
              </w:rPr>
            </w:pPr>
            <w:r w:rsidRPr="000926B5">
              <w:rPr>
                <w:rFonts w:ascii="Calibri" w:eastAsia="Times New Roman" w:hAnsi="Calibri" w:cs="Calibri"/>
                <w:color w:val="000000"/>
                <w:sz w:val="20"/>
                <w:szCs w:val="20"/>
              </w:rPr>
              <w:t>1</w:t>
            </w:r>
          </w:p>
        </w:tc>
        <w:tc>
          <w:tcPr>
            <w:tcW w:w="272" w:type="pct"/>
            <w:shd w:val="clear" w:color="auto" w:fill="auto"/>
            <w:noWrap/>
            <w:vAlign w:val="bottom"/>
            <w:hideMark/>
          </w:tcPr>
          <w:p w:rsidR="003C184D" w:rsidRPr="000926B5" w:rsidRDefault="003C184D" w:rsidP="00EA2274">
            <w:pPr>
              <w:spacing w:after="0" w:line="240" w:lineRule="auto"/>
              <w:jc w:val="center"/>
              <w:rPr>
                <w:rFonts w:ascii="Calibri" w:eastAsia="Times New Roman" w:hAnsi="Calibri" w:cs="Calibri"/>
                <w:color w:val="000000"/>
                <w:sz w:val="20"/>
                <w:szCs w:val="20"/>
              </w:rPr>
            </w:pPr>
            <w:r w:rsidRPr="000926B5">
              <w:rPr>
                <w:rFonts w:ascii="Calibri" w:eastAsia="Times New Roman" w:hAnsi="Calibri" w:cs="Calibri"/>
                <w:color w:val="000000"/>
                <w:sz w:val="20"/>
                <w:szCs w:val="20"/>
              </w:rPr>
              <w:t>(3)</w:t>
            </w:r>
          </w:p>
          <w:p w:rsidR="003C184D" w:rsidRPr="000926B5" w:rsidRDefault="003C184D" w:rsidP="00EA2274">
            <w:pPr>
              <w:spacing w:after="0" w:line="240" w:lineRule="auto"/>
              <w:jc w:val="center"/>
              <w:rPr>
                <w:rFonts w:ascii="Calibri" w:eastAsia="Times New Roman" w:hAnsi="Calibri" w:cs="Calibri"/>
                <w:color w:val="000000"/>
                <w:sz w:val="20"/>
                <w:szCs w:val="20"/>
              </w:rPr>
            </w:pPr>
            <w:r w:rsidRPr="000926B5">
              <w:rPr>
                <w:rFonts w:ascii="Calibri" w:eastAsia="Times New Roman" w:hAnsi="Calibri" w:cs="Calibri"/>
                <w:color w:val="000000"/>
                <w:sz w:val="20"/>
                <w:szCs w:val="20"/>
              </w:rPr>
              <w:t>Tx</w:t>
            </w:r>
          </w:p>
          <w:p w:rsidR="003C184D" w:rsidRPr="000926B5" w:rsidRDefault="003C184D" w:rsidP="00EA2274">
            <w:pPr>
              <w:spacing w:after="0" w:line="240" w:lineRule="auto"/>
              <w:jc w:val="center"/>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p>
        </w:tc>
        <w:tc>
          <w:tcPr>
            <w:tcW w:w="283" w:type="pct"/>
            <w:shd w:val="clear" w:color="auto" w:fill="auto"/>
            <w:noWrap/>
            <w:vAlign w:val="bottom"/>
            <w:hideMark/>
          </w:tcPr>
          <w:p w:rsidR="003C184D" w:rsidRPr="000926B5" w:rsidRDefault="003C184D" w:rsidP="00EA2274">
            <w:pPr>
              <w:spacing w:after="0" w:line="240" w:lineRule="auto"/>
              <w:rPr>
                <w:rFonts w:ascii="Calibri" w:eastAsia="Times New Roman" w:hAnsi="Calibri" w:cs="Calibri"/>
                <w:color w:val="000000"/>
                <w:sz w:val="20"/>
                <w:szCs w:val="20"/>
              </w:rPr>
            </w:pPr>
            <w:r w:rsidRPr="000926B5">
              <w:rPr>
                <w:rFonts w:ascii="Calibri" w:eastAsia="Times New Roman" w:hAnsi="Calibri" w:cs="Calibri"/>
                <w:color w:val="000000"/>
                <w:sz w:val="20"/>
                <w:szCs w:val="20"/>
              </w:rPr>
              <w:t>(4)</w:t>
            </w:r>
          </w:p>
          <w:p w:rsidR="003C184D" w:rsidRPr="000926B5" w:rsidRDefault="003C184D" w:rsidP="00EA2274">
            <w:pPr>
              <w:spacing w:after="0" w:line="240" w:lineRule="auto"/>
              <w:jc w:val="center"/>
              <w:rPr>
                <w:rFonts w:ascii="Calibri" w:eastAsia="Times New Roman" w:hAnsi="Calibri" w:cs="Calibri"/>
                <w:color w:val="000000"/>
                <w:sz w:val="20"/>
                <w:szCs w:val="20"/>
              </w:rPr>
            </w:pPr>
            <w:r w:rsidRPr="000926B5">
              <w:rPr>
                <w:rFonts w:ascii="Calibri" w:eastAsia="Times New Roman" w:hAnsi="Calibri" w:cs="Calibri"/>
                <w:color w:val="000000"/>
                <w:sz w:val="20"/>
                <w:szCs w:val="20"/>
              </w:rPr>
              <w:t>Tx=1</w:t>
            </w:r>
          </w:p>
          <w:p w:rsidR="003C184D" w:rsidRPr="000926B5" w:rsidRDefault="003C184D" w:rsidP="00EA2274">
            <w:pPr>
              <w:spacing w:after="0" w:line="240" w:lineRule="auto"/>
              <w:jc w:val="center"/>
              <w:rPr>
                <w:rFonts w:ascii="Calibri" w:eastAsia="Times New Roman" w:hAnsi="Calibri" w:cs="Calibri"/>
                <w:color w:val="000000"/>
                <w:sz w:val="20"/>
                <w:szCs w:val="20"/>
              </w:rPr>
            </w:pPr>
            <w:r w:rsidRPr="000926B5">
              <w:rPr>
                <w:rFonts w:ascii="Calibri" w:eastAsia="Times New Roman" w:hAnsi="Calibri" w:cs="Calibri"/>
                <w:color w:val="000000"/>
                <w:sz w:val="20"/>
                <w:szCs w:val="20"/>
              </w:rPr>
              <w:t>Wave=1</w:t>
            </w:r>
          </w:p>
        </w:tc>
        <w:tc>
          <w:tcPr>
            <w:tcW w:w="294" w:type="pct"/>
            <w:shd w:val="clear" w:color="auto" w:fill="auto"/>
            <w:noWrap/>
            <w:vAlign w:val="bottom"/>
            <w:hideMark/>
          </w:tcPr>
          <w:p w:rsidR="003C184D" w:rsidRPr="000926B5" w:rsidRDefault="003C184D" w:rsidP="00EA2274">
            <w:pPr>
              <w:spacing w:after="0" w:line="240" w:lineRule="auto"/>
              <w:jc w:val="center"/>
              <w:rPr>
                <w:rFonts w:ascii="Calibri" w:eastAsia="Times New Roman" w:hAnsi="Calibri" w:cs="Calibri"/>
                <w:color w:val="000000"/>
                <w:sz w:val="20"/>
                <w:szCs w:val="20"/>
              </w:rPr>
            </w:pPr>
            <w:r w:rsidRPr="000926B5">
              <w:rPr>
                <w:rFonts w:ascii="Calibri" w:eastAsia="Times New Roman" w:hAnsi="Calibri" w:cs="Calibri"/>
                <w:color w:val="000000"/>
                <w:sz w:val="20"/>
                <w:szCs w:val="20"/>
              </w:rPr>
              <w:t>(5)</w:t>
            </w:r>
          </w:p>
          <w:p w:rsidR="003C184D" w:rsidRPr="000926B5" w:rsidRDefault="003C184D" w:rsidP="00EA2274">
            <w:pPr>
              <w:spacing w:after="0" w:line="240" w:lineRule="auto"/>
              <w:jc w:val="center"/>
              <w:rPr>
                <w:rFonts w:ascii="Calibri" w:eastAsia="Times New Roman" w:hAnsi="Calibri" w:cs="Calibri"/>
                <w:color w:val="000000"/>
                <w:sz w:val="20"/>
                <w:szCs w:val="20"/>
              </w:rPr>
            </w:pPr>
            <w:r w:rsidRPr="000926B5">
              <w:rPr>
                <w:rFonts w:ascii="Calibri" w:eastAsia="Times New Roman" w:hAnsi="Calibri" w:cs="Calibri"/>
                <w:color w:val="000000"/>
                <w:sz w:val="20"/>
                <w:szCs w:val="20"/>
              </w:rPr>
              <w:t>Tx=1</w:t>
            </w:r>
          </w:p>
          <w:p w:rsidR="003C184D" w:rsidRPr="000926B5" w:rsidRDefault="003C184D" w:rsidP="00EA2274">
            <w:pPr>
              <w:spacing w:after="0" w:line="240" w:lineRule="auto"/>
              <w:jc w:val="center"/>
              <w:rPr>
                <w:rFonts w:ascii="Calibri" w:eastAsia="Times New Roman" w:hAnsi="Calibri" w:cs="Calibri"/>
                <w:color w:val="000000"/>
                <w:sz w:val="20"/>
                <w:szCs w:val="20"/>
              </w:rPr>
            </w:pPr>
            <w:r w:rsidRPr="000926B5">
              <w:rPr>
                <w:rFonts w:ascii="Calibri" w:eastAsia="Times New Roman" w:hAnsi="Calibri" w:cs="Calibri"/>
                <w:color w:val="000000"/>
                <w:sz w:val="20"/>
                <w:szCs w:val="20"/>
              </w:rPr>
              <w:t>Wave =2</w:t>
            </w:r>
          </w:p>
        </w:tc>
        <w:tc>
          <w:tcPr>
            <w:tcW w:w="294" w:type="pct"/>
            <w:shd w:val="clear" w:color="auto" w:fill="auto"/>
            <w:noWrap/>
            <w:vAlign w:val="bottom"/>
            <w:hideMark/>
          </w:tcPr>
          <w:p w:rsidR="003C184D" w:rsidRPr="000926B5" w:rsidRDefault="003C184D" w:rsidP="00EA2274">
            <w:pPr>
              <w:spacing w:after="0" w:line="240" w:lineRule="auto"/>
              <w:jc w:val="center"/>
              <w:rPr>
                <w:rFonts w:ascii="Calibri" w:eastAsia="Times New Roman" w:hAnsi="Calibri" w:cs="Calibri"/>
                <w:color w:val="000000"/>
                <w:sz w:val="20"/>
                <w:szCs w:val="20"/>
              </w:rPr>
            </w:pPr>
            <w:r w:rsidRPr="000926B5">
              <w:rPr>
                <w:rFonts w:ascii="Calibri" w:eastAsia="Times New Roman" w:hAnsi="Calibri" w:cs="Calibri"/>
                <w:color w:val="000000"/>
                <w:sz w:val="20"/>
                <w:szCs w:val="20"/>
              </w:rPr>
              <w:t>(6)</w:t>
            </w:r>
          </w:p>
          <w:p w:rsidR="003C184D" w:rsidRPr="000926B5" w:rsidRDefault="003C184D" w:rsidP="00EA2274">
            <w:pPr>
              <w:spacing w:after="0" w:line="240" w:lineRule="auto"/>
              <w:jc w:val="center"/>
              <w:rPr>
                <w:rFonts w:ascii="Calibri" w:eastAsia="Times New Roman" w:hAnsi="Calibri" w:cs="Calibri"/>
                <w:color w:val="000000"/>
                <w:sz w:val="20"/>
                <w:szCs w:val="20"/>
              </w:rPr>
            </w:pPr>
            <w:r w:rsidRPr="000926B5">
              <w:rPr>
                <w:rFonts w:ascii="Calibri" w:eastAsia="Times New Roman" w:hAnsi="Calibri" w:cs="Calibri"/>
                <w:color w:val="000000"/>
                <w:sz w:val="20"/>
                <w:szCs w:val="20"/>
              </w:rPr>
              <w:t>Tx=0</w:t>
            </w:r>
          </w:p>
          <w:p w:rsidR="003C184D" w:rsidRPr="000926B5" w:rsidRDefault="003C184D" w:rsidP="00EA2274">
            <w:pPr>
              <w:spacing w:after="0" w:line="240" w:lineRule="auto"/>
              <w:jc w:val="center"/>
              <w:rPr>
                <w:rFonts w:ascii="Calibri" w:eastAsia="Times New Roman" w:hAnsi="Calibri" w:cs="Calibri"/>
                <w:color w:val="000000"/>
                <w:sz w:val="20"/>
                <w:szCs w:val="20"/>
              </w:rPr>
            </w:pPr>
            <w:r w:rsidRPr="000926B5">
              <w:rPr>
                <w:rFonts w:ascii="Calibri" w:eastAsia="Times New Roman" w:hAnsi="Calibri" w:cs="Calibri"/>
                <w:color w:val="000000"/>
                <w:sz w:val="20"/>
                <w:szCs w:val="20"/>
              </w:rPr>
              <w:t>Wave=1</w:t>
            </w:r>
          </w:p>
        </w:tc>
        <w:tc>
          <w:tcPr>
            <w:tcW w:w="295" w:type="pct"/>
            <w:shd w:val="clear" w:color="auto" w:fill="auto"/>
            <w:noWrap/>
            <w:vAlign w:val="bottom"/>
            <w:hideMark/>
          </w:tcPr>
          <w:p w:rsidR="003C184D" w:rsidRPr="000926B5" w:rsidRDefault="003C184D" w:rsidP="00EA2274">
            <w:pPr>
              <w:spacing w:after="0" w:line="240" w:lineRule="auto"/>
              <w:jc w:val="center"/>
              <w:rPr>
                <w:rFonts w:ascii="Calibri" w:eastAsia="Times New Roman" w:hAnsi="Calibri" w:cs="Calibri"/>
                <w:color w:val="000000"/>
                <w:sz w:val="20"/>
                <w:szCs w:val="20"/>
              </w:rPr>
            </w:pPr>
            <w:r w:rsidRPr="000926B5">
              <w:rPr>
                <w:rFonts w:ascii="Calibri" w:eastAsia="Times New Roman" w:hAnsi="Calibri" w:cs="Calibri"/>
                <w:color w:val="000000"/>
                <w:sz w:val="20"/>
                <w:szCs w:val="20"/>
              </w:rPr>
              <w:t>(7)</w:t>
            </w:r>
          </w:p>
          <w:p w:rsidR="003C184D" w:rsidRPr="000926B5" w:rsidRDefault="003C184D" w:rsidP="00EA2274">
            <w:pPr>
              <w:spacing w:after="0" w:line="240" w:lineRule="auto"/>
              <w:jc w:val="center"/>
              <w:rPr>
                <w:rFonts w:ascii="Calibri" w:eastAsia="Times New Roman" w:hAnsi="Calibri" w:cs="Calibri"/>
                <w:color w:val="000000"/>
                <w:sz w:val="20"/>
                <w:szCs w:val="20"/>
              </w:rPr>
            </w:pPr>
            <w:r w:rsidRPr="000926B5">
              <w:rPr>
                <w:rFonts w:ascii="Calibri" w:eastAsia="Times New Roman" w:hAnsi="Calibri" w:cs="Calibri"/>
                <w:color w:val="000000"/>
                <w:sz w:val="20"/>
                <w:szCs w:val="20"/>
              </w:rPr>
              <w:t>Tx=0</w:t>
            </w:r>
          </w:p>
          <w:p w:rsidR="003C184D" w:rsidRPr="000926B5" w:rsidRDefault="003C184D" w:rsidP="00EA2274">
            <w:pPr>
              <w:spacing w:after="0" w:line="240" w:lineRule="auto"/>
              <w:jc w:val="center"/>
              <w:rPr>
                <w:rFonts w:ascii="Calibri" w:eastAsia="Times New Roman" w:hAnsi="Calibri" w:cs="Calibri"/>
                <w:color w:val="000000"/>
                <w:sz w:val="20"/>
                <w:szCs w:val="20"/>
              </w:rPr>
            </w:pPr>
            <w:r w:rsidRPr="000926B5">
              <w:rPr>
                <w:rFonts w:ascii="Calibri" w:eastAsia="Times New Roman" w:hAnsi="Calibri" w:cs="Calibri"/>
                <w:color w:val="000000"/>
                <w:sz w:val="20"/>
                <w:szCs w:val="20"/>
              </w:rPr>
              <w:t>Wave=2</w:t>
            </w:r>
          </w:p>
        </w:tc>
      </w:tr>
      <w:tr w:rsidR="003C184D" w:rsidRPr="00193117" w:rsidTr="00EA2274">
        <w:trPr>
          <w:trHeight w:val="300"/>
        </w:trPr>
        <w:tc>
          <w:tcPr>
            <w:tcW w:w="2748" w:type="pct"/>
            <w:shd w:val="clear" w:color="auto" w:fill="auto"/>
            <w:noWrap/>
            <w:vAlign w:val="bottom"/>
            <w:hideMark/>
          </w:tcPr>
          <w:p w:rsidR="003C184D" w:rsidRPr="000926B5" w:rsidRDefault="003C184D" w:rsidP="00EA2274">
            <w:pPr>
              <w:spacing w:after="0" w:line="240" w:lineRule="auto"/>
              <w:rPr>
                <w:rFonts w:ascii="Calibri" w:eastAsia="Times New Roman" w:hAnsi="Calibri" w:cs="Calibri"/>
                <w:color w:val="000000"/>
                <w:sz w:val="20"/>
                <w:szCs w:val="20"/>
              </w:rPr>
            </w:pPr>
            <w:r w:rsidRPr="000926B5">
              <w:rPr>
                <w:rFonts w:ascii="Calibri" w:eastAsia="Times New Roman" w:hAnsi="Calibri" w:cs="Calibri"/>
                <w:color w:val="000000"/>
                <w:sz w:val="20"/>
                <w:szCs w:val="20"/>
              </w:rPr>
              <w:t>Treatment Group (Child has ASD)</w:t>
            </w:r>
          </w:p>
        </w:tc>
        <w:tc>
          <w:tcPr>
            <w:tcW w:w="390"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0.37</w:t>
            </w:r>
          </w:p>
        </w:tc>
        <w:tc>
          <w:tcPr>
            <w:tcW w:w="42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1.00</w:t>
            </w:r>
          </w:p>
        </w:tc>
        <w:tc>
          <w:tcPr>
            <w:tcW w:w="272"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0.00</w:t>
            </w:r>
          </w:p>
        </w:tc>
        <w:tc>
          <w:tcPr>
            <w:tcW w:w="283"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1.00</w:t>
            </w:r>
          </w:p>
        </w:tc>
        <w:tc>
          <w:tcPr>
            <w:tcW w:w="29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1.00</w:t>
            </w:r>
          </w:p>
        </w:tc>
        <w:tc>
          <w:tcPr>
            <w:tcW w:w="29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0.00</w:t>
            </w:r>
          </w:p>
        </w:tc>
        <w:tc>
          <w:tcPr>
            <w:tcW w:w="295"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0.00</w:t>
            </w:r>
          </w:p>
        </w:tc>
      </w:tr>
      <w:tr w:rsidR="003C184D" w:rsidRPr="00193117" w:rsidTr="00EA2274">
        <w:trPr>
          <w:trHeight w:val="300"/>
        </w:trPr>
        <w:tc>
          <w:tcPr>
            <w:tcW w:w="2748" w:type="pct"/>
            <w:shd w:val="clear" w:color="auto" w:fill="auto"/>
            <w:noWrap/>
            <w:vAlign w:val="bottom"/>
            <w:hideMark/>
          </w:tcPr>
          <w:p w:rsidR="003C184D" w:rsidRPr="000926B5" w:rsidRDefault="003C184D" w:rsidP="00EA2274">
            <w:pPr>
              <w:spacing w:after="0" w:line="240" w:lineRule="auto"/>
              <w:rPr>
                <w:rFonts w:ascii="Calibri" w:eastAsia="Times New Roman" w:hAnsi="Calibri" w:cs="Calibri"/>
                <w:color w:val="000000"/>
                <w:sz w:val="20"/>
                <w:szCs w:val="20"/>
              </w:rPr>
            </w:pPr>
            <w:r w:rsidRPr="000926B5">
              <w:rPr>
                <w:rFonts w:ascii="Calibri" w:eastAsia="Times New Roman" w:hAnsi="Calibri" w:cs="Calibri"/>
                <w:color w:val="000000"/>
                <w:sz w:val="20"/>
                <w:szCs w:val="20"/>
              </w:rPr>
              <w:t>State has ever passed an ASD mandate during study period</w:t>
            </w:r>
          </w:p>
        </w:tc>
        <w:tc>
          <w:tcPr>
            <w:tcW w:w="390"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0.3</w:t>
            </w:r>
            <w:r>
              <w:rPr>
                <w:rFonts w:ascii="Calibri" w:eastAsia="Times New Roman" w:hAnsi="Calibri" w:cs="Calibri"/>
                <w:color w:val="000000"/>
                <w:sz w:val="20"/>
                <w:szCs w:val="20"/>
              </w:rPr>
              <w:t>6</w:t>
            </w:r>
          </w:p>
        </w:tc>
        <w:tc>
          <w:tcPr>
            <w:tcW w:w="42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0.3</w:t>
            </w:r>
            <w:r>
              <w:rPr>
                <w:rFonts w:ascii="Calibri" w:eastAsia="Times New Roman" w:hAnsi="Calibri" w:cs="Calibri"/>
                <w:color w:val="000000"/>
                <w:sz w:val="20"/>
                <w:szCs w:val="20"/>
              </w:rPr>
              <w:t>7</w:t>
            </w:r>
          </w:p>
        </w:tc>
        <w:tc>
          <w:tcPr>
            <w:tcW w:w="272"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0.3</w:t>
            </w:r>
            <w:r>
              <w:rPr>
                <w:rFonts w:ascii="Calibri" w:eastAsia="Times New Roman" w:hAnsi="Calibri" w:cs="Calibri"/>
                <w:color w:val="000000"/>
                <w:sz w:val="20"/>
                <w:szCs w:val="20"/>
              </w:rPr>
              <w:t>6</w:t>
            </w:r>
          </w:p>
        </w:tc>
        <w:tc>
          <w:tcPr>
            <w:tcW w:w="283"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0.3</w:t>
            </w:r>
            <w:r>
              <w:rPr>
                <w:rFonts w:ascii="Calibri" w:eastAsia="Times New Roman" w:hAnsi="Calibri" w:cs="Calibri"/>
                <w:color w:val="000000"/>
                <w:sz w:val="20"/>
                <w:szCs w:val="20"/>
              </w:rPr>
              <w:t>6</w:t>
            </w:r>
          </w:p>
        </w:tc>
        <w:tc>
          <w:tcPr>
            <w:tcW w:w="29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0.37</w:t>
            </w:r>
          </w:p>
        </w:tc>
        <w:tc>
          <w:tcPr>
            <w:tcW w:w="29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0.3</w:t>
            </w:r>
            <w:r>
              <w:rPr>
                <w:rFonts w:ascii="Calibri" w:eastAsia="Times New Roman" w:hAnsi="Calibri" w:cs="Calibri"/>
                <w:color w:val="000000"/>
                <w:sz w:val="20"/>
                <w:szCs w:val="20"/>
              </w:rPr>
              <w:t>6</w:t>
            </w:r>
          </w:p>
        </w:tc>
        <w:tc>
          <w:tcPr>
            <w:tcW w:w="295"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0.3</w:t>
            </w:r>
            <w:r>
              <w:rPr>
                <w:rFonts w:ascii="Calibri" w:eastAsia="Times New Roman" w:hAnsi="Calibri" w:cs="Calibri"/>
                <w:color w:val="000000"/>
                <w:sz w:val="20"/>
                <w:szCs w:val="20"/>
              </w:rPr>
              <w:t>6</w:t>
            </w:r>
          </w:p>
        </w:tc>
      </w:tr>
      <w:tr w:rsidR="003C184D" w:rsidRPr="00193117" w:rsidTr="00EA2274">
        <w:trPr>
          <w:trHeight w:val="300"/>
        </w:trPr>
        <w:tc>
          <w:tcPr>
            <w:tcW w:w="2748" w:type="pct"/>
            <w:shd w:val="clear" w:color="auto" w:fill="auto"/>
            <w:noWrap/>
            <w:vAlign w:val="bottom"/>
            <w:hideMark/>
          </w:tcPr>
          <w:p w:rsidR="003C184D" w:rsidRPr="000926B5" w:rsidRDefault="003C184D" w:rsidP="00EA2274">
            <w:pPr>
              <w:spacing w:after="0" w:line="240" w:lineRule="auto"/>
              <w:rPr>
                <w:rFonts w:ascii="Calibri" w:eastAsia="Times New Roman" w:hAnsi="Calibri" w:cs="Calibri"/>
                <w:color w:val="000000"/>
                <w:sz w:val="20"/>
                <w:szCs w:val="20"/>
              </w:rPr>
            </w:pPr>
            <w:r w:rsidRPr="000926B5">
              <w:rPr>
                <w:rFonts w:ascii="Calibri" w:eastAsia="Times New Roman" w:hAnsi="Calibri" w:cs="Calibri"/>
                <w:color w:val="000000"/>
                <w:sz w:val="20"/>
                <w:szCs w:val="20"/>
              </w:rPr>
              <w:t>State ASD mandate is in effect 12 months prior to month and year of interview</w:t>
            </w:r>
          </w:p>
        </w:tc>
        <w:tc>
          <w:tcPr>
            <w:tcW w:w="390"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12</w:t>
            </w:r>
          </w:p>
        </w:tc>
        <w:tc>
          <w:tcPr>
            <w:tcW w:w="42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12</w:t>
            </w:r>
          </w:p>
        </w:tc>
        <w:tc>
          <w:tcPr>
            <w:tcW w:w="272"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0.1</w:t>
            </w:r>
            <w:r>
              <w:rPr>
                <w:rFonts w:ascii="Calibri" w:eastAsia="Times New Roman" w:hAnsi="Calibri" w:cs="Calibri"/>
                <w:color w:val="000000"/>
                <w:sz w:val="20"/>
                <w:szCs w:val="20"/>
              </w:rPr>
              <w:t>2</w:t>
            </w:r>
          </w:p>
        </w:tc>
        <w:tc>
          <w:tcPr>
            <w:tcW w:w="283"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w:t>
            </w:r>
            <w:r>
              <w:rPr>
                <w:rFonts w:ascii="Calibri" w:eastAsia="Times New Roman" w:hAnsi="Calibri" w:cs="Calibri"/>
                <w:color w:val="000000"/>
                <w:sz w:val="20"/>
                <w:szCs w:val="20"/>
              </w:rPr>
              <w:t>2</w:t>
            </w:r>
          </w:p>
        </w:tc>
        <w:tc>
          <w:tcPr>
            <w:tcW w:w="29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0.1</w:t>
            </w:r>
            <w:r>
              <w:rPr>
                <w:rFonts w:ascii="Calibri" w:eastAsia="Times New Roman" w:hAnsi="Calibri" w:cs="Calibri"/>
                <w:color w:val="000000"/>
                <w:sz w:val="20"/>
                <w:szCs w:val="20"/>
              </w:rPr>
              <w:t>8</w:t>
            </w:r>
          </w:p>
        </w:tc>
        <w:tc>
          <w:tcPr>
            <w:tcW w:w="29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0.03</w:t>
            </w:r>
          </w:p>
        </w:tc>
        <w:tc>
          <w:tcPr>
            <w:tcW w:w="295"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21</w:t>
            </w:r>
          </w:p>
        </w:tc>
      </w:tr>
      <w:tr w:rsidR="003C184D" w:rsidRPr="00193117" w:rsidTr="00EA2274">
        <w:trPr>
          <w:trHeight w:val="300"/>
        </w:trPr>
        <w:tc>
          <w:tcPr>
            <w:tcW w:w="2748" w:type="pct"/>
            <w:shd w:val="clear" w:color="auto" w:fill="auto"/>
            <w:noWrap/>
            <w:vAlign w:val="bottom"/>
            <w:hideMark/>
          </w:tcPr>
          <w:p w:rsidR="003C184D" w:rsidRPr="000926B5" w:rsidRDefault="003C184D" w:rsidP="00EA2274">
            <w:pPr>
              <w:spacing w:after="0" w:line="240" w:lineRule="auto"/>
              <w:rPr>
                <w:rFonts w:ascii="Calibri" w:eastAsia="Times New Roman" w:hAnsi="Calibri" w:cs="Calibri"/>
                <w:color w:val="000000"/>
                <w:sz w:val="20"/>
                <w:szCs w:val="20"/>
              </w:rPr>
            </w:pPr>
            <w:r w:rsidRPr="000926B5">
              <w:rPr>
                <w:rFonts w:ascii="Calibri" w:eastAsia="Times New Roman" w:hAnsi="Calibri" w:cs="Calibri"/>
                <w:color w:val="000000"/>
                <w:sz w:val="20"/>
                <w:szCs w:val="20"/>
              </w:rPr>
              <w:t>Child’s health problems caused financial problems for family</w:t>
            </w:r>
          </w:p>
        </w:tc>
        <w:tc>
          <w:tcPr>
            <w:tcW w:w="390"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21</w:t>
            </w:r>
          </w:p>
        </w:tc>
        <w:tc>
          <w:tcPr>
            <w:tcW w:w="42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42***</w:t>
            </w:r>
          </w:p>
        </w:tc>
        <w:tc>
          <w:tcPr>
            <w:tcW w:w="272"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19</w:t>
            </w:r>
          </w:p>
        </w:tc>
        <w:tc>
          <w:tcPr>
            <w:tcW w:w="283"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38</w:t>
            </w:r>
          </w:p>
        </w:tc>
        <w:tc>
          <w:tcPr>
            <w:tcW w:w="29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44</w:t>
            </w:r>
          </w:p>
        </w:tc>
        <w:tc>
          <w:tcPr>
            <w:tcW w:w="29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17</w:t>
            </w:r>
          </w:p>
        </w:tc>
        <w:tc>
          <w:tcPr>
            <w:tcW w:w="295"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20</w:t>
            </w:r>
          </w:p>
        </w:tc>
      </w:tr>
      <w:tr w:rsidR="003C184D" w:rsidRPr="00193117" w:rsidTr="00EA2274">
        <w:trPr>
          <w:trHeight w:val="300"/>
        </w:trPr>
        <w:tc>
          <w:tcPr>
            <w:tcW w:w="2748" w:type="pct"/>
            <w:shd w:val="clear" w:color="auto" w:fill="auto"/>
            <w:noWrap/>
            <w:vAlign w:val="bottom"/>
            <w:hideMark/>
          </w:tcPr>
          <w:p w:rsidR="003C184D" w:rsidRPr="000926B5" w:rsidRDefault="003C184D" w:rsidP="00EA2274">
            <w:pPr>
              <w:spacing w:after="0" w:line="240" w:lineRule="auto"/>
              <w:rPr>
                <w:rFonts w:ascii="Calibri" w:eastAsia="Times New Roman" w:hAnsi="Calibri" w:cs="Calibri"/>
                <w:color w:val="000000"/>
                <w:sz w:val="20"/>
                <w:szCs w:val="20"/>
              </w:rPr>
            </w:pPr>
            <w:r w:rsidRPr="000926B5">
              <w:rPr>
                <w:sz w:val="20"/>
                <w:szCs w:val="20"/>
              </w:rPr>
              <w:t>Health insurance benefits and coverage never/sometimes meet child’s needs</w:t>
            </w:r>
          </w:p>
        </w:tc>
        <w:tc>
          <w:tcPr>
            <w:tcW w:w="390"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13</w:t>
            </w:r>
          </w:p>
        </w:tc>
        <w:tc>
          <w:tcPr>
            <w:tcW w:w="42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0.3</w:t>
            </w:r>
            <w:r>
              <w:rPr>
                <w:rFonts w:ascii="Calibri" w:eastAsia="Times New Roman" w:hAnsi="Calibri" w:cs="Calibri"/>
                <w:color w:val="000000"/>
                <w:sz w:val="20"/>
                <w:szCs w:val="20"/>
              </w:rPr>
              <w:t>0***</w:t>
            </w:r>
          </w:p>
        </w:tc>
        <w:tc>
          <w:tcPr>
            <w:tcW w:w="272"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11</w:t>
            </w:r>
          </w:p>
        </w:tc>
        <w:tc>
          <w:tcPr>
            <w:tcW w:w="283"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0.3</w:t>
            </w:r>
            <w:r>
              <w:rPr>
                <w:rFonts w:ascii="Calibri" w:eastAsia="Times New Roman" w:hAnsi="Calibri" w:cs="Calibri"/>
                <w:color w:val="000000"/>
                <w:sz w:val="20"/>
                <w:szCs w:val="20"/>
              </w:rPr>
              <w:t>0</w:t>
            </w:r>
          </w:p>
        </w:tc>
        <w:tc>
          <w:tcPr>
            <w:tcW w:w="29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29</w:t>
            </w:r>
          </w:p>
        </w:tc>
        <w:tc>
          <w:tcPr>
            <w:tcW w:w="29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0.11</w:t>
            </w:r>
          </w:p>
        </w:tc>
        <w:tc>
          <w:tcPr>
            <w:tcW w:w="295"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11</w:t>
            </w:r>
          </w:p>
        </w:tc>
      </w:tr>
      <w:tr w:rsidR="003C184D" w:rsidRPr="00193117" w:rsidTr="00EA2274">
        <w:trPr>
          <w:trHeight w:val="300"/>
        </w:trPr>
        <w:tc>
          <w:tcPr>
            <w:tcW w:w="2748" w:type="pct"/>
            <w:shd w:val="clear" w:color="auto" w:fill="auto"/>
            <w:noWrap/>
            <w:vAlign w:val="bottom"/>
            <w:hideMark/>
          </w:tcPr>
          <w:p w:rsidR="003C184D" w:rsidRPr="000926B5" w:rsidRDefault="003C184D" w:rsidP="00EA2274">
            <w:pPr>
              <w:spacing w:after="0" w:line="240" w:lineRule="auto"/>
              <w:rPr>
                <w:rFonts w:ascii="Calibri" w:eastAsia="Times New Roman" w:hAnsi="Calibri" w:cs="Calibri"/>
                <w:color w:val="000000"/>
                <w:sz w:val="20"/>
                <w:szCs w:val="20"/>
              </w:rPr>
            </w:pPr>
            <w:r w:rsidRPr="000926B5">
              <w:rPr>
                <w:rFonts w:ascii="Calibri" w:eastAsia="Times New Roman" w:hAnsi="Calibri" w:cs="Calibri"/>
                <w:color w:val="000000"/>
                <w:sz w:val="20"/>
                <w:szCs w:val="20"/>
              </w:rPr>
              <w:t>Costs covered by health insurance never/sometimes reasonable</w:t>
            </w:r>
          </w:p>
        </w:tc>
        <w:tc>
          <w:tcPr>
            <w:tcW w:w="390"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33</w:t>
            </w:r>
          </w:p>
        </w:tc>
        <w:tc>
          <w:tcPr>
            <w:tcW w:w="42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0.47</w:t>
            </w:r>
            <w:r w:rsidRPr="000926B5">
              <w:rPr>
                <w:rFonts w:ascii="Calibri" w:eastAsia="Times New Roman" w:hAnsi="Calibri" w:cs="Calibri"/>
                <w:color w:val="000000"/>
                <w:sz w:val="20"/>
                <w:szCs w:val="20"/>
              </w:rPr>
              <w:t>***</w:t>
            </w:r>
          </w:p>
        </w:tc>
        <w:tc>
          <w:tcPr>
            <w:tcW w:w="272"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31</w:t>
            </w:r>
          </w:p>
        </w:tc>
        <w:tc>
          <w:tcPr>
            <w:tcW w:w="283"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0.48</w:t>
            </w:r>
          </w:p>
        </w:tc>
        <w:tc>
          <w:tcPr>
            <w:tcW w:w="29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0.46</w:t>
            </w:r>
          </w:p>
        </w:tc>
        <w:tc>
          <w:tcPr>
            <w:tcW w:w="29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0.31</w:t>
            </w:r>
          </w:p>
        </w:tc>
        <w:tc>
          <w:tcPr>
            <w:tcW w:w="295"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0.32</w:t>
            </w:r>
          </w:p>
        </w:tc>
      </w:tr>
      <w:tr w:rsidR="003C184D" w:rsidRPr="00193117" w:rsidTr="00EA2274">
        <w:trPr>
          <w:trHeight w:val="300"/>
        </w:trPr>
        <w:tc>
          <w:tcPr>
            <w:tcW w:w="2748" w:type="pct"/>
            <w:shd w:val="clear" w:color="auto" w:fill="auto"/>
            <w:noWrap/>
            <w:vAlign w:val="bottom"/>
            <w:hideMark/>
          </w:tcPr>
          <w:p w:rsidR="003C184D" w:rsidRPr="000926B5" w:rsidRDefault="003C184D" w:rsidP="00EA2274">
            <w:pPr>
              <w:spacing w:after="0" w:line="240" w:lineRule="auto"/>
              <w:rPr>
                <w:rFonts w:ascii="Calibri" w:eastAsia="Times New Roman" w:hAnsi="Calibri" w:cs="Calibri"/>
                <w:color w:val="000000"/>
                <w:sz w:val="20"/>
                <w:szCs w:val="20"/>
              </w:rPr>
            </w:pPr>
            <w:r w:rsidRPr="000926B5">
              <w:rPr>
                <w:rFonts w:ascii="Calibri" w:eastAsia="Times New Roman" w:hAnsi="Calibri" w:cs="Calibri"/>
                <w:color w:val="000000"/>
                <w:sz w:val="20"/>
                <w:szCs w:val="20"/>
              </w:rPr>
              <w:t>Health insurance never/sometimes covers needed providers</w:t>
            </w:r>
          </w:p>
        </w:tc>
        <w:tc>
          <w:tcPr>
            <w:tcW w:w="390"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09</w:t>
            </w:r>
          </w:p>
        </w:tc>
        <w:tc>
          <w:tcPr>
            <w:tcW w:w="42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0.24***</w:t>
            </w:r>
          </w:p>
        </w:tc>
        <w:tc>
          <w:tcPr>
            <w:tcW w:w="272"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08</w:t>
            </w:r>
          </w:p>
        </w:tc>
        <w:tc>
          <w:tcPr>
            <w:tcW w:w="283"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0.2</w:t>
            </w:r>
            <w:r>
              <w:rPr>
                <w:rFonts w:ascii="Calibri" w:eastAsia="Times New Roman" w:hAnsi="Calibri" w:cs="Calibri"/>
                <w:color w:val="000000"/>
                <w:sz w:val="20"/>
                <w:szCs w:val="20"/>
              </w:rPr>
              <w:t>5</w:t>
            </w:r>
          </w:p>
        </w:tc>
        <w:tc>
          <w:tcPr>
            <w:tcW w:w="29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0.2</w:t>
            </w:r>
            <w:r>
              <w:rPr>
                <w:rFonts w:ascii="Calibri" w:eastAsia="Times New Roman" w:hAnsi="Calibri" w:cs="Calibri"/>
                <w:color w:val="000000"/>
                <w:sz w:val="20"/>
                <w:szCs w:val="20"/>
              </w:rPr>
              <w:t>3</w:t>
            </w:r>
          </w:p>
        </w:tc>
        <w:tc>
          <w:tcPr>
            <w:tcW w:w="29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08</w:t>
            </w:r>
          </w:p>
        </w:tc>
        <w:tc>
          <w:tcPr>
            <w:tcW w:w="295"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08</w:t>
            </w:r>
          </w:p>
        </w:tc>
      </w:tr>
      <w:tr w:rsidR="003C184D" w:rsidRPr="00193117" w:rsidTr="00EA2274">
        <w:trPr>
          <w:trHeight w:val="300"/>
        </w:trPr>
        <w:tc>
          <w:tcPr>
            <w:tcW w:w="2748" w:type="pct"/>
            <w:shd w:val="clear" w:color="auto" w:fill="auto"/>
            <w:noWrap/>
            <w:vAlign w:val="bottom"/>
            <w:hideMark/>
          </w:tcPr>
          <w:p w:rsidR="003C184D" w:rsidRPr="000926B5" w:rsidRDefault="003C184D" w:rsidP="00EA2274">
            <w:pPr>
              <w:spacing w:after="0" w:line="240" w:lineRule="auto"/>
              <w:rPr>
                <w:rFonts w:ascii="Calibri" w:eastAsia="Times New Roman" w:hAnsi="Calibri" w:cs="Calibri"/>
                <w:color w:val="000000"/>
                <w:sz w:val="20"/>
                <w:szCs w:val="20"/>
              </w:rPr>
            </w:pPr>
            <w:r w:rsidRPr="000926B5">
              <w:rPr>
                <w:rFonts w:ascii="Calibri" w:eastAsia="Times New Roman" w:hAnsi="Calibri" w:cs="Calibri"/>
                <w:color w:val="000000"/>
                <w:sz w:val="20"/>
                <w:szCs w:val="20"/>
              </w:rPr>
              <w:t>Total out-of-pocket costs on child’s medical care in past 12 months was $750 or more</w:t>
            </w:r>
          </w:p>
        </w:tc>
        <w:tc>
          <w:tcPr>
            <w:tcW w:w="390"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46</w:t>
            </w:r>
          </w:p>
        </w:tc>
        <w:tc>
          <w:tcPr>
            <w:tcW w:w="42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0.5</w:t>
            </w:r>
            <w:r w:rsidRPr="000926B5">
              <w:rPr>
                <w:rFonts w:ascii="Calibri" w:eastAsia="Times New Roman" w:hAnsi="Calibri" w:cs="Calibri"/>
                <w:color w:val="000000"/>
                <w:sz w:val="20"/>
                <w:szCs w:val="20"/>
              </w:rPr>
              <w:t>5</w:t>
            </w:r>
            <w:r>
              <w:rPr>
                <w:rFonts w:ascii="Calibri" w:eastAsia="Times New Roman" w:hAnsi="Calibri" w:cs="Calibri"/>
                <w:color w:val="000000"/>
                <w:sz w:val="20"/>
                <w:szCs w:val="20"/>
              </w:rPr>
              <w:t>***</w:t>
            </w:r>
          </w:p>
        </w:tc>
        <w:tc>
          <w:tcPr>
            <w:tcW w:w="272"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45</w:t>
            </w:r>
          </w:p>
        </w:tc>
        <w:tc>
          <w:tcPr>
            <w:tcW w:w="283"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56</w:t>
            </w:r>
          </w:p>
        </w:tc>
        <w:tc>
          <w:tcPr>
            <w:tcW w:w="29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55</w:t>
            </w:r>
          </w:p>
        </w:tc>
        <w:tc>
          <w:tcPr>
            <w:tcW w:w="29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43</w:t>
            </w:r>
          </w:p>
        </w:tc>
        <w:tc>
          <w:tcPr>
            <w:tcW w:w="295"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48</w:t>
            </w:r>
          </w:p>
        </w:tc>
      </w:tr>
      <w:tr w:rsidR="003C184D" w:rsidRPr="00193117" w:rsidTr="00EA2274">
        <w:trPr>
          <w:trHeight w:val="300"/>
        </w:trPr>
        <w:tc>
          <w:tcPr>
            <w:tcW w:w="2748" w:type="pct"/>
            <w:shd w:val="clear" w:color="auto" w:fill="auto"/>
            <w:noWrap/>
            <w:vAlign w:val="bottom"/>
            <w:hideMark/>
          </w:tcPr>
          <w:p w:rsidR="003C184D" w:rsidRPr="000926B5" w:rsidRDefault="003C184D" w:rsidP="00EA2274">
            <w:pPr>
              <w:spacing w:after="0" w:line="240" w:lineRule="auto"/>
              <w:rPr>
                <w:rFonts w:ascii="Calibri" w:eastAsia="Times New Roman" w:hAnsi="Calibri" w:cs="Calibri"/>
                <w:color w:val="000000"/>
                <w:sz w:val="20"/>
                <w:szCs w:val="20"/>
              </w:rPr>
            </w:pPr>
            <w:r w:rsidRPr="000926B5">
              <w:rPr>
                <w:rFonts w:ascii="Calibri" w:eastAsia="Times New Roman" w:hAnsi="Calibri" w:cs="Calibri"/>
                <w:color w:val="000000"/>
                <w:sz w:val="20"/>
                <w:szCs w:val="20"/>
              </w:rPr>
              <w:t>No out-of-pocket costs on child’s medical care in past 12 months</w:t>
            </w:r>
          </w:p>
        </w:tc>
        <w:tc>
          <w:tcPr>
            <w:tcW w:w="390"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w:t>
            </w:r>
            <w:r>
              <w:rPr>
                <w:rFonts w:ascii="Calibri" w:eastAsia="Times New Roman" w:hAnsi="Calibri" w:cs="Calibri"/>
                <w:color w:val="000000"/>
                <w:sz w:val="20"/>
                <w:szCs w:val="20"/>
              </w:rPr>
              <w:t>8</w:t>
            </w:r>
          </w:p>
        </w:tc>
        <w:tc>
          <w:tcPr>
            <w:tcW w:w="42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w:t>
            </w:r>
            <w:r>
              <w:rPr>
                <w:rFonts w:ascii="Calibri" w:eastAsia="Times New Roman" w:hAnsi="Calibri" w:cs="Calibri"/>
                <w:color w:val="000000"/>
                <w:sz w:val="20"/>
                <w:szCs w:val="20"/>
              </w:rPr>
              <w:t>9</w:t>
            </w:r>
          </w:p>
        </w:tc>
        <w:tc>
          <w:tcPr>
            <w:tcW w:w="272"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08</w:t>
            </w:r>
          </w:p>
        </w:tc>
        <w:tc>
          <w:tcPr>
            <w:tcW w:w="283"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w:t>
            </w:r>
            <w:r>
              <w:rPr>
                <w:rFonts w:ascii="Calibri" w:eastAsia="Times New Roman" w:hAnsi="Calibri" w:cs="Calibri"/>
                <w:color w:val="000000"/>
                <w:sz w:val="20"/>
                <w:szCs w:val="20"/>
              </w:rPr>
              <w:t>9</w:t>
            </w:r>
          </w:p>
        </w:tc>
        <w:tc>
          <w:tcPr>
            <w:tcW w:w="29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w:t>
            </w:r>
            <w:r>
              <w:rPr>
                <w:rFonts w:ascii="Calibri" w:eastAsia="Times New Roman" w:hAnsi="Calibri" w:cs="Calibri"/>
                <w:color w:val="000000"/>
                <w:sz w:val="20"/>
                <w:szCs w:val="20"/>
              </w:rPr>
              <w:t>9</w:t>
            </w:r>
          </w:p>
        </w:tc>
        <w:tc>
          <w:tcPr>
            <w:tcW w:w="29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w:t>
            </w:r>
            <w:r>
              <w:rPr>
                <w:rFonts w:ascii="Calibri" w:eastAsia="Times New Roman" w:hAnsi="Calibri" w:cs="Calibri"/>
                <w:color w:val="000000"/>
                <w:sz w:val="20"/>
                <w:szCs w:val="20"/>
              </w:rPr>
              <w:t>7</w:t>
            </w:r>
          </w:p>
        </w:tc>
        <w:tc>
          <w:tcPr>
            <w:tcW w:w="295"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08</w:t>
            </w:r>
          </w:p>
        </w:tc>
      </w:tr>
      <w:tr w:rsidR="003C184D" w:rsidRPr="00193117" w:rsidTr="00EA2274">
        <w:trPr>
          <w:trHeight w:val="300"/>
        </w:trPr>
        <w:tc>
          <w:tcPr>
            <w:tcW w:w="2748" w:type="pct"/>
            <w:shd w:val="clear" w:color="auto" w:fill="auto"/>
            <w:noWrap/>
            <w:vAlign w:val="bottom"/>
            <w:hideMark/>
          </w:tcPr>
          <w:p w:rsidR="003C184D" w:rsidRPr="000926B5" w:rsidRDefault="003C184D" w:rsidP="00EA2274">
            <w:pPr>
              <w:spacing w:after="0" w:line="240" w:lineRule="auto"/>
              <w:rPr>
                <w:rFonts w:ascii="Calibri" w:eastAsia="Times New Roman" w:hAnsi="Calibri" w:cs="Calibri"/>
                <w:color w:val="000000"/>
                <w:sz w:val="20"/>
                <w:szCs w:val="20"/>
              </w:rPr>
            </w:pPr>
            <w:r w:rsidRPr="000926B5">
              <w:rPr>
                <w:rFonts w:ascii="Calibri" w:eastAsia="Times New Roman" w:hAnsi="Calibri" w:cs="Calibri"/>
                <w:color w:val="000000"/>
                <w:sz w:val="20"/>
                <w:szCs w:val="20"/>
              </w:rPr>
              <w:t>Delayed or foregone any kind of health services due to cost in past 12 months</w:t>
            </w:r>
          </w:p>
        </w:tc>
        <w:tc>
          <w:tcPr>
            <w:tcW w:w="390"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09</w:t>
            </w:r>
          </w:p>
        </w:tc>
        <w:tc>
          <w:tcPr>
            <w:tcW w:w="42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0.2</w:t>
            </w:r>
            <w:r>
              <w:rPr>
                <w:rFonts w:ascii="Calibri" w:eastAsia="Times New Roman" w:hAnsi="Calibri" w:cs="Calibri"/>
                <w:color w:val="000000"/>
                <w:sz w:val="20"/>
                <w:szCs w:val="20"/>
              </w:rPr>
              <w:t>0***</w:t>
            </w:r>
          </w:p>
        </w:tc>
        <w:tc>
          <w:tcPr>
            <w:tcW w:w="272"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08</w:t>
            </w:r>
          </w:p>
        </w:tc>
        <w:tc>
          <w:tcPr>
            <w:tcW w:w="283"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0.07</w:t>
            </w:r>
          </w:p>
        </w:tc>
        <w:tc>
          <w:tcPr>
            <w:tcW w:w="29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28</w:t>
            </w:r>
          </w:p>
        </w:tc>
        <w:tc>
          <w:tcPr>
            <w:tcW w:w="29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w:t>
            </w:r>
            <w:r>
              <w:rPr>
                <w:rFonts w:ascii="Calibri" w:eastAsia="Times New Roman" w:hAnsi="Calibri" w:cs="Calibri"/>
                <w:color w:val="000000"/>
                <w:sz w:val="20"/>
                <w:szCs w:val="20"/>
              </w:rPr>
              <w:t>4</w:t>
            </w:r>
          </w:p>
        </w:tc>
        <w:tc>
          <w:tcPr>
            <w:tcW w:w="295"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12</w:t>
            </w:r>
          </w:p>
        </w:tc>
      </w:tr>
      <w:tr w:rsidR="003C184D" w:rsidRPr="00193117" w:rsidTr="00EA2274">
        <w:trPr>
          <w:trHeight w:val="300"/>
        </w:trPr>
        <w:tc>
          <w:tcPr>
            <w:tcW w:w="2748" w:type="pct"/>
            <w:shd w:val="clear" w:color="auto" w:fill="auto"/>
            <w:noWrap/>
            <w:vAlign w:val="bottom"/>
            <w:hideMark/>
          </w:tcPr>
          <w:p w:rsidR="003C184D" w:rsidRPr="000926B5" w:rsidRDefault="003C184D" w:rsidP="00EA2274">
            <w:pPr>
              <w:spacing w:after="0" w:line="240" w:lineRule="auto"/>
              <w:rPr>
                <w:rFonts w:ascii="Calibri" w:eastAsia="Times New Roman" w:hAnsi="Calibri" w:cs="Calibri"/>
                <w:color w:val="000000"/>
                <w:sz w:val="20"/>
                <w:szCs w:val="20"/>
              </w:rPr>
            </w:pPr>
            <w:r w:rsidRPr="000926B5">
              <w:rPr>
                <w:rFonts w:ascii="Calibri" w:eastAsia="Times New Roman" w:hAnsi="Calibri" w:cs="Calibri"/>
                <w:color w:val="000000"/>
                <w:sz w:val="20"/>
                <w:szCs w:val="20"/>
              </w:rPr>
              <w:t>Child not get needed specialty doctor due to cost or insurance coverage issues in past 12 months (sample limited to those needing specialty doctor)</w:t>
            </w:r>
          </w:p>
        </w:tc>
        <w:tc>
          <w:tcPr>
            <w:tcW w:w="390"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w:t>
            </w:r>
            <w:r>
              <w:rPr>
                <w:rFonts w:ascii="Calibri" w:eastAsia="Times New Roman" w:hAnsi="Calibri" w:cs="Calibri"/>
                <w:color w:val="000000"/>
                <w:sz w:val="20"/>
                <w:szCs w:val="20"/>
              </w:rPr>
              <w:t>2</w:t>
            </w:r>
          </w:p>
        </w:tc>
        <w:tc>
          <w:tcPr>
            <w:tcW w:w="42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0.05*</w:t>
            </w:r>
            <w:r>
              <w:rPr>
                <w:rFonts w:ascii="Calibri" w:eastAsia="Times New Roman" w:hAnsi="Calibri" w:cs="Calibri"/>
                <w:color w:val="000000"/>
                <w:sz w:val="20"/>
                <w:szCs w:val="20"/>
              </w:rPr>
              <w:t>*</w:t>
            </w:r>
            <w:r w:rsidRPr="000926B5">
              <w:rPr>
                <w:rFonts w:ascii="Calibri" w:eastAsia="Times New Roman" w:hAnsi="Calibri" w:cs="Calibri"/>
                <w:color w:val="000000"/>
                <w:sz w:val="20"/>
                <w:szCs w:val="20"/>
              </w:rPr>
              <w:t>*</w:t>
            </w:r>
          </w:p>
        </w:tc>
        <w:tc>
          <w:tcPr>
            <w:tcW w:w="272"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w:t>
            </w:r>
            <w:r>
              <w:rPr>
                <w:rFonts w:ascii="Calibri" w:eastAsia="Times New Roman" w:hAnsi="Calibri" w:cs="Calibri"/>
                <w:color w:val="000000"/>
                <w:sz w:val="20"/>
                <w:szCs w:val="20"/>
              </w:rPr>
              <w:t>2</w:t>
            </w:r>
          </w:p>
        </w:tc>
        <w:tc>
          <w:tcPr>
            <w:tcW w:w="283"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w:t>
            </w:r>
            <w:r>
              <w:rPr>
                <w:rFonts w:ascii="Calibri" w:eastAsia="Times New Roman" w:hAnsi="Calibri" w:cs="Calibri"/>
                <w:color w:val="000000"/>
                <w:sz w:val="20"/>
                <w:szCs w:val="20"/>
              </w:rPr>
              <w:t>5</w:t>
            </w:r>
          </w:p>
        </w:tc>
        <w:tc>
          <w:tcPr>
            <w:tcW w:w="29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w:t>
            </w:r>
            <w:r>
              <w:rPr>
                <w:rFonts w:ascii="Calibri" w:eastAsia="Times New Roman" w:hAnsi="Calibri" w:cs="Calibri"/>
                <w:color w:val="000000"/>
                <w:sz w:val="20"/>
                <w:szCs w:val="20"/>
              </w:rPr>
              <w:t>4</w:t>
            </w:r>
          </w:p>
        </w:tc>
        <w:tc>
          <w:tcPr>
            <w:tcW w:w="29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w:t>
            </w:r>
            <w:r>
              <w:rPr>
                <w:rFonts w:ascii="Calibri" w:eastAsia="Times New Roman" w:hAnsi="Calibri" w:cs="Calibri"/>
                <w:color w:val="000000"/>
                <w:sz w:val="20"/>
                <w:szCs w:val="20"/>
              </w:rPr>
              <w:t>2</w:t>
            </w:r>
          </w:p>
        </w:tc>
        <w:tc>
          <w:tcPr>
            <w:tcW w:w="295"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w:t>
            </w:r>
            <w:r>
              <w:rPr>
                <w:rFonts w:ascii="Calibri" w:eastAsia="Times New Roman" w:hAnsi="Calibri" w:cs="Calibri"/>
                <w:color w:val="000000"/>
                <w:sz w:val="20"/>
                <w:szCs w:val="20"/>
              </w:rPr>
              <w:t>3</w:t>
            </w:r>
          </w:p>
        </w:tc>
      </w:tr>
      <w:tr w:rsidR="003C184D" w:rsidRPr="00193117" w:rsidTr="00EA2274">
        <w:trPr>
          <w:trHeight w:val="300"/>
        </w:trPr>
        <w:tc>
          <w:tcPr>
            <w:tcW w:w="2748" w:type="pct"/>
            <w:shd w:val="clear" w:color="auto" w:fill="auto"/>
            <w:noWrap/>
            <w:vAlign w:val="bottom"/>
            <w:hideMark/>
          </w:tcPr>
          <w:p w:rsidR="003C184D" w:rsidRPr="000926B5" w:rsidRDefault="003C184D" w:rsidP="00EA2274">
            <w:pPr>
              <w:spacing w:after="0" w:line="240" w:lineRule="auto"/>
              <w:rPr>
                <w:rFonts w:ascii="Calibri" w:eastAsia="Times New Roman" w:hAnsi="Calibri" w:cs="Calibri"/>
                <w:color w:val="000000"/>
                <w:sz w:val="20"/>
                <w:szCs w:val="20"/>
              </w:rPr>
            </w:pPr>
            <w:r w:rsidRPr="000926B5">
              <w:rPr>
                <w:rFonts w:ascii="Calibri" w:eastAsia="Times New Roman" w:hAnsi="Calibri" w:cs="Calibri"/>
                <w:color w:val="000000"/>
                <w:sz w:val="20"/>
                <w:szCs w:val="20"/>
              </w:rPr>
              <w:t>Child did not get needed therapy due to cost or insurance coverage issues in past 12 months (sample limited to those needing therapy)</w:t>
            </w:r>
          </w:p>
        </w:tc>
        <w:tc>
          <w:tcPr>
            <w:tcW w:w="390"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w:t>
            </w:r>
            <w:r>
              <w:rPr>
                <w:rFonts w:ascii="Calibri" w:eastAsia="Times New Roman" w:hAnsi="Calibri" w:cs="Calibri"/>
                <w:color w:val="000000"/>
                <w:sz w:val="20"/>
                <w:szCs w:val="20"/>
              </w:rPr>
              <w:t>8</w:t>
            </w:r>
          </w:p>
        </w:tc>
        <w:tc>
          <w:tcPr>
            <w:tcW w:w="42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0.12</w:t>
            </w:r>
            <w:r w:rsidRPr="000926B5">
              <w:rPr>
                <w:rFonts w:ascii="Calibri" w:eastAsia="Times New Roman" w:hAnsi="Calibri" w:cs="Calibri"/>
                <w:color w:val="000000"/>
                <w:sz w:val="20"/>
                <w:szCs w:val="20"/>
              </w:rPr>
              <w:t>***</w:t>
            </w:r>
          </w:p>
        </w:tc>
        <w:tc>
          <w:tcPr>
            <w:tcW w:w="272"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w:t>
            </w:r>
            <w:r>
              <w:rPr>
                <w:rFonts w:ascii="Calibri" w:eastAsia="Times New Roman" w:hAnsi="Calibri" w:cs="Calibri"/>
                <w:color w:val="000000"/>
                <w:sz w:val="20"/>
                <w:szCs w:val="20"/>
              </w:rPr>
              <w:t>6</w:t>
            </w:r>
          </w:p>
        </w:tc>
        <w:tc>
          <w:tcPr>
            <w:tcW w:w="283"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w:t>
            </w:r>
            <w:r>
              <w:rPr>
                <w:rFonts w:ascii="Calibri" w:eastAsia="Times New Roman" w:hAnsi="Calibri" w:cs="Calibri"/>
                <w:color w:val="000000"/>
                <w:sz w:val="20"/>
                <w:szCs w:val="20"/>
              </w:rPr>
              <w:t>9</w:t>
            </w:r>
          </w:p>
        </w:tc>
        <w:tc>
          <w:tcPr>
            <w:tcW w:w="29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0.1</w:t>
            </w:r>
            <w:r>
              <w:rPr>
                <w:rFonts w:ascii="Calibri" w:eastAsia="Times New Roman" w:hAnsi="Calibri" w:cs="Calibri"/>
                <w:color w:val="000000"/>
                <w:sz w:val="20"/>
                <w:szCs w:val="20"/>
              </w:rPr>
              <w:t>4</w:t>
            </w:r>
          </w:p>
        </w:tc>
        <w:tc>
          <w:tcPr>
            <w:tcW w:w="29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w:t>
            </w:r>
            <w:r>
              <w:rPr>
                <w:rFonts w:ascii="Calibri" w:eastAsia="Times New Roman" w:hAnsi="Calibri" w:cs="Calibri"/>
                <w:color w:val="000000"/>
                <w:sz w:val="20"/>
                <w:szCs w:val="20"/>
              </w:rPr>
              <w:t>5</w:t>
            </w:r>
          </w:p>
        </w:tc>
        <w:tc>
          <w:tcPr>
            <w:tcW w:w="295"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w:t>
            </w:r>
            <w:r>
              <w:rPr>
                <w:rFonts w:ascii="Calibri" w:eastAsia="Times New Roman" w:hAnsi="Calibri" w:cs="Calibri"/>
                <w:color w:val="000000"/>
                <w:sz w:val="20"/>
                <w:szCs w:val="20"/>
              </w:rPr>
              <w:t>07</w:t>
            </w:r>
          </w:p>
        </w:tc>
      </w:tr>
      <w:tr w:rsidR="003C184D" w:rsidRPr="00193117" w:rsidTr="00EA2274">
        <w:trPr>
          <w:trHeight w:val="300"/>
        </w:trPr>
        <w:tc>
          <w:tcPr>
            <w:tcW w:w="2748" w:type="pct"/>
            <w:shd w:val="clear" w:color="auto" w:fill="auto"/>
            <w:noWrap/>
            <w:vAlign w:val="bottom"/>
            <w:hideMark/>
          </w:tcPr>
          <w:p w:rsidR="003C184D" w:rsidRPr="000926B5" w:rsidRDefault="003C184D" w:rsidP="00EA2274">
            <w:pPr>
              <w:spacing w:after="0" w:line="240" w:lineRule="auto"/>
              <w:rPr>
                <w:rFonts w:ascii="Calibri" w:eastAsia="Times New Roman" w:hAnsi="Calibri" w:cs="Calibri"/>
                <w:color w:val="000000"/>
                <w:sz w:val="20"/>
                <w:szCs w:val="20"/>
              </w:rPr>
            </w:pPr>
            <w:r w:rsidRPr="000926B5">
              <w:rPr>
                <w:rFonts w:ascii="Calibri" w:eastAsia="Times New Roman" w:hAnsi="Calibri" w:cs="Calibri"/>
                <w:color w:val="000000"/>
                <w:sz w:val="20"/>
                <w:szCs w:val="20"/>
              </w:rPr>
              <w:t>Child did not get needed prescription drugs due to cost or insurance coverage issues in past 12 months (sample limited to those needing drugs)</w:t>
            </w:r>
          </w:p>
        </w:tc>
        <w:tc>
          <w:tcPr>
            <w:tcW w:w="390"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w:t>
            </w:r>
            <w:r>
              <w:rPr>
                <w:rFonts w:ascii="Calibri" w:eastAsia="Times New Roman" w:hAnsi="Calibri" w:cs="Calibri"/>
                <w:color w:val="000000"/>
                <w:sz w:val="20"/>
                <w:szCs w:val="20"/>
              </w:rPr>
              <w:t>1</w:t>
            </w:r>
          </w:p>
        </w:tc>
        <w:tc>
          <w:tcPr>
            <w:tcW w:w="42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w:t>
            </w:r>
            <w:r>
              <w:rPr>
                <w:rFonts w:ascii="Calibri" w:eastAsia="Times New Roman" w:hAnsi="Calibri" w:cs="Calibri"/>
                <w:color w:val="000000"/>
                <w:sz w:val="20"/>
                <w:szCs w:val="20"/>
              </w:rPr>
              <w:t>2</w:t>
            </w:r>
          </w:p>
        </w:tc>
        <w:tc>
          <w:tcPr>
            <w:tcW w:w="272"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0.01</w:t>
            </w:r>
          </w:p>
        </w:tc>
        <w:tc>
          <w:tcPr>
            <w:tcW w:w="283"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w:t>
            </w:r>
            <w:r>
              <w:rPr>
                <w:rFonts w:ascii="Calibri" w:eastAsia="Times New Roman" w:hAnsi="Calibri" w:cs="Calibri"/>
                <w:color w:val="000000"/>
                <w:sz w:val="20"/>
                <w:szCs w:val="20"/>
              </w:rPr>
              <w:t>1</w:t>
            </w:r>
          </w:p>
        </w:tc>
        <w:tc>
          <w:tcPr>
            <w:tcW w:w="29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w:t>
            </w:r>
            <w:r>
              <w:rPr>
                <w:rFonts w:ascii="Calibri" w:eastAsia="Times New Roman" w:hAnsi="Calibri" w:cs="Calibri"/>
                <w:color w:val="000000"/>
                <w:sz w:val="20"/>
                <w:szCs w:val="20"/>
              </w:rPr>
              <w:t>3</w:t>
            </w:r>
          </w:p>
        </w:tc>
        <w:tc>
          <w:tcPr>
            <w:tcW w:w="29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w:t>
            </w:r>
            <w:r>
              <w:rPr>
                <w:rFonts w:ascii="Calibri" w:eastAsia="Times New Roman" w:hAnsi="Calibri" w:cs="Calibri"/>
                <w:color w:val="000000"/>
                <w:sz w:val="20"/>
                <w:szCs w:val="20"/>
              </w:rPr>
              <w:t>1</w:t>
            </w:r>
          </w:p>
        </w:tc>
        <w:tc>
          <w:tcPr>
            <w:tcW w:w="295"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0.01</w:t>
            </w:r>
          </w:p>
        </w:tc>
      </w:tr>
      <w:tr w:rsidR="003C184D" w:rsidRPr="00193117" w:rsidTr="00EA2274">
        <w:trPr>
          <w:trHeight w:val="300"/>
        </w:trPr>
        <w:tc>
          <w:tcPr>
            <w:tcW w:w="2748" w:type="pct"/>
            <w:shd w:val="clear" w:color="auto" w:fill="auto"/>
            <w:noWrap/>
            <w:vAlign w:val="bottom"/>
            <w:hideMark/>
          </w:tcPr>
          <w:p w:rsidR="003C184D" w:rsidRPr="000926B5" w:rsidRDefault="003C184D" w:rsidP="00EA2274">
            <w:pPr>
              <w:spacing w:after="0" w:line="240" w:lineRule="auto"/>
              <w:rPr>
                <w:rFonts w:ascii="Calibri" w:eastAsia="Times New Roman" w:hAnsi="Calibri" w:cs="Calibri"/>
                <w:color w:val="000000"/>
                <w:sz w:val="20"/>
                <w:szCs w:val="20"/>
              </w:rPr>
            </w:pPr>
            <w:r w:rsidRPr="000926B5">
              <w:rPr>
                <w:rFonts w:ascii="Calibri" w:eastAsia="Times New Roman" w:hAnsi="Calibri" w:cs="Calibri"/>
                <w:color w:val="000000"/>
                <w:sz w:val="20"/>
                <w:szCs w:val="20"/>
              </w:rPr>
              <w:t>Child did not get needed mental health care due to cost or insurance coverage issues in past 12 months (sample limited to those needing mental health care)</w:t>
            </w:r>
          </w:p>
        </w:tc>
        <w:tc>
          <w:tcPr>
            <w:tcW w:w="390"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0.08</w:t>
            </w:r>
          </w:p>
        </w:tc>
        <w:tc>
          <w:tcPr>
            <w:tcW w:w="42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0.11</w:t>
            </w:r>
            <w:r w:rsidRPr="000926B5">
              <w:rPr>
                <w:rFonts w:ascii="Calibri" w:eastAsia="Times New Roman" w:hAnsi="Calibri" w:cs="Calibri"/>
                <w:color w:val="000000"/>
                <w:sz w:val="20"/>
                <w:szCs w:val="20"/>
              </w:rPr>
              <w:t>*</w:t>
            </w:r>
            <w:r>
              <w:rPr>
                <w:rFonts w:ascii="Calibri" w:eastAsia="Times New Roman" w:hAnsi="Calibri" w:cs="Calibri"/>
                <w:color w:val="000000"/>
                <w:sz w:val="20"/>
                <w:szCs w:val="20"/>
              </w:rPr>
              <w:t>*</w:t>
            </w:r>
            <w:r w:rsidRPr="000926B5">
              <w:rPr>
                <w:rFonts w:ascii="Calibri" w:eastAsia="Times New Roman" w:hAnsi="Calibri" w:cs="Calibri"/>
                <w:color w:val="000000"/>
                <w:sz w:val="20"/>
                <w:szCs w:val="20"/>
              </w:rPr>
              <w:t>*</w:t>
            </w:r>
          </w:p>
        </w:tc>
        <w:tc>
          <w:tcPr>
            <w:tcW w:w="272"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w:t>
            </w:r>
            <w:r>
              <w:rPr>
                <w:rFonts w:ascii="Calibri" w:eastAsia="Times New Roman" w:hAnsi="Calibri" w:cs="Calibri"/>
                <w:color w:val="000000"/>
                <w:sz w:val="20"/>
                <w:szCs w:val="20"/>
              </w:rPr>
              <w:t>7</w:t>
            </w:r>
          </w:p>
        </w:tc>
        <w:tc>
          <w:tcPr>
            <w:tcW w:w="283"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w:t>
            </w:r>
            <w:r>
              <w:rPr>
                <w:rFonts w:ascii="Calibri" w:eastAsia="Times New Roman" w:hAnsi="Calibri" w:cs="Calibri"/>
                <w:color w:val="000000"/>
                <w:sz w:val="20"/>
                <w:szCs w:val="20"/>
              </w:rPr>
              <w:t>9</w:t>
            </w:r>
          </w:p>
        </w:tc>
        <w:tc>
          <w:tcPr>
            <w:tcW w:w="29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0.1</w:t>
            </w:r>
            <w:r>
              <w:rPr>
                <w:rFonts w:ascii="Calibri" w:eastAsia="Times New Roman" w:hAnsi="Calibri" w:cs="Calibri"/>
                <w:color w:val="000000"/>
                <w:sz w:val="20"/>
                <w:szCs w:val="20"/>
              </w:rPr>
              <w:t>2</w:t>
            </w:r>
          </w:p>
        </w:tc>
        <w:tc>
          <w:tcPr>
            <w:tcW w:w="29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w:t>
            </w:r>
            <w:r>
              <w:rPr>
                <w:rFonts w:ascii="Calibri" w:eastAsia="Times New Roman" w:hAnsi="Calibri" w:cs="Calibri"/>
                <w:color w:val="000000"/>
                <w:sz w:val="20"/>
                <w:szCs w:val="20"/>
              </w:rPr>
              <w:t>6</w:t>
            </w:r>
          </w:p>
        </w:tc>
        <w:tc>
          <w:tcPr>
            <w:tcW w:w="295"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w:t>
            </w:r>
            <w:r>
              <w:rPr>
                <w:rFonts w:ascii="Calibri" w:eastAsia="Times New Roman" w:hAnsi="Calibri" w:cs="Calibri"/>
                <w:color w:val="000000"/>
                <w:sz w:val="20"/>
                <w:szCs w:val="20"/>
              </w:rPr>
              <w:t>8</w:t>
            </w:r>
          </w:p>
        </w:tc>
      </w:tr>
      <w:tr w:rsidR="003C184D" w:rsidRPr="00193117" w:rsidTr="00EA2274">
        <w:trPr>
          <w:trHeight w:val="300"/>
        </w:trPr>
        <w:tc>
          <w:tcPr>
            <w:tcW w:w="2748" w:type="pct"/>
            <w:shd w:val="clear" w:color="auto" w:fill="auto"/>
            <w:noWrap/>
            <w:vAlign w:val="bottom"/>
            <w:hideMark/>
          </w:tcPr>
          <w:p w:rsidR="003C184D" w:rsidRPr="000926B5" w:rsidRDefault="003C184D" w:rsidP="00EA2274">
            <w:pPr>
              <w:spacing w:after="0" w:line="240" w:lineRule="auto"/>
              <w:rPr>
                <w:rFonts w:ascii="Calibri" w:eastAsia="Times New Roman" w:hAnsi="Calibri" w:cs="Calibri"/>
                <w:color w:val="000000"/>
                <w:sz w:val="20"/>
                <w:szCs w:val="20"/>
              </w:rPr>
            </w:pPr>
            <w:r w:rsidRPr="000926B5">
              <w:rPr>
                <w:rFonts w:ascii="Calibri" w:eastAsia="Times New Roman" w:hAnsi="Calibri" w:cs="Calibri"/>
                <w:color w:val="000000"/>
                <w:sz w:val="20"/>
                <w:szCs w:val="20"/>
              </w:rPr>
              <w:t>Child age in years</w:t>
            </w:r>
          </w:p>
        </w:tc>
        <w:tc>
          <w:tcPr>
            <w:tcW w:w="390"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10.7</w:t>
            </w:r>
          </w:p>
          <w:p w:rsidR="003C184D" w:rsidRPr="000926B5" w:rsidRDefault="003C184D" w:rsidP="00EA2274">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(0.05</w:t>
            </w:r>
            <w:r w:rsidRPr="000926B5">
              <w:rPr>
                <w:rFonts w:ascii="Calibri" w:eastAsia="Times New Roman" w:hAnsi="Calibri" w:cs="Calibri"/>
                <w:color w:val="000000"/>
                <w:sz w:val="20"/>
                <w:szCs w:val="20"/>
              </w:rPr>
              <w:t>)</w:t>
            </w:r>
          </w:p>
        </w:tc>
        <w:tc>
          <w:tcPr>
            <w:tcW w:w="42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9.9***</w:t>
            </w:r>
          </w:p>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(0.09)</w:t>
            </w:r>
          </w:p>
        </w:tc>
        <w:tc>
          <w:tcPr>
            <w:tcW w:w="272" w:type="pct"/>
            <w:shd w:val="clear" w:color="auto" w:fill="auto"/>
            <w:noWrap/>
            <w:vAlign w:val="bottom"/>
            <w:hideMark/>
          </w:tcPr>
          <w:p w:rsidR="003C184D" w:rsidRPr="000926B5" w:rsidRDefault="003C184D" w:rsidP="00EA227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10</w:t>
            </w:r>
            <w:r w:rsidRPr="000926B5">
              <w:rPr>
                <w:rFonts w:ascii="Calibri" w:eastAsia="Times New Roman" w:hAnsi="Calibri" w:cs="Calibri"/>
                <w:color w:val="000000"/>
                <w:sz w:val="20"/>
                <w:szCs w:val="20"/>
              </w:rPr>
              <w:t>.8</w:t>
            </w:r>
          </w:p>
          <w:p w:rsidR="003C184D" w:rsidRPr="000926B5" w:rsidRDefault="003C184D" w:rsidP="00EA227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(0.06</w:t>
            </w:r>
            <w:r w:rsidRPr="000926B5">
              <w:rPr>
                <w:rFonts w:ascii="Calibri" w:eastAsia="Times New Roman" w:hAnsi="Calibri" w:cs="Calibri"/>
                <w:color w:val="000000"/>
                <w:sz w:val="20"/>
                <w:szCs w:val="20"/>
              </w:rPr>
              <w:t>)</w:t>
            </w:r>
          </w:p>
        </w:tc>
        <w:tc>
          <w:tcPr>
            <w:tcW w:w="283"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9.8</w:t>
            </w:r>
          </w:p>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(0.17)</w:t>
            </w:r>
          </w:p>
        </w:tc>
        <w:tc>
          <w:tcPr>
            <w:tcW w:w="29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10.0</w:t>
            </w:r>
          </w:p>
          <w:p w:rsidR="003C184D" w:rsidRPr="000926B5" w:rsidRDefault="003C184D" w:rsidP="00EA2274">
            <w:pPr>
              <w:spacing w:after="0" w:line="240" w:lineRule="auto"/>
              <w:jc w:val="right"/>
              <w:rPr>
                <w:rFonts w:ascii="Calibri" w:eastAsia="Times New Roman" w:hAnsi="Calibri" w:cs="Calibri"/>
                <w:color w:val="000000"/>
                <w:sz w:val="20"/>
                <w:szCs w:val="20"/>
              </w:rPr>
            </w:pPr>
            <w:r w:rsidRPr="000926B5">
              <w:rPr>
                <w:rFonts w:ascii="Calibri" w:eastAsia="Times New Roman" w:hAnsi="Calibri" w:cs="Calibri"/>
                <w:color w:val="000000"/>
                <w:sz w:val="20"/>
                <w:szCs w:val="20"/>
              </w:rPr>
              <w:t>(0.15)</w:t>
            </w:r>
          </w:p>
        </w:tc>
        <w:tc>
          <w:tcPr>
            <w:tcW w:w="294"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10.7</w:t>
            </w:r>
          </w:p>
          <w:p w:rsidR="003C184D" w:rsidRPr="000926B5" w:rsidRDefault="003C184D" w:rsidP="00EA2274">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(0.06</w:t>
            </w:r>
            <w:r w:rsidRPr="000926B5">
              <w:rPr>
                <w:rFonts w:ascii="Calibri" w:eastAsia="Times New Roman" w:hAnsi="Calibri" w:cs="Calibri"/>
                <w:color w:val="000000"/>
                <w:sz w:val="20"/>
                <w:szCs w:val="20"/>
              </w:rPr>
              <w:t>)</w:t>
            </w:r>
          </w:p>
        </w:tc>
        <w:tc>
          <w:tcPr>
            <w:tcW w:w="295" w:type="pct"/>
            <w:shd w:val="clear" w:color="auto" w:fill="auto"/>
            <w:noWrap/>
            <w:vAlign w:val="bottom"/>
            <w:hideMark/>
          </w:tcPr>
          <w:p w:rsidR="003C184D" w:rsidRPr="000926B5" w:rsidRDefault="003C184D" w:rsidP="00EA2274">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10</w:t>
            </w:r>
            <w:r w:rsidRPr="000926B5">
              <w:rPr>
                <w:rFonts w:ascii="Calibri" w:eastAsia="Times New Roman" w:hAnsi="Calibri" w:cs="Calibri"/>
                <w:color w:val="000000"/>
                <w:sz w:val="20"/>
                <w:szCs w:val="20"/>
              </w:rPr>
              <w:t>.9</w:t>
            </w:r>
          </w:p>
          <w:p w:rsidR="003C184D" w:rsidRPr="000926B5" w:rsidRDefault="003C184D" w:rsidP="00EA2274">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(0.08</w:t>
            </w:r>
            <w:r w:rsidRPr="000926B5">
              <w:rPr>
                <w:rFonts w:ascii="Calibri" w:eastAsia="Times New Roman" w:hAnsi="Calibri" w:cs="Calibri"/>
                <w:color w:val="000000"/>
                <w:sz w:val="20"/>
                <w:szCs w:val="20"/>
              </w:rPr>
              <w:t>)</w:t>
            </w:r>
          </w:p>
        </w:tc>
      </w:tr>
    </w:tbl>
    <w:p w:rsidR="003C184D" w:rsidRDefault="003C184D" w:rsidP="003C184D">
      <w:pPr>
        <w:rPr>
          <w:rFonts w:ascii="Times New Roman" w:eastAsia="Calibri" w:hAnsi="Times New Roman" w:cs="Times New Roman"/>
          <w:sz w:val="20"/>
          <w:szCs w:val="24"/>
        </w:rPr>
      </w:pPr>
    </w:p>
    <w:p w:rsidR="003C184D" w:rsidRDefault="003C184D" w:rsidP="003C184D">
      <w:pPr>
        <w:rPr>
          <w:rFonts w:ascii="Times New Roman" w:eastAsia="Calibri" w:hAnsi="Times New Roman" w:cs="Times New Roman"/>
          <w:sz w:val="20"/>
          <w:szCs w:val="24"/>
        </w:rPr>
      </w:pPr>
      <w:r w:rsidRPr="00EB7887">
        <w:rPr>
          <w:rFonts w:ascii="Times New Roman" w:eastAsia="Calibri" w:hAnsi="Times New Roman" w:cs="Times New Roman"/>
          <w:sz w:val="20"/>
          <w:szCs w:val="24"/>
        </w:rPr>
        <w:t>Notes:  Statistics are weighted using survey weights.</w:t>
      </w:r>
      <w:r>
        <w:rPr>
          <w:rFonts w:ascii="Times New Roman" w:eastAsia="Calibri" w:hAnsi="Times New Roman" w:cs="Times New Roman"/>
          <w:sz w:val="20"/>
          <w:szCs w:val="24"/>
        </w:rPr>
        <w:t xml:space="preserve">  Child age shows robust standard error clustered on state in parentheses.</w:t>
      </w:r>
      <w:r w:rsidRPr="00EB7887">
        <w:rPr>
          <w:rFonts w:ascii="Times New Roman" w:eastAsia="Calibri" w:hAnsi="Times New Roman" w:cs="Times New Roman"/>
          <w:sz w:val="20"/>
          <w:szCs w:val="24"/>
        </w:rPr>
        <w:t xml:space="preserve">  The symbols ***, ** and *** indicate statistically significant difference at the 1, 5 and 10 percent levels, respectively for treatment vs. control group.  Wave=1 indicates the 2005-2006 survey, while Wave=2 indicates the 2009-</w:t>
      </w:r>
      <w:r>
        <w:rPr>
          <w:rFonts w:ascii="Times New Roman" w:eastAsia="Calibri" w:hAnsi="Times New Roman" w:cs="Times New Roman"/>
          <w:sz w:val="20"/>
          <w:szCs w:val="24"/>
        </w:rPr>
        <w:t>2010 survey.  Comparison Group 2</w:t>
      </w:r>
      <w:r w:rsidRPr="00EB7887">
        <w:rPr>
          <w:rFonts w:ascii="Times New Roman" w:eastAsia="Calibri" w:hAnsi="Times New Roman" w:cs="Times New Roman"/>
          <w:sz w:val="20"/>
          <w:szCs w:val="24"/>
        </w:rPr>
        <w:t xml:space="preserve"> includes </w:t>
      </w:r>
      <w:r>
        <w:rPr>
          <w:rFonts w:ascii="Times New Roman" w:eastAsia="Calibri" w:hAnsi="Times New Roman" w:cs="Times New Roman"/>
          <w:sz w:val="20"/>
          <w:szCs w:val="24"/>
        </w:rPr>
        <w:t xml:space="preserve">CSHCN </w:t>
      </w:r>
      <w:r w:rsidRPr="00EB7887">
        <w:rPr>
          <w:rFonts w:ascii="Times New Roman" w:eastAsia="Calibri" w:hAnsi="Times New Roman" w:cs="Times New Roman"/>
          <w:sz w:val="20"/>
          <w:szCs w:val="24"/>
        </w:rPr>
        <w:t>with psychiatric conditions other than ASD</w:t>
      </w:r>
      <w:r>
        <w:rPr>
          <w:rFonts w:ascii="Times New Roman" w:eastAsia="Calibri" w:hAnsi="Times New Roman" w:cs="Times New Roman"/>
          <w:sz w:val="20"/>
          <w:szCs w:val="24"/>
        </w:rPr>
        <w:t xml:space="preserve"> and/or chronic medical condtions</w:t>
      </w:r>
      <w:r w:rsidRPr="00EB7887">
        <w:rPr>
          <w:rFonts w:ascii="Times New Roman" w:eastAsia="Calibri" w:hAnsi="Times New Roman" w:cs="Times New Roman"/>
          <w:sz w:val="20"/>
          <w:szCs w:val="24"/>
        </w:rPr>
        <w:t>.  All variables</w:t>
      </w:r>
      <w:r>
        <w:rPr>
          <w:rFonts w:ascii="Times New Roman" w:eastAsia="Calibri" w:hAnsi="Times New Roman" w:cs="Times New Roman"/>
          <w:sz w:val="20"/>
          <w:szCs w:val="24"/>
        </w:rPr>
        <w:t xml:space="preserve"> except child age</w:t>
      </w:r>
      <w:r w:rsidRPr="00EB7887">
        <w:rPr>
          <w:rFonts w:ascii="Times New Roman" w:eastAsia="Calibri" w:hAnsi="Times New Roman" w:cs="Times New Roman"/>
          <w:sz w:val="20"/>
          <w:szCs w:val="24"/>
        </w:rPr>
        <w:t xml:space="preserve"> are dichotomous. </w:t>
      </w:r>
      <w:r>
        <w:rPr>
          <w:rFonts w:ascii="Times New Roman" w:eastAsia="Calibri" w:hAnsi="Times New Roman" w:cs="Times New Roman"/>
          <w:sz w:val="20"/>
          <w:szCs w:val="24"/>
        </w:rPr>
        <w:t>In the regression models, we used dichotomous indicators for each child age 2 to 17, leaving out one age as the baseline.  CSHCN stands for children with special health care needs.  DDD stands for difference in difference in difference method.</w:t>
      </w:r>
    </w:p>
    <w:p w:rsidR="003C184D" w:rsidRDefault="003C184D" w:rsidP="003C184D"/>
    <w:p w:rsidR="00FC70C6" w:rsidRDefault="00FC70C6">
      <w:bookmarkStart w:id="0" w:name="_GoBack"/>
      <w:bookmarkEnd w:id="0"/>
    </w:p>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84D" w:rsidRDefault="003C184D" w:rsidP="003C184D">
      <w:pPr>
        <w:spacing w:after="0" w:line="240" w:lineRule="auto"/>
      </w:pPr>
      <w:r>
        <w:separator/>
      </w:r>
    </w:p>
  </w:endnote>
  <w:endnote w:type="continuationSeparator" w:id="0">
    <w:p w:rsidR="003C184D" w:rsidRDefault="003C184D" w:rsidP="003C1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84D" w:rsidRDefault="003C1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84D" w:rsidRDefault="003C18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84D" w:rsidRDefault="003C1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84D" w:rsidRDefault="003C184D" w:rsidP="003C184D">
      <w:pPr>
        <w:spacing w:after="0" w:line="240" w:lineRule="auto"/>
      </w:pPr>
      <w:r>
        <w:separator/>
      </w:r>
    </w:p>
  </w:footnote>
  <w:footnote w:type="continuationSeparator" w:id="0">
    <w:p w:rsidR="003C184D" w:rsidRDefault="003C184D" w:rsidP="003C1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84D" w:rsidRDefault="003C18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84D" w:rsidRDefault="003C18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84D" w:rsidRDefault="003C18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4D"/>
    <w:rsid w:val="003C184D"/>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8EF447-388D-482D-91E3-A7C7B252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84D"/>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C184D"/>
    <w:rPr>
      <w:rFonts w:cs="Times New Roman"/>
      <w:color w:val="0000FF"/>
      <w:u w:val="single"/>
    </w:rPr>
  </w:style>
  <w:style w:type="paragraph" w:styleId="Header">
    <w:name w:val="header"/>
    <w:basedOn w:val="Normal"/>
    <w:link w:val="HeaderChar"/>
    <w:uiPriority w:val="99"/>
    <w:unhideWhenUsed/>
    <w:rsid w:val="003C1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84D"/>
    <w:rPr>
      <w:rFonts w:eastAsiaTheme="minorEastAsia"/>
    </w:rPr>
  </w:style>
  <w:style w:type="paragraph" w:styleId="Footer">
    <w:name w:val="footer"/>
    <w:basedOn w:val="Normal"/>
    <w:link w:val="FooterChar"/>
    <w:uiPriority w:val="99"/>
    <w:unhideWhenUsed/>
    <w:rsid w:val="003C1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84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www.autismspeaks.org/advocacy/stat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1095</Words>
  <Characters>6244</Characters>
  <Application>Microsoft Office Word</Application>
  <DocSecurity>0</DocSecurity>
  <Lines>52</Lines>
  <Paragraphs>14</Paragraphs>
  <ScaleCrop>false</ScaleCrop>
  <Company>Centers for Disease Control and Prevention</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Kimberly (CDC/DDPHSS/NCHS/OD)</dc:creator>
  <cp:keywords/>
  <dc:description/>
  <cp:lastModifiedBy>Oliver, Kimberly (CDC/DDPHSS/NCHS/OD)</cp:lastModifiedBy>
  <cp:revision>1</cp:revision>
  <dcterms:created xsi:type="dcterms:W3CDTF">2020-09-18T21:01:00Z</dcterms:created>
  <dcterms:modified xsi:type="dcterms:W3CDTF">2020-09-18T21:03:00Z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KJR2@cdc.gov</vt:lpwstr>
  </property>
  <property fmtid="{D5CDD505-2E9C-101B-9397-08002B2CF9AE}" pid="5" name="MSIP_Label_7b94a7b8-f06c-4dfe-bdcc-9b548fd58c31_SetDate">
    <vt:lpwstr>2020-09-18T21:02:02.1138114Z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d7aa6906-b4b4-430b-912a-0e2927695b02</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