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0814E" w14:textId="5E7DD23F" w:rsidR="003C1D14" w:rsidRDefault="003C1D14" w:rsidP="003C1D14">
      <w:pPr>
        <w:spacing w:line="480" w:lineRule="auto"/>
        <w:contextualSpacing/>
        <w:rPr>
          <w:rFonts w:ascii="Franklin Gothic Medium" w:hAnsi="Franklin Gothic Medium"/>
          <w:b/>
          <w:sz w:val="28"/>
        </w:rPr>
      </w:pPr>
      <w:r>
        <w:rPr>
          <w:rFonts w:ascii="Franklin Gothic Medium" w:hAnsi="Franklin Gothic Medium"/>
          <w:b/>
          <w:sz w:val="28"/>
        </w:rPr>
        <w:t>APPENDIX</w:t>
      </w:r>
    </w:p>
    <w:p w14:paraId="56B4B522" w14:textId="39BA7613" w:rsidR="003C1D14" w:rsidRPr="00FE153D" w:rsidRDefault="003C1D14" w:rsidP="003C1D14">
      <w:pPr>
        <w:spacing w:line="480" w:lineRule="auto"/>
        <w:contextualSpacing/>
        <w:rPr>
          <w:rFonts w:ascii="Franklin Gothic Medium" w:hAnsi="Franklin Gothic Medium"/>
          <w:b/>
          <w:sz w:val="28"/>
        </w:rPr>
      </w:pPr>
      <w:r w:rsidRPr="00FE153D">
        <w:rPr>
          <w:rFonts w:ascii="Franklin Gothic Medium" w:hAnsi="Franklin Gothic Medium"/>
          <w:b/>
          <w:sz w:val="28"/>
        </w:rPr>
        <w:t xml:space="preserve">SIM INITIATIVE EXAMPLES </w:t>
      </w:r>
      <w:r>
        <w:rPr>
          <w:rFonts w:ascii="Franklin Gothic Medium" w:hAnsi="Franklin Gothic Medium"/>
          <w:b/>
          <w:sz w:val="28"/>
        </w:rPr>
        <w:t>AND</w:t>
      </w:r>
      <w:r w:rsidRPr="00FE153D">
        <w:rPr>
          <w:rFonts w:ascii="Franklin Gothic Medium" w:hAnsi="Franklin Gothic Medium"/>
          <w:b/>
          <w:sz w:val="28"/>
        </w:rPr>
        <w:t xml:space="preserve"> POTENTIAL INFLUENCE ON V CODE USE</w:t>
      </w:r>
    </w:p>
    <w:p w14:paraId="6D95CD1D" w14:textId="77777777" w:rsidR="003C1D14" w:rsidRPr="0070186D" w:rsidRDefault="003C1D14" w:rsidP="003C1D14">
      <w:pPr>
        <w:spacing w:line="480" w:lineRule="auto"/>
        <w:contextualSpacing/>
        <w:rPr>
          <w:rFonts w:eastAsia="Calibri"/>
        </w:rPr>
      </w:pPr>
      <w:r w:rsidRPr="0070186D">
        <w:rPr>
          <w:rFonts w:eastAsia="Calibri"/>
        </w:rPr>
        <w:t>Several potential barriers to V code use have been identified, all of which are addressed by various SIM reforms. First, there is little financial incentive for clinicians to code for social risk factors, as they are not reimbursed for time or services related to these codes.</w:t>
      </w:r>
      <w:r w:rsidRPr="0070186D">
        <w:rPr>
          <w:rFonts w:eastAsia="Calibri"/>
        </w:rPr>
        <w:fldChar w:fldCharType="begin"/>
      </w:r>
      <w:r w:rsidRPr="0070186D">
        <w:rPr>
          <w:rFonts w:eastAsia="Calibri"/>
        </w:rPr>
        <w:instrText xml:space="preserve"> ADDIN ZOTERO_ITEM CSL_CITATION {"citationID":"7l8rXMPC","properties":{"formattedCitation":"\\super 1,2\\nosupersub{}","plainCitation":"1,2","noteIndex":0},"citationItems":[{"id":2646,"uris":["http://zotero.org/groups/2363329/items/JL8RIHYR"],"uri":["http://zotero.org/groups/2363329/items/JL8RIHYR"],"itemData":{"id":2646,"type":"article-journal","abstract":"BACKGROUND: Social determinants of health (SDH) data collected in health care settings could have important applications for clinical decision-making, population health strategies, and the design of performance-based incentives and penalties. One source for cataloging SDH data is the International Statistical Classification of Diseases and Related Health Problems (ICD).\nOBJECTIVE: To explore how SDH are captured with ICD Ninth revision SDH V codes in a national inpatient discharge database.\nMATERIALS AND METHODS: Data come from the 2013 Healthcare Cost and Utilization Project (HCUP) National Inpatient Sample, a national stratified sample of discharges from 4363 hospitals from 44 US states. We estimate the rate of ICD-9 SDH V code utilization overall and by patient demographics and payer categories. We additionally estimate the rate of SDH V code utilization for: (a) the 5 most common reasons for hospitalization; and (b) the 5 conditions with the highest rates of SDH V code utilization.\nRESULTS: Fewer than 2% of overall discharges in the National Inpatient Sample were assigned an SDH V code. There were statistically significant differences in the rate of overall SDH V code utilization by age categories, race/ethnicity, sex, and payer (all P&lt;0.001). Nevertheless, SDH V codes were assigned to &lt;7% of discharges in any demographic or payer subgroup. SDH V code utilization was highest for major diagnostic categories related to mental health and alcohol/substance use-related discharges.\nCONCLUSIONS: SDH V codes are infrequently utilized in inpatient settings for discharges other than those related to mental health and alcohol/substance use. Utilization incentives will likely need to be developed to realize the potential benefits of cataloging SDH information.","container-title":"Medical Care","DOI":"10.1097/MLR.0000000000000764","ISSN":"1537-1948","issue":"9","journalAbbreviation":"Med Care","language":"eng","note":"PMID: 28671930","page":"810-816","source":"PubMed","title":"ICD Social Codes: An Underutilized Resource for Tracking Social Needs","title-short":"ICD Social Codes","volume":"55","author":[{"family":"Torres","given":"Jacqueline M."},{"family":"Lawlor","given":"John"},{"family":"Colvin","given":"Jeffrey D."},{"family":"Sills","given":"Marion R."},{"family":"Bettenhausen","given":"Jessica L."},{"family":"Davidson","given":"Amber"},{"family":"Cutler","given":"Gretchen J."},{"family":"Hall","given":"Matt"},{"family":"Gottlieb","given":"Laura M."}],"issued":{"date-parts":[["2017"]]}}},{"id":2702,"uris":["http://zotero.org/groups/2363329/items/XUZXH5RL"],"uri":["http://zotero.org/groups/2363329/items/XUZXH5RL"],"itemData":{"id":2702,"type":"article-journal","container-title":"BMC family practice","issue":"1","page":"121","source":"Google Scholar","title":"Community health center provider ability to identify, treat and account for the social determinants of health: a card study","title-short":"Community health center provider ability to identify, treat and account for the social determinants of health","volume":"17","author":[{"family":"Lewis","given":"Joy H."},{"family":"Whelihan","given":"Kate"},{"family":"Navarro","given":"Isaac"},{"family":"Boyle","given":"Kimberly R."}],"issued":{"date-parts":[["2016"]]}}}],"schema":"https://github.com/citation-style-language/schema/raw/master/csl-citation.json"} </w:instrText>
      </w:r>
      <w:r w:rsidRPr="0070186D">
        <w:rPr>
          <w:rFonts w:eastAsia="Calibri"/>
        </w:rPr>
        <w:fldChar w:fldCharType="separate"/>
      </w:r>
      <w:r w:rsidRPr="0070186D">
        <w:rPr>
          <w:rFonts w:eastAsia="Times New Roman"/>
          <w:vertAlign w:val="superscript"/>
        </w:rPr>
        <w:t>1,2</w:t>
      </w:r>
      <w:r w:rsidRPr="0070186D">
        <w:rPr>
          <w:rFonts w:eastAsia="Calibri"/>
        </w:rPr>
        <w:fldChar w:fldCharType="end"/>
      </w:r>
      <w:r w:rsidRPr="0070186D">
        <w:rPr>
          <w:rFonts w:eastAsia="Calibri"/>
        </w:rPr>
        <w:t xml:space="preserve"> However, global and risk-based payment models, such as ACOs and Episodes of Care implemented under SIM, may encourage clinicians to identify these risk factors and address unmet needs, as individuals with unmet needs have higher utilization and total costs of care.</w:t>
      </w:r>
      <w:r w:rsidRPr="0070186D">
        <w:rPr>
          <w:rFonts w:eastAsia="Calibri"/>
        </w:rPr>
        <w:fldChar w:fldCharType="begin"/>
      </w:r>
      <w:r w:rsidRPr="0070186D">
        <w:rPr>
          <w:rFonts w:eastAsia="Calibri"/>
        </w:rPr>
        <w:instrText xml:space="preserve"> ADDIN ZOTERO_ITEM CSL_CITATION {"citationID":"r3XHkhoB","properties":{"formattedCitation":"\\super 3\\uc0\\u8211{}5\\nosupersub{}","plainCitation":"3–5","noteIndex":0},"citationItems":[{"id":2643,"uris":["http://zotero.org/groups/2363329/items/TRIM4R8J"],"uri":["http://zotero.org/groups/2363329/items/TRIM4R8J"],"itemData":{"id":2643,"type":"article-journal","abstract":"OBJECTIVE: To evaluate the prevalence of seven social factors using physician notes as compared to claims and structured electronic health records (EHRs) data and the resulting association with 30-day readmissions.\nSTUDY SETTING: A multihospital academic health system in southeastern Massachusetts.\nSTUDY DESIGN: An observational study of 49,319 patients with cardiovascular disease admitted from January 1, 2011, to December 31, 2013, using multivariable logistic regression to adjust for patient characteristics.\nDATA COLLECTION/EXTRACTION METHODS: All-payer claims, EHR data, and physician notes extracted from a centralized clinical registry.\nPRINCIPAL FINDINGS: All seven social characteristics were identified at the highest rates in physician notes. For example, we identified 14,872 patient admissions with poor social support in physician notes, increasing the prevalence from 0.4 percent using ICD-9 codes and structured EHR data to 16.0 percent. Compared to an 18.6 percent baseline readmission rate, risk-adjusted analysis showed higher readmission risk for patients with housing instability (readmission rate 24.5 percent; p &lt; .001), depression (20.6 percent; p &lt; .001), drug abuse (20.2 percent; p = .01), and poor social support (20.0 percent; p = .01).\nCONCLUSIONS: The seven social risk factors studied are substantially more prevalent than represented in administrative data. Automated methods for analyzing physician notes may enable better identification of patients with social needs.","container-title":"Health Services Research","DOI":"10.1111/1475-6773.12670","ISSN":"1475-6773","issue":"2","journalAbbreviation":"Health Serv Res","language":"eng","note":"PMID: 28295260\nPMCID: PMC5867172","page":"1110-1136","source":"PubMed","title":"Hospital Readmission and Social Risk Factors Identified from Physician Notes","volume":"53","author":[{"family":"Navathe","given":"Amol S."},{"family":"Zhong","given":"Feiran"},{"family":"Lei","given":"Victor J."},{"family":"Chang","given":"Frank Y."},{"family":"Sordo","given":"Margarita"},{"family":"Topaz","given":"Maxim"},{"family":"Navathe","given":"Shamkant B."},{"family":"Rocha","given":"Roberto A."},{"family":"Zhou","given":"Li"}],"issued":{"date-parts":[["2018"]]}}},{"id":2707,"uris":["http://zotero.org/groups/2363329/items/4M39ILL9"],"uri":["http://zotero.org/groups/2363329/items/4M39ILL9"],"itemData":{"id":2707,"type":"article-journal","container-title":"American Journal of Kidney Diseases","DOI":"10.1053/j.ajkd.2016.10.035","ISSN":"02726386","issue":"1","language":"en","page":"38-47","source":"Crossref","title":"Food Insecurity, CKD, and Subsequent ESRD in US Adults","URL":"https://linkinghub.elsevier.com/retrieve/pii/S0272638616306722","volume":"70","author":[{"family":"Banerjee","given":"Tanushree"},{"family":"Crews","given":"Deidra C."},{"family":"Wesson","given":"Donald E."},{"family":"Dharmarajan","given":"Sai"},{"family":"Saran","given":"Rajiv"},{"family":"Ríos Burrows","given":"Nilka"},{"family":"Saydah","given":"Sharon"},{"family":"Powe","given":"Neil R."},{"family":"Powe","given":"Neil R."},{"family":"Banerjee","given":"Tanushree"},{"family":"Hsu","given":"Chi-yuan"},{"family":"Bibbins-Domingo","given":"Kirsten"},{"family":"McCulloch","given":"Charles"},{"family":"Crews","given":"Deidra"},{"family":"Grubbs","given":"Vanessa"},{"family":"Peralta","given":"Carmen"},{"family":"Shlipak","given":"Michael"},{"family":"Rubinsky","given":"Anna"},{"family":"Hsu","given":"Raymond"},{"family":"Coresh","given":"Josef"},{"family":"Tuot","given":"Delphine"},{"family":"Saran","given":"Rajiv"},{"family":"Steffick","given":"Diane"},{"family":"Gillespie","given":"Brenda"},{"family":"Herman","given":"William"},{"family":"Port","given":"Friedrich"},{"family":"Robinson","given":"Bruce"},{"family":"Shahinian","given":"Vahakn"},{"family":"Yee","given":"Jerry"},{"family":"Young","given":"Eric"},{"family":"McClellan","given":"William"},{"family":"O’Hare","given":"Ann"},{"family":"Fava","given":"Melissa"},{"family":"Tilea","given":"Anca"},{"family":"Williams","given":"Desmond"},{"family":"Ríos Burrows","given":"Nilka"},{"family":"Eberhardt","given":"Mark"},{"family":"Flowers","given":"Nicole"},{"family":"Geiss","given":"Linda"},{"family":"Jordan","given":"Regina"},{"family":"Mondesire","given":"Juanita"},{"family":"Moore","given":"Bernice"},{"family":"Myers","given":"Gary"},{"family":"Pavkov","given":"Meda"},{"family":"Rolka","given":"Deborah"},{"family":"Saydah","given":"Sharon"},{"family":"Schoolwerth","given":"Anton"},{"family":"Valdez","given":"Rodolfo"},{"family":"Waller","given":"Larry"}],"accessed":{"date-parts":[["2019",9,24]]},"issued":{"date-parts":[["2017",7]]}}},{"id":2682,"uris":["http://zotero.org/groups/2363329/items/FAR8YJXH"],"uri":["http://zotero.org/groups/2363329/items/FAR8YJXH"],"itemData":{"id":2682,"type":"article-journal","abstract":"Background Unmet basic resource needs, such as difficulty affording healthcare, medications, food and housing, may contribute to worse healthcare quality indicators, but interventions are hampered by lack of specific knowledge regarding the distribution of unmet basic resource needs and their association with priority clinical conditions and health service use patterns.\nMethods Cross-sectional study of primary care patients in two urban academic practices from 1 October 2013 to 30 April 2014. Patients were screened for unmet needs and enrolled in a programme to link them with community resources. Key measures included patient report of unmet basic resource needs, clinical conditions prioritised by quality improvement programmes (hypertension, diabetes and depression), and health service use patterns such as frequent emergency department (ED) visits (&gt;2 in the preceding year) and frequent clinic ‘no-shows’ (&gt;1 in the preceding year).\nResults 416 patients with unmet needs were included, and compared with 2750 patients who did not report needs. The most common types of needs reported were: difficulties affording healthcare (46.5%), food (40.1%) and utilities (36.3%). Patients who reported unmet needs were more likely to have depression (17.8% vs 9.5%, p&lt;0.0001), diabetes (32.7% vs 20.4%, p&lt;0.0001), hypertension (54.3% vs 46.3%, p=0.002), be frequent ED users (11.3% vs 5.4%, p&lt;0.0001), and have frequent ‘no-shows’ to clinic (21.6% vs 11.9%, p&lt;0.0001).\nConclusions Difficulty affording healthcare and food are particularly common needs among patients with priority conditions. Strategies to identify and address unmet needs as part of routine care may be an important way to improve healthcare quality.","container-title":"BMJ Quality &amp; Safety","DOI":"10.1136/bmjqs-2015-004521","ISSN":"2044-5415, 2044-5423","issue":"3","journalAbbreviation":"BMJ Qual Saf","language":"en","note":"PMID: 26621916","page":"164-172","source":"qualitysafety.bmj.com","title":"Addressing basic resource needs to improve primary care quality: a community collaboration programme","title-short":"Addressing basic resource needs to improve primary care quality","URL":"https://qualitysafety.bmj.com/content/25/3/164","volume":"25","author":[{"family":"Berkowitz","given":"Seth A."},{"family":"Hulberg","given":"A. Catherine"},{"family":"Hong","given":"Clemens"},{"family":"Stowell","given":"Brian J."},{"family":"Tirozzi","given":"Karen J."},{"family":"Traore","given":"Carine Y."},{"family":"Atlas","given":"Steven J."}],"accessed":{"date-parts":[["2019",9,5]]},"issued":{"date-parts":[["2016",3,1]]}}}],"schema":"https://github.com/citation-style-language/schema/raw/master/csl-citation.json"} </w:instrText>
      </w:r>
      <w:r w:rsidRPr="0070186D">
        <w:rPr>
          <w:rFonts w:eastAsia="Calibri"/>
        </w:rPr>
        <w:fldChar w:fldCharType="separate"/>
      </w:r>
      <w:r w:rsidRPr="0070186D">
        <w:rPr>
          <w:rFonts w:eastAsia="Times New Roman"/>
          <w:vertAlign w:val="superscript"/>
        </w:rPr>
        <w:t>3–5</w:t>
      </w:r>
      <w:r w:rsidRPr="0070186D">
        <w:rPr>
          <w:rFonts w:eastAsia="Calibri"/>
        </w:rPr>
        <w:fldChar w:fldCharType="end"/>
      </w:r>
      <w:r w:rsidRPr="0070186D">
        <w:rPr>
          <w:rFonts w:eastAsia="Calibri"/>
        </w:rPr>
        <w:t xml:space="preserve"> High-cost utilization translates into less shared savings for providers under risk-based payment models. Second, clinicians may be particularly hesitant to screen for social risk factors when they are unable to subsequently link their patients with services to address these factors.</w:t>
      </w:r>
      <w:r w:rsidRPr="0070186D">
        <w:rPr>
          <w:rFonts w:eastAsia="Calibri"/>
        </w:rPr>
        <w:fldChar w:fldCharType="begin"/>
      </w:r>
      <w:r w:rsidRPr="0070186D">
        <w:rPr>
          <w:rFonts w:eastAsia="Calibri"/>
        </w:rPr>
        <w:instrText xml:space="preserve"> ADDIN ZOTERO_ITEM CSL_CITATION {"citationID":"u88s4Bsh","properties":{"formattedCitation":"\\super 6\\nosupersub{}","plainCitation":"6","noteIndex":0},"citationItems":[{"id":2701,"uris":["http://zotero.org/groups/2363329/items/6B27UYEW"],"uri":["http://zotero.org/groups/2363329/items/6B27UYEW"],"itemData":{"id":2701,"type":"article-journal","container-title":"JAMA","DOI":"10.1001/jama.2016.9282","ISSN":"0098-7484","issue":"8","language":"en","page":"813","source":"Crossref","title":"Avoiding the Unintended Consequences of Screening for Social Determinants of Health","URL":"http://jama.jamanetwork.com/article.aspx?doi=10.1001/jama.2016.9282","volume":"316","author":[{"family":"Garg","given":"Arvin"},{"family":"Boynton-Jarrett","given":"Renée"},{"family":"Dworkin","given":"Paul H."}],"accessed":{"date-parts":[["2019",9,24]]},"issued":{"date-parts":[["2016",8,23]]}}}],"schema":"https://github.com/citation-style-language/schema/raw/master/csl-citation.json"} </w:instrText>
      </w:r>
      <w:r w:rsidRPr="0070186D">
        <w:rPr>
          <w:rFonts w:eastAsia="Calibri"/>
        </w:rPr>
        <w:fldChar w:fldCharType="separate"/>
      </w:r>
      <w:r w:rsidRPr="0070186D">
        <w:rPr>
          <w:rFonts w:eastAsia="Times New Roman"/>
          <w:vertAlign w:val="superscript"/>
        </w:rPr>
        <w:t>6</w:t>
      </w:r>
      <w:r w:rsidRPr="0070186D">
        <w:rPr>
          <w:rFonts w:eastAsia="Calibri"/>
        </w:rPr>
        <w:fldChar w:fldCharType="end"/>
      </w:r>
      <w:r w:rsidRPr="0070186D">
        <w:rPr>
          <w:rFonts w:eastAsia="Calibri"/>
        </w:rPr>
        <w:t xml:space="preserve"> Many SIM-sponsored programs were focused explicitly on fostering linkages between health care and social services organizations. For instance, Vermont conducted learning collaboratives for providers that covered how to work with community health workers to address patients’ unmet needs.</w:t>
      </w:r>
      <w:r w:rsidRPr="0070186D">
        <w:rPr>
          <w:rFonts w:eastAsia="Calibri"/>
        </w:rPr>
        <w:fldChar w:fldCharType="begin"/>
      </w:r>
      <w:r w:rsidRPr="0070186D">
        <w:rPr>
          <w:rFonts w:eastAsia="Calibri"/>
        </w:rPr>
        <w:instrText xml:space="preserve"> ADDIN ZOTERO_ITEM CSL_CITATION {"citationID":"nAAchQc9","properties":{"formattedCitation":"\\super 7,8\\nosupersub{}","plainCitation":"7,8","noteIndex":0},"citationItems":[{"id":2816,"uris":["http://zotero.org/groups/2363329/items/BGWFGKDP"],"uri":["http://zotero.org/groups/2363329/items/BGWFGKDP"],"itemData":{"id":2816,"type":"article-journal","container-title":"The Milbank Quarterly","source":"Google Scholar","title":"Medicaid Accountable Care Organizations in Four States: Implementation and Early Impacts","title-short":"Medicaid Accountable Care Organizations in Four States","author":[{"family":"RUTLEDGE","given":"REGINA I."},{"family":"ROMAIRE","given":"MELISSA A."},{"family":"HERSEY","given":"CATHERINE L."},{"family":"PARISH","given":"WILLIAM J."},{"family":"KISSAM","given":"STEPHANIE M."},{"family":"LLOYD","given":"JENNIFER T."}],"issued":{"date-parts":[["2019"]]}}},{"id":2823,"uris":["http://zotero.org/groups/2363329/items/NI6IJCV7"],"uri":["http://zotero.org/groups/2363329/items/NI6IJCV7"],"itemData":{"id":2823,"type":"report","event-place":"Research Triangle Park, NC","number":"0212790.007","publisher-place":"Research Triangle Park, NC","title":"State Innovation Model (SIM) Initative Evaluation: Model Test Year Two Annual Report","author":[{"family":"RTI International","given":""}],"issued":{"date-parts":[["2016",8]]}}}],"schema":"https://github.com/citation-style-language/schema/raw/master/csl-citation.json"} </w:instrText>
      </w:r>
      <w:r w:rsidRPr="0070186D">
        <w:rPr>
          <w:rFonts w:eastAsia="Calibri"/>
        </w:rPr>
        <w:fldChar w:fldCharType="separate"/>
      </w:r>
      <w:r w:rsidRPr="0070186D">
        <w:rPr>
          <w:rFonts w:eastAsia="Times New Roman"/>
          <w:vertAlign w:val="superscript"/>
        </w:rPr>
        <w:t>7,8</w:t>
      </w:r>
      <w:r w:rsidRPr="0070186D">
        <w:rPr>
          <w:rFonts w:eastAsia="Calibri"/>
        </w:rPr>
        <w:fldChar w:fldCharType="end"/>
      </w:r>
      <w:r w:rsidRPr="0070186D">
        <w:rPr>
          <w:rFonts w:eastAsia="Calibri"/>
        </w:rPr>
        <w:t xml:space="preserve"> Third, coding for social risk factors in EHRs is difficult and can be confusing for clinicians.</w:t>
      </w:r>
      <w:r w:rsidRPr="0070186D">
        <w:rPr>
          <w:rFonts w:eastAsia="Calibri"/>
        </w:rPr>
        <w:fldChar w:fldCharType="begin"/>
      </w:r>
      <w:r w:rsidRPr="0070186D">
        <w:rPr>
          <w:rFonts w:eastAsia="Calibri"/>
        </w:rPr>
        <w:instrText xml:space="preserve"> ADDIN ZOTERO_ITEM CSL_CITATION {"citationID":"Fr9cz3ik","properties":{"formattedCitation":"\\super 9,10\\nosupersub{}","plainCitation":"9,10","noteIndex":0},"citationItems":[{"id":2704,"uris":["http://zotero.org/groups/2363329/items/EZBREESM"],"uri":["http://zotero.org/groups/2363329/items/EZBREESM"],"itemData":{"id":2704,"type":"article-journal","container-title":"Health Affairs Blog. https://www. healthaffairs. org/do/10.1377/hblog20190311","source":"Google Scholar","title":"Standardizing social determinants of health assessments","volume":"823116","author":[{"family":"Olson","given":"D. P."},{"family":"Oldfield","given":"B. J."},{"family":"Morales Navarro","given":"S."}],"issued":{"date-parts":[["2019"]]}}},{"id":2633,"uris":["http://zotero.org/groups/2363329/items/PWNX8PI6"],"uri":["http://zotero.org/groups/2363329/items/PWNX8PI6"],"itemData":{"id":2633,"type":"article-journal","abstract":"Background: Social determinants of health (SDH) are increasingly seen as important to understanding patient health and identifying appropriate interventions to improve health outcomes in what is a complex interplay between health system-, community-, and individual-level factors. Objective: The objective of the paper was to investigate the development of electronic health record (EHR) software products that allow health care providers to identify and address patients’ SDH in health care settings. Methods: We conducted interviews with six EHR vendors with large market shares in both ambulatory and inpatient settings. We conducted thematic analysis of the interviews to (1) identify their motivations to develop such software products, (2) describe their products and uses, and (3) identify facilitators and challenges to collection and use of SDH data—through their products or otherwise—either at the point of care or in population health interventions. Results: Our findings indicate that vendor systems and their functionalities are influenced by client demand and initiative, federal initiatives, and the vendors’ strategic vision about opportunities in the health care system. Among the small sample of vendors with large market shares, SDH is a new area for growth, and the vendors range in the number and sophistication of their SDH-related products. To enable better data analytics, population health management, and interoperability of SDH data, vendors recognized the need for more standardization of SDH performance measures across various federal and state programs, better mapping of SDH measures to multiple types of codes, and development of more codes for all SDH measures of interest. Conclusions: Vendors indicate they are actively developing products to facilitate the collection and use of SDH data for their clients and are seeking solutions to data standardization and interoperability challenges through internal product decisions and collaboration with policymakers. Due to a lack of policy standards around SDH data, product-specific decisions may end up being de facto policies given the market shares of particular vendors. However, commercial vendors appear ready to collaboratively discuss policy solutions such as standards or guidelines with each other, health care systems, and government agencies in order to further promote integration of SDH data into the standard of care for all health systems.  [JMIR Med Inform 2019;7(2):e13849]","container-title":"JMIR Medical Informatics","DOI":"10.2196/13849","issue":"2","language":"en","page":"e13849","source":"medinform.jmir.org","title":"Incorporating Social Determinants of Health in Electronic Health Records: Qualitative Study of Current Practices Among Top Vendors","title-short":"Incorporating Social Determinants of Health in Electronic Health Records","URL":"https://medinform.jmir.org/2019/2/e13849/","volume":"7","author":[{"family":"Freij","given":"Maysoun"},{"family":"Dullabh","given":"Prashila"},{"family":"Lewis","given":"Sarah"},{"family":"Smith","given":"Scott R."},{"family":"Hovey","given":"Lauren"},{"family":"Dhopeshwarkar","given":"Rina"}],"accessed":{"date-parts":[["2019",8,30]]},"issued":{"date-parts":[["2019"]]}}}],"schema":"https://github.com/citation-style-language/schema/raw/master/csl-citation.json"} </w:instrText>
      </w:r>
      <w:r w:rsidRPr="0070186D">
        <w:rPr>
          <w:rFonts w:eastAsia="Calibri"/>
        </w:rPr>
        <w:fldChar w:fldCharType="separate"/>
      </w:r>
      <w:r w:rsidRPr="0070186D">
        <w:rPr>
          <w:rFonts w:eastAsia="Times New Roman"/>
          <w:vertAlign w:val="superscript"/>
        </w:rPr>
        <w:t>9,10</w:t>
      </w:r>
      <w:r w:rsidRPr="0070186D">
        <w:rPr>
          <w:rFonts w:eastAsia="Calibri"/>
        </w:rPr>
        <w:fldChar w:fldCharType="end"/>
      </w:r>
      <w:r w:rsidRPr="0070186D">
        <w:rPr>
          <w:rFonts w:eastAsia="Calibri"/>
        </w:rPr>
        <w:t xml:space="preserve"> For example, several different codes can be used to diagnose housing insecurity. The majority of SIM states devoted over 20</w:t>
      </w:r>
      <w:r>
        <w:rPr>
          <w:rFonts w:eastAsia="Calibri"/>
        </w:rPr>
        <w:t>%</w:t>
      </w:r>
      <w:r w:rsidRPr="0070186D">
        <w:rPr>
          <w:rFonts w:eastAsia="Calibri"/>
        </w:rPr>
        <w:t xml:space="preserve"> of the funding to health information technology infrastructure and many states provided EHR technical assistance and trainings.</w:t>
      </w:r>
      <w:r w:rsidRPr="0070186D">
        <w:rPr>
          <w:rFonts w:eastAsia="Calibri"/>
        </w:rPr>
        <w:fldChar w:fldCharType="begin"/>
      </w:r>
      <w:r w:rsidRPr="0070186D">
        <w:rPr>
          <w:rFonts w:eastAsia="Calibri"/>
        </w:rPr>
        <w:instrText xml:space="preserve"> ADDIN ZOTERO_ITEM CSL_CITATION {"citationID":"N9smHJYQ","properties":{"formattedCitation":"\\super 11\\nosupersub{}","plainCitation":"11","noteIndex":0},"citationItems":[{"id":2349,"uris":["http://zotero.org/groups/2258133/items/6BRBEAVL"],"uri":["http://zotero.org/groups/2258133/items/6BRBEAVL"],"itemData":{"id":2349,"type":"article-journal","abstract":"Policy Points Six states received $250 million under the federal State Innovation Models (SIM) Initiative Round 1 to increase the proportion of care delivered under value-based payment (VBP) models aligned across multiple payers. Multipayer alignment around a common VBP model occurred within the context of state regulatory and purchasing policies and in states with few commercial payers, not through engaging many stakeholders to act voluntarily. States that made targeted infrastructure investments in performance data and electronic hospital event notifications, and offered grants and technical assistance to providers, produced delivery system changes to enhance care coordination even where VBP models were not multipayer.\nCONTEXT: In 2013, six states (Arkansas, Massachusetts, Maine, Minnesota, Oregon, and Vermont) received $250 million in Round 1 State Innovation Models (SIM) awards to test how regulatory, policy, purchasing, and other levers available to state governments could transform their health care system by implementing value-based payment (VBP) models that shift away from fee-for-service toward payment based on quality and cost.\nMETHODS: We gathered and analyzed qualitative data on states' implementation of their SIM Initiatives between 2014 and 2018, including interviews with state officials and other stakeholders; consumer and provider focus groups; and review of relevant state-produced documents.\nFINDINGS: State policymakers leveraged existing state law, new policy development, and federal SIM Initiative funds to implement new VBP models in Medicaid. States' investments promoted electronic health information going from hospitals to primary care providers and collaboration across care team members within practices to enhance care coordination. Multipayer alignment occurred where there were few commercial insurers in a state, or where a state law or state contracting compelled commercial insurer participation. Challenges to health system change included commercial payer reluctance to coordinate on VBP models, cost and policy barriers to establishing bidirectional data exchange among all providers, preexisting quality measurement requirements across payers that impede total alignment of measures, providers' perception of their limited ability to influence patients' behavior that puts them at financial risk, and consumer concerns with changes in care delivery.\nCONCLUSIONS: The SIM Initiative's test of the power of state governments to shape health care policy demonstrated that strong state regulatory and purchasing policy levers make a difference in multipayer alignment around VBP models. In contrast, targeted financial investments in health information technology, data analytics, technical assistance, and workforce development are more effective than policy alone in encouraging care delivery change beyond that which VBP model participation might manifest.","container-title":"The Milbank Quarterly","DOI":"10.1111/1468-0009.12380","ISSN":"1468-0009","journalAbbreviation":"Milbank Q","language":"eng","note":"PMID: 30957292","source":"PubMed","title":"States Encouraging Value-Based Payment: Lessons From CMS's State Innovation Models Initiative","title-short":"States Encouraging Value-Based Payment","author":[{"family":"Kissam","given":"Stephanie M."},{"family":"Beil","given":"Heather"},{"family":"Cousart","given":"Christina"},{"family":"Greenwald","given":"Leslie M."},{"family":"Lloyd","given":"Jennifer T."}],"issued":{"date-parts":[["2019",4,7]]}}}],"schema":"https://github.com/citation-style-language/schema/raw/master/csl-citation.json"} </w:instrText>
      </w:r>
      <w:r w:rsidRPr="0070186D">
        <w:rPr>
          <w:rFonts w:eastAsia="Calibri"/>
        </w:rPr>
        <w:fldChar w:fldCharType="separate"/>
      </w:r>
      <w:r w:rsidRPr="0070186D">
        <w:rPr>
          <w:rFonts w:eastAsia="Times New Roman"/>
          <w:vertAlign w:val="superscript"/>
        </w:rPr>
        <w:t>11</w:t>
      </w:r>
      <w:r w:rsidRPr="0070186D">
        <w:rPr>
          <w:rFonts w:eastAsia="Calibri"/>
        </w:rPr>
        <w:fldChar w:fldCharType="end"/>
      </w:r>
      <w:r w:rsidRPr="0070186D">
        <w:rPr>
          <w:rFonts w:eastAsia="Calibri"/>
        </w:rPr>
        <w:t xml:space="preserve"> In post-implementation evaluations, providers in SIM states noted increased use of EHRs and patients increasingly perceived their clinicians as having better use of EHRs and consequently better awareness of their medical histories.</w:t>
      </w:r>
      <w:r w:rsidRPr="0070186D">
        <w:rPr>
          <w:rFonts w:eastAsia="Calibri"/>
        </w:rPr>
        <w:fldChar w:fldCharType="begin"/>
      </w:r>
      <w:r w:rsidRPr="0070186D">
        <w:rPr>
          <w:rFonts w:eastAsia="Calibri"/>
        </w:rPr>
        <w:instrText xml:space="preserve"> ADDIN ZOTERO_ITEM CSL_CITATION {"citationID":"ZgoCPniS","properties":{"formattedCitation":"\\super 8\\nosupersub{}","plainCitation":"8","noteIndex":0},"citationItems":[{"id":2823,"uris":["http://zotero.org/groups/2363329/items/NI6IJCV7"],"uri":["http://zotero.org/groups/2363329/items/NI6IJCV7"],"itemData":{"id":2823,"type":"report","event-place":"Research Triangle Park, NC","number":"0212790.007","publisher-place":"Research Triangle Park, NC","title":"State Innovation Model (SIM) Initative Evaluation: Model Test Year Two Annual Report","author":[{"family":"RTI International","given":""}],"issued":{"date-parts":[["2016",8]]}}}],"schema":"https://github.com/citation-style-language/schema/raw/master/csl-citation.json"} </w:instrText>
      </w:r>
      <w:r w:rsidRPr="0070186D">
        <w:rPr>
          <w:rFonts w:eastAsia="Calibri"/>
        </w:rPr>
        <w:fldChar w:fldCharType="separate"/>
      </w:r>
      <w:r w:rsidRPr="0070186D">
        <w:rPr>
          <w:rFonts w:eastAsia="Times New Roman"/>
          <w:vertAlign w:val="superscript"/>
        </w:rPr>
        <w:t>8</w:t>
      </w:r>
      <w:r w:rsidRPr="0070186D">
        <w:rPr>
          <w:rFonts w:eastAsia="Calibri"/>
        </w:rPr>
        <w:fldChar w:fldCharType="end"/>
      </w:r>
    </w:p>
    <w:p w14:paraId="26EAC3BA" w14:textId="77777777" w:rsidR="003C1D14" w:rsidRPr="006807F7" w:rsidRDefault="003C1D14" w:rsidP="003C1D14">
      <w:pPr>
        <w:spacing w:line="480" w:lineRule="auto"/>
        <w:contextualSpacing/>
      </w:pPr>
    </w:p>
    <w:p w14:paraId="17638985" w14:textId="77777777" w:rsidR="003C1D14" w:rsidRPr="006807F7" w:rsidRDefault="003C1D14" w:rsidP="003C1D14">
      <w:pPr>
        <w:spacing w:line="480" w:lineRule="auto"/>
        <w:contextualSpacing/>
        <w:rPr>
          <w:rFonts w:ascii="Franklin Gothic Medium" w:hAnsi="Franklin Gothic Medium"/>
          <w:b/>
          <w:sz w:val="28"/>
        </w:rPr>
      </w:pPr>
      <w:r w:rsidRPr="006807F7">
        <w:rPr>
          <w:rFonts w:ascii="Franklin Gothic Medium" w:hAnsi="Franklin Gothic Medium"/>
          <w:b/>
          <w:sz w:val="28"/>
        </w:rPr>
        <w:t>SAMPLE CREATION</w:t>
      </w:r>
    </w:p>
    <w:p w14:paraId="609F69B6" w14:textId="77777777" w:rsidR="003C1D14" w:rsidRPr="0070186D" w:rsidRDefault="003C1D14" w:rsidP="003C1D14">
      <w:pPr>
        <w:spacing w:line="480" w:lineRule="auto"/>
        <w:contextualSpacing/>
      </w:pPr>
      <w:r w:rsidRPr="0070186D">
        <w:lastRenderedPageBreak/>
        <w:t>The analysis utilized data from four SIM Round One states (Arkansas, Massachusetts, Oregon, and Vermont) and four comparison states (Arizona, Georgia, New Jersey, and New Mexico). These states were selected based on SID data availability; not all states participate in HCUP SID in all years and remaining SIM Round One states (Maine and Minnesota) were systematically missing data on key covariates. The sample included all adults over age 18 with diagnosed diabetes discharged in these states between January 1, 2010 and September 30, 2015. After dropping encounters by individuals that resided outside the focal states (</w:t>
      </w:r>
      <w:r>
        <w:t>N</w:t>
      </w:r>
      <w:r w:rsidRPr="0070186D">
        <w:t>=258,842), were admitted via transfer from another hospital, a skilled nursing facility, or another healthcare facility (</w:t>
      </w:r>
      <w:r>
        <w:t>N</w:t>
      </w:r>
      <w:r w:rsidRPr="0070186D">
        <w:t>=445,050), or were missing data on any included covariates (</w:t>
      </w:r>
      <w:r>
        <w:t>N</w:t>
      </w:r>
      <w:r w:rsidRPr="0070186D">
        <w:t>=95,367), the analytic sample contained 5,040,456 hospitalizations.</w:t>
      </w:r>
    </w:p>
    <w:p w14:paraId="5EA7665F" w14:textId="77777777" w:rsidR="003C1D14" w:rsidRPr="006807F7" w:rsidRDefault="003C1D14" w:rsidP="003C1D14">
      <w:pPr>
        <w:spacing w:line="480" w:lineRule="auto"/>
        <w:contextualSpacing/>
      </w:pPr>
    </w:p>
    <w:p w14:paraId="570F42FF" w14:textId="77777777" w:rsidR="003C1D14" w:rsidRDefault="003C1D14" w:rsidP="003C1D14">
      <w:pPr>
        <w:spacing w:line="480" w:lineRule="auto"/>
        <w:contextualSpacing/>
      </w:pPr>
      <w:r w:rsidRPr="0070186D">
        <w:t>Diabetes diagnosis was determined using HCUP Clinical Classification Software (CCS) codes, which aggregate ICD-9 diagnosis codes into clinically meaningful groups. Encounter records were included if they contained any-listed CCS code of 49 (diabetes without complication) or 50 (diabetes with complication).</w:t>
      </w:r>
    </w:p>
    <w:p w14:paraId="7F8A0D78" w14:textId="77777777" w:rsidR="003C1D14" w:rsidRDefault="003C1D14" w:rsidP="003C1D14">
      <w:pPr>
        <w:spacing w:line="480" w:lineRule="auto"/>
        <w:contextualSpacing/>
      </w:pPr>
    </w:p>
    <w:p w14:paraId="6E33B6D1" w14:textId="77777777" w:rsidR="003C1D14" w:rsidRPr="0070186D" w:rsidRDefault="003C1D14" w:rsidP="003C1D14">
      <w:pPr>
        <w:spacing w:line="480" w:lineRule="auto"/>
        <w:contextualSpacing/>
        <w:rPr>
          <w:rFonts w:eastAsia="Calibri"/>
        </w:rPr>
      </w:pPr>
      <w:r w:rsidRPr="0070186D">
        <w:t xml:space="preserve">The list of V codes included in the analysis is presented in the manuscript in Table 1. It includes almost all codes under the category </w:t>
      </w:r>
      <w:r w:rsidRPr="0070186D">
        <w:rPr>
          <w:rFonts w:eastAsia="Calibri"/>
        </w:rPr>
        <w:t>“persons encountering health services in other circumstances,” excluding only a small number that did not correspond to social risk factors, such as multiparity (code V61.5) and suicidal ideation (code V62.84).</w:t>
      </w:r>
    </w:p>
    <w:p w14:paraId="50F96470" w14:textId="77777777" w:rsidR="003C1D14" w:rsidRPr="0070186D" w:rsidRDefault="003C1D14" w:rsidP="003C1D14">
      <w:pPr>
        <w:spacing w:line="480" w:lineRule="auto"/>
        <w:contextualSpacing/>
        <w:rPr>
          <w:rFonts w:eastAsia="Calibri"/>
        </w:rPr>
      </w:pPr>
    </w:p>
    <w:p w14:paraId="0A8F07EA" w14:textId="77777777" w:rsidR="003C1D14" w:rsidRPr="0070186D" w:rsidRDefault="003C1D14" w:rsidP="003C1D14">
      <w:pPr>
        <w:spacing w:line="480" w:lineRule="auto"/>
        <w:contextualSpacing/>
        <w:rPr>
          <w:rFonts w:eastAsia="Calibri"/>
        </w:rPr>
      </w:pPr>
      <w:r w:rsidRPr="0070186D">
        <w:rPr>
          <w:rFonts w:eastAsia="Calibri"/>
        </w:rPr>
        <w:t>The list of ICD-9 codes considered to determine if patient had a psychiatric diagnosis are displayed in Appendix Table 1.</w:t>
      </w:r>
    </w:p>
    <w:p w14:paraId="2C2F4CB6" w14:textId="77777777" w:rsidR="003C1D14" w:rsidRPr="006807F7" w:rsidRDefault="003C1D14" w:rsidP="003C1D14">
      <w:pPr>
        <w:spacing w:line="480" w:lineRule="auto"/>
        <w:contextualSpacing/>
      </w:pPr>
    </w:p>
    <w:p w14:paraId="2D9EBE81" w14:textId="77777777" w:rsidR="003C1D14" w:rsidRPr="006807F7" w:rsidRDefault="003C1D14" w:rsidP="003C1D14">
      <w:pPr>
        <w:spacing w:line="480" w:lineRule="auto"/>
        <w:contextualSpacing/>
        <w:rPr>
          <w:rFonts w:ascii="Franklin Gothic Medium" w:hAnsi="Franklin Gothic Medium"/>
          <w:b/>
          <w:sz w:val="28"/>
        </w:rPr>
      </w:pPr>
      <w:r w:rsidRPr="006807F7">
        <w:rPr>
          <w:rFonts w:ascii="Franklin Gothic Medium" w:hAnsi="Franklin Gothic Medium"/>
          <w:b/>
          <w:sz w:val="28"/>
        </w:rPr>
        <w:t>DIFFERENCE-IN-DIFFERENCE (DID) MODEL</w:t>
      </w:r>
    </w:p>
    <w:p w14:paraId="3DFF3347" w14:textId="77777777" w:rsidR="003C1D14" w:rsidRDefault="003C1D14" w:rsidP="003C1D14">
      <w:pPr>
        <w:spacing w:line="480" w:lineRule="auto"/>
        <w:contextualSpacing/>
      </w:pPr>
      <w:r w:rsidRPr="0070186D">
        <w:t>The difference-in-difference model was estimated using logistic regression and the following specification:</w:t>
      </w:r>
    </w:p>
    <w:p w14:paraId="025F1186" w14:textId="77777777" w:rsidR="003C1D14" w:rsidRPr="0070186D" w:rsidRDefault="003C1D14" w:rsidP="003C1D14">
      <w:pPr>
        <w:spacing w:line="480" w:lineRule="auto"/>
        <w:contextualSpacing/>
      </w:pPr>
    </w:p>
    <w:p w14:paraId="142FF648" w14:textId="77777777" w:rsidR="003C1D14" w:rsidRPr="0070186D" w:rsidRDefault="003C1D14" w:rsidP="003C1D14">
      <w:pPr>
        <w:spacing w:line="480" w:lineRule="auto"/>
        <w:contextualSpacing/>
        <w:outlineLvl w:val="0"/>
        <w:rPr>
          <w:rFonts w:eastAsiaTheme="minorEastAsia"/>
          <w:vertAlign w:val="subscript"/>
        </w:rPr>
      </w:pPr>
      <w:proofErr w:type="spellStart"/>
      <w:r w:rsidRPr="0070186D">
        <w:t>Y</w:t>
      </w:r>
      <w:r w:rsidRPr="0070186D">
        <w:rPr>
          <w:vertAlign w:val="subscript"/>
        </w:rPr>
        <w:t>it</w:t>
      </w:r>
      <w:proofErr w:type="spellEnd"/>
      <w:r w:rsidRPr="0070186D">
        <w:t>=β</w:t>
      </w:r>
      <w:r w:rsidRPr="0070186D">
        <w:rPr>
          <w:vertAlign w:val="subscript"/>
        </w:rPr>
        <w:t>0</w:t>
      </w:r>
      <w:r w:rsidRPr="0070186D">
        <w:t xml:space="preserve"> + β</w:t>
      </w:r>
      <w:r w:rsidRPr="0070186D">
        <w:rPr>
          <w:vertAlign w:val="subscript"/>
        </w:rPr>
        <w:t>1</w:t>
      </w:r>
      <w:r w:rsidRPr="0070186D">
        <w:t>Post</w:t>
      </w:r>
      <w:r w:rsidRPr="0070186D">
        <w:rPr>
          <w:vertAlign w:val="subscript"/>
        </w:rPr>
        <w:t>t</w:t>
      </w:r>
      <w:r w:rsidRPr="0070186D">
        <w:t xml:space="preserve"> + β</w:t>
      </w:r>
      <w:r w:rsidRPr="0070186D">
        <w:rPr>
          <w:vertAlign w:val="subscript"/>
        </w:rPr>
        <w:t>2</w:t>
      </w:r>
      <w:r w:rsidRPr="0070186D">
        <w:t>(</w:t>
      </w:r>
      <w:proofErr w:type="spellStart"/>
      <w:r w:rsidRPr="0070186D">
        <w:t>SIM</w:t>
      </w:r>
      <w:r w:rsidRPr="0070186D">
        <w:rPr>
          <w:vertAlign w:val="subscript"/>
        </w:rPr>
        <w:t>i</w:t>
      </w:r>
      <w:proofErr w:type="spellEnd"/>
      <w:r w:rsidRPr="0070186D">
        <w:t xml:space="preserve"> x </w:t>
      </w:r>
      <w:proofErr w:type="spellStart"/>
      <w:r w:rsidRPr="0070186D">
        <w:t>Post</w:t>
      </w:r>
      <w:r w:rsidRPr="0070186D">
        <w:rPr>
          <w:vertAlign w:val="subscript"/>
        </w:rPr>
        <w:t>t</w:t>
      </w:r>
      <w:proofErr w:type="spellEnd"/>
      <w:r w:rsidRPr="0070186D">
        <w:t>) + β</w:t>
      </w:r>
      <w:r w:rsidRPr="0070186D">
        <w:rPr>
          <w:vertAlign w:val="subscript"/>
        </w:rPr>
        <w:t>3</w:t>
      </w:r>
      <w:r w:rsidRPr="0070186D">
        <w:rPr>
          <w:rFonts w:eastAsiaTheme="minorEastAsia"/>
          <w:b/>
        </w:rPr>
        <w:t>X</w:t>
      </w:r>
      <w:r w:rsidRPr="0070186D">
        <w:rPr>
          <w:rFonts w:eastAsiaTheme="minorEastAsia"/>
          <w:vertAlign w:val="subscript"/>
        </w:rPr>
        <w:t>it</w:t>
      </w:r>
      <w:r w:rsidRPr="0070186D">
        <w:t xml:space="preserve"> + β</w:t>
      </w:r>
      <w:r w:rsidRPr="0070186D">
        <w:rPr>
          <w:vertAlign w:val="subscript"/>
        </w:rPr>
        <w:t>4</w:t>
      </w:r>
      <w:r w:rsidRPr="0070186D">
        <w:rPr>
          <w:rFonts w:eastAsiaTheme="minorEastAsia"/>
        </w:rPr>
        <w:t>Year</w:t>
      </w:r>
      <w:r w:rsidRPr="0070186D">
        <w:rPr>
          <w:rFonts w:eastAsiaTheme="minorEastAsia"/>
          <w:vertAlign w:val="subscript"/>
        </w:rPr>
        <w:t xml:space="preserve">t </w:t>
      </w:r>
      <w:r w:rsidRPr="0070186D">
        <w:rPr>
          <w:rFonts w:eastAsiaTheme="minorEastAsia"/>
        </w:rPr>
        <w:t>+</w:t>
      </w:r>
      <w:r w:rsidRPr="0070186D">
        <w:t xml:space="preserve"> β</w:t>
      </w:r>
      <w:r w:rsidRPr="0070186D">
        <w:rPr>
          <w:vertAlign w:val="subscript"/>
        </w:rPr>
        <w:t>5</w:t>
      </w:r>
      <w:r w:rsidRPr="0070186D">
        <w:rPr>
          <w:rFonts w:eastAsiaTheme="minorEastAsia"/>
        </w:rPr>
        <w:t>State</w:t>
      </w:r>
      <w:r w:rsidRPr="0070186D">
        <w:rPr>
          <w:rFonts w:eastAsiaTheme="minorEastAsia"/>
          <w:vertAlign w:val="subscript"/>
        </w:rPr>
        <w:t>i</w:t>
      </w:r>
      <w:r w:rsidRPr="0070186D">
        <w:rPr>
          <w:rFonts w:eastAsiaTheme="minorEastAsia"/>
        </w:rPr>
        <w:t xml:space="preserve"> + ϵ</w:t>
      </w:r>
      <w:r w:rsidRPr="0070186D">
        <w:rPr>
          <w:rFonts w:eastAsiaTheme="minorEastAsia"/>
          <w:vertAlign w:val="subscript"/>
        </w:rPr>
        <w:t>it</w:t>
      </w:r>
    </w:p>
    <w:p w14:paraId="0F07EF45" w14:textId="77777777" w:rsidR="003C1D14" w:rsidRDefault="003C1D14" w:rsidP="003C1D14">
      <w:pPr>
        <w:spacing w:line="480" w:lineRule="auto"/>
        <w:contextualSpacing/>
      </w:pPr>
    </w:p>
    <w:p w14:paraId="3E72DCA5" w14:textId="77777777" w:rsidR="003C1D14" w:rsidRPr="0070186D" w:rsidRDefault="003C1D14" w:rsidP="003C1D14">
      <w:pPr>
        <w:spacing w:line="480" w:lineRule="auto"/>
        <w:contextualSpacing/>
      </w:pPr>
      <w:r w:rsidRPr="0070186D">
        <w:t xml:space="preserve">in which Y denotes the existence of at least one V code on the encounter record (1) or lack of any V code (0) in encounter </w:t>
      </w:r>
      <w:proofErr w:type="spellStart"/>
      <w:r w:rsidRPr="0070186D">
        <w:t>i</w:t>
      </w:r>
      <w:proofErr w:type="spellEnd"/>
      <w:r w:rsidRPr="0070186D">
        <w:t xml:space="preserve"> at time t, </w:t>
      </w:r>
      <w:proofErr w:type="spellStart"/>
      <w:r w:rsidRPr="0070186D">
        <w:t>Post</w:t>
      </w:r>
      <w:r w:rsidRPr="0070186D">
        <w:rPr>
          <w:vertAlign w:val="subscript"/>
        </w:rPr>
        <w:t>t</w:t>
      </w:r>
      <w:proofErr w:type="spellEnd"/>
      <w:r w:rsidRPr="0070186D">
        <w:t xml:space="preserve"> denotes an indicator variable for the discharge occurring after SIM implementation in October 2013 (1) or before (0), and </w:t>
      </w:r>
      <w:proofErr w:type="spellStart"/>
      <w:r w:rsidRPr="0070186D">
        <w:t>SIM</w:t>
      </w:r>
      <w:r w:rsidRPr="0070186D">
        <w:rPr>
          <w:vertAlign w:val="subscript"/>
        </w:rPr>
        <w:t>i</w:t>
      </w:r>
      <w:proofErr w:type="spellEnd"/>
      <w:r w:rsidRPr="0070186D">
        <w:t xml:space="preserve"> x </w:t>
      </w:r>
      <w:proofErr w:type="spellStart"/>
      <w:r w:rsidRPr="0070186D">
        <w:t>Post</w:t>
      </w:r>
      <w:r w:rsidRPr="0070186D">
        <w:rPr>
          <w:vertAlign w:val="subscript"/>
        </w:rPr>
        <w:t>t</w:t>
      </w:r>
      <w:proofErr w:type="spellEnd"/>
      <w:r w:rsidRPr="0070186D">
        <w:t xml:space="preserve">, the parameter of interest, represents the interaction of an indicator of an individual residing in a SIM state (1) or a comparison state (0) with the </w:t>
      </w:r>
      <w:proofErr w:type="spellStart"/>
      <w:r w:rsidRPr="0070186D">
        <w:t>Post</w:t>
      </w:r>
      <w:r w:rsidRPr="0070186D">
        <w:rPr>
          <w:vertAlign w:val="subscript"/>
        </w:rPr>
        <w:t>t</w:t>
      </w:r>
      <w:proofErr w:type="spellEnd"/>
      <w:r w:rsidRPr="0070186D">
        <w:rPr>
          <w:vertAlign w:val="subscript"/>
        </w:rPr>
        <w:t xml:space="preserve"> </w:t>
      </w:r>
      <w:r w:rsidRPr="0070186D">
        <w:t xml:space="preserve">variable. </w:t>
      </w:r>
      <w:r w:rsidRPr="0070186D">
        <w:rPr>
          <w:b/>
        </w:rPr>
        <w:t xml:space="preserve">X </w:t>
      </w:r>
      <w:r w:rsidRPr="0070186D">
        <w:t xml:space="preserve">is a vector of individual level covariates including age, </w:t>
      </w:r>
      <w:r>
        <w:t>sex</w:t>
      </w:r>
      <w:r w:rsidRPr="0070186D">
        <w:t xml:space="preserve">, race/ethnicity, primary payer, psychiatric diagnosis, and admission through the emergency department. </w:t>
      </w:r>
      <w:proofErr w:type="spellStart"/>
      <w:r w:rsidRPr="0070186D">
        <w:t>Year</w:t>
      </w:r>
      <w:r w:rsidRPr="0070186D">
        <w:rPr>
          <w:vertAlign w:val="subscript"/>
        </w:rPr>
        <w:t>t</w:t>
      </w:r>
      <w:proofErr w:type="spellEnd"/>
      <w:r w:rsidRPr="0070186D">
        <w:t xml:space="preserve"> and </w:t>
      </w:r>
      <w:proofErr w:type="spellStart"/>
      <w:r w:rsidRPr="0070186D">
        <w:t>State</w:t>
      </w:r>
      <w:r w:rsidRPr="0070186D">
        <w:rPr>
          <w:vertAlign w:val="subscript"/>
        </w:rPr>
        <w:t>i</w:t>
      </w:r>
      <w:proofErr w:type="spellEnd"/>
      <w:r w:rsidRPr="0070186D">
        <w:t xml:space="preserve"> denote year and state fixed effects, which account for time trends and state-invariant confounders and result in the original </w:t>
      </w:r>
      <w:proofErr w:type="spellStart"/>
      <w:r w:rsidRPr="0070186D">
        <w:t>SIM</w:t>
      </w:r>
      <w:r w:rsidRPr="0070186D">
        <w:rPr>
          <w:vertAlign w:val="subscript"/>
        </w:rPr>
        <w:t>i</w:t>
      </w:r>
      <w:proofErr w:type="spellEnd"/>
      <w:r w:rsidRPr="0070186D">
        <w:t xml:space="preserve"> indicator of whether or not an individual resided in a SIM state being dropped from the model due to collinearity. S</w:t>
      </w:r>
      <w:r>
        <w:t>tandard errors</w:t>
      </w:r>
      <w:r w:rsidRPr="0070186D">
        <w:t xml:space="preserve"> were clustered at the hospital level due to observed clustering of encounters within hospitals.</w:t>
      </w:r>
    </w:p>
    <w:p w14:paraId="578770B8" w14:textId="77777777" w:rsidR="003C1D14" w:rsidRPr="006807F7" w:rsidRDefault="003C1D14" w:rsidP="003C1D14">
      <w:pPr>
        <w:spacing w:line="480" w:lineRule="auto"/>
        <w:contextualSpacing/>
      </w:pPr>
    </w:p>
    <w:p w14:paraId="01FC2754" w14:textId="77777777" w:rsidR="003C1D14" w:rsidRPr="006807F7" w:rsidRDefault="003C1D14" w:rsidP="003C1D14">
      <w:pPr>
        <w:spacing w:line="480" w:lineRule="auto"/>
        <w:contextualSpacing/>
        <w:rPr>
          <w:rFonts w:ascii="Franklin Gothic Medium" w:hAnsi="Franklin Gothic Medium"/>
          <w:b/>
          <w:sz w:val="28"/>
        </w:rPr>
      </w:pPr>
      <w:r w:rsidRPr="006807F7">
        <w:rPr>
          <w:rFonts w:ascii="Franklin Gothic Medium" w:hAnsi="Franklin Gothic Medium"/>
          <w:b/>
          <w:sz w:val="28"/>
        </w:rPr>
        <w:t>ALTERNATIVE SPECIFICATIONS</w:t>
      </w:r>
    </w:p>
    <w:p w14:paraId="417D64E2" w14:textId="77777777" w:rsidR="003C1D14" w:rsidRPr="006807F7" w:rsidRDefault="003C1D14" w:rsidP="003C1D14">
      <w:pPr>
        <w:spacing w:line="480" w:lineRule="auto"/>
        <w:contextualSpacing/>
        <w:rPr>
          <w:rFonts w:ascii="Franklin Gothic Medium" w:hAnsi="Franklin Gothic Medium"/>
          <w:b/>
          <w:sz w:val="22"/>
        </w:rPr>
      </w:pPr>
      <w:r w:rsidRPr="006807F7">
        <w:rPr>
          <w:rFonts w:ascii="Franklin Gothic Medium" w:hAnsi="Franklin Gothic Medium"/>
          <w:b/>
          <w:sz w:val="22"/>
        </w:rPr>
        <w:t>Statistical Analyses</w:t>
      </w:r>
    </w:p>
    <w:p w14:paraId="029401C2" w14:textId="77777777" w:rsidR="003C1D14" w:rsidRPr="0070186D" w:rsidRDefault="003C1D14" w:rsidP="003C1D14">
      <w:pPr>
        <w:spacing w:line="480" w:lineRule="auto"/>
        <w:contextualSpacing/>
        <w:rPr>
          <w:b/>
        </w:rPr>
      </w:pPr>
      <w:r w:rsidRPr="0070186D">
        <w:t xml:space="preserve">First, encounter-level propensity score weights were included in the event that hospitalizations in SIM states differed markedly from hospitalizations in comparison states in relevant covariates. </w:t>
      </w:r>
      <w:r w:rsidRPr="0070186D">
        <w:lastRenderedPageBreak/>
        <w:t>Propensity scores were generated and incorporated by way of a multi-group weighting strategy, which uses multinomial logistic regression to estimate each observation’s probability of being in the treated group in the pre-treatment period.</w:t>
      </w:r>
      <w:r w:rsidRPr="0070186D">
        <w:fldChar w:fldCharType="begin"/>
      </w:r>
      <w:r w:rsidRPr="0070186D">
        <w:instrText xml:space="preserve"> ADDIN ZOTERO_ITEM CSL_CITATION {"citationID":"XEC51g5U","properties":{"formattedCitation":"\\super 12\\nosupersub{}","plainCitation":"12","noteIndex":0},"citationItems":[{"id":2264,"uris":["http://zotero.org/users/4465759/items/K7U3XARD"],"uri":["http://zotero.org/users/4465759/items/K7U3XARD"],"itemData":{"id":2264,"type":"article-journal","container-title":"Health Services and Outcomes Research Methodology","issue":"4","page":"166–182","source":"Google Scholar","title":"Using propensity scores in difference-in-differences models to estimate the effects of a policy change","volume":"14","author":[{"family":"Stuart","given":"Elizabeth A."},{"family":"Huskamp","given":"Haiden A."},{"family":"Duckworth","given":"Kenneth"},{"family":"Simmons","given":"Jeffrey"},{"family":"Song","given":"Zirui"},{"family":"Chernew","given":"Michael E."},{"family":"Barry","given":"Colleen L."}],"issued":{"date-parts":[["2014"]]}}}],"schema":"https://github.com/citation-style-language/schema/raw/master/csl-citation.json"} </w:instrText>
      </w:r>
      <w:r w:rsidRPr="0070186D">
        <w:fldChar w:fldCharType="separate"/>
      </w:r>
      <w:r w:rsidRPr="0070186D">
        <w:rPr>
          <w:rFonts w:eastAsia="Times New Roman"/>
          <w:vertAlign w:val="superscript"/>
        </w:rPr>
        <w:t>12</w:t>
      </w:r>
      <w:r w:rsidRPr="0070186D">
        <w:fldChar w:fldCharType="end"/>
      </w:r>
      <w:r w:rsidRPr="0070186D">
        <w:t xml:space="preserve"> Each observation’s weight is then calculated to be proportional to its probability of being in the treated group prior to treatment relative to its probability of being in the treatment and time group it is truly in (i.e.</w:t>
      </w:r>
      <w:r>
        <w:t>,</w:t>
      </w:r>
      <w:r w:rsidRPr="0070186D">
        <w:t xml:space="preserve"> treated group post-treatment, untreated group pre-treatment, or untreated group post-treatment). This strategy is ideal for DID analyses with repeated cross-sections because it accounts for differential changes in group composition over time. Propensity scores were generated using the same individual-level covariates controlled for in the logistic regression model.</w:t>
      </w:r>
    </w:p>
    <w:p w14:paraId="031416D1" w14:textId="77777777" w:rsidR="003C1D14" w:rsidRPr="0070186D" w:rsidRDefault="003C1D14" w:rsidP="003C1D14">
      <w:pPr>
        <w:spacing w:line="480" w:lineRule="auto"/>
        <w:contextualSpacing/>
      </w:pPr>
    </w:p>
    <w:p w14:paraId="34BC1144" w14:textId="77777777" w:rsidR="003C1D14" w:rsidRPr="0070186D" w:rsidRDefault="003C1D14" w:rsidP="003C1D14">
      <w:pPr>
        <w:spacing w:line="480" w:lineRule="auto"/>
        <w:contextualSpacing/>
        <w:rPr>
          <w:rFonts w:eastAsia="Times New Roman"/>
        </w:rPr>
      </w:pPr>
      <w:r w:rsidRPr="0070186D">
        <w:t xml:space="preserve">Second, a test of the difference in pre-SIM implementation trends in V code use revealed a statistically significant, albeit small, difference, with comparison states increasing code use relatively faster than SIM states during the pre-SIM period. To ensure this difference did not bias the DID results, a continuous interrupted time series (CITS) model was specified. CITS models </w:t>
      </w:r>
      <w:r w:rsidRPr="0070186D">
        <w:rPr>
          <w:rFonts w:eastAsia="Times New Roman"/>
        </w:rPr>
        <w:t>assess whether a treated group deviates from its pre-period trend in the follow-up period by a greater or lesser amount than the comparison group deviates from its pre-period trend, thereby allowing for non-parallel pre-period trends.</w:t>
      </w:r>
      <w:r w:rsidRPr="0070186D">
        <w:rPr>
          <w:rFonts w:eastAsia="Times New Roman"/>
        </w:rPr>
        <w:fldChar w:fldCharType="begin"/>
      </w:r>
      <w:r w:rsidRPr="0070186D">
        <w:rPr>
          <w:rFonts w:eastAsia="Times New Roman"/>
        </w:rPr>
        <w:instrText xml:space="preserve"> ADDIN ZOTERO_ITEM CSL_CITATION {"citationID":"HENV2V9d","properties":{"formattedCitation":"\\super 13,14\\nosupersub{}","plainCitation":"13,14","noteIndex":0},"citationItems":[{"id":2438,"uris":["http://zotero.org/users/4465759/items/2CGKFUTC"],"uri":["http://zotero.org/users/4465759/items/2CGKFUTC"],"itemData":{"id":2438,"type":"article-journal","container-title":"MDRC","source":"Google Scholar","title":"The Validity and Precision of the Comparative Interrupted Time Series Design and the Difference-in-Difference Design in Educational Evaluation.","author":[{"family":"Somers","given":"Marie-Andrée"},{"family":"Zhu","given":"Pei"},{"family":"Jacob","given":"Robin"},{"family":"Bloom","given":"Howard"}],"issued":{"date-parts":[["2013"]]}}},{"id":2397,"uris":["http://zotero.org/users/4465759/items/3QKLSHCS"],"uri":["http://zotero.org/users/4465759/items/3QKLSHCS"],"itemData":{"id":2397,"type":"article-journal","container-title":"Journal of evaluation in clinical practice","issue":"6","page":"1231–1238","source":"Google Scholar","title":"Applying a propensity score-based weighting model to interrupted time series data: improving causal inference in programme evaluation","title-short":"Applying a propensity score-based weighting model to interrupted time series data","volume":"17","author":[{"family":"Linden","given":"Ariel"},{"family":"Adams","given":"John L."}],"issued":{"date-parts":[["2011"]]}}}],"schema":"https://github.com/citation-style-language/schema/raw/master/csl-citation.json"} </w:instrText>
      </w:r>
      <w:r w:rsidRPr="0070186D">
        <w:rPr>
          <w:rFonts w:eastAsia="Times New Roman"/>
        </w:rPr>
        <w:fldChar w:fldCharType="separate"/>
      </w:r>
      <w:r w:rsidRPr="0070186D">
        <w:rPr>
          <w:rFonts w:eastAsia="Times New Roman"/>
          <w:vertAlign w:val="superscript"/>
        </w:rPr>
        <w:t>13,14</w:t>
      </w:r>
      <w:r w:rsidRPr="0070186D">
        <w:rPr>
          <w:rFonts w:eastAsia="Times New Roman"/>
        </w:rPr>
        <w:fldChar w:fldCharType="end"/>
      </w:r>
    </w:p>
    <w:p w14:paraId="2DEF372A" w14:textId="77777777" w:rsidR="003C1D14" w:rsidRPr="006807F7" w:rsidRDefault="003C1D14" w:rsidP="003C1D14">
      <w:pPr>
        <w:spacing w:line="480" w:lineRule="auto"/>
        <w:contextualSpacing/>
      </w:pPr>
    </w:p>
    <w:p w14:paraId="4D2413CF" w14:textId="77777777" w:rsidR="003C1D14" w:rsidRPr="0070186D" w:rsidRDefault="003C1D14" w:rsidP="003C1D14">
      <w:pPr>
        <w:spacing w:line="480" w:lineRule="auto"/>
        <w:contextualSpacing/>
      </w:pPr>
      <w:r w:rsidRPr="0070186D">
        <w:t>The continuous interrupted time series model was estimated using logistic regression and the following specification</w:t>
      </w:r>
      <w:r w:rsidRPr="0070186D">
        <w:rPr>
          <w:b/>
        </w:rPr>
        <w:fldChar w:fldCharType="begin"/>
      </w:r>
      <w:r w:rsidRPr="0070186D">
        <w:rPr>
          <w:b/>
        </w:rPr>
        <w:instrText xml:space="preserve"> ADDIN ZOTERO_ITEM CSL_CITATION {"citationID":"Ldsm1eP5","properties":{"formattedCitation":"\\super 14,15\\nosupersub{}","plainCitation":"14,15","noteIndex":0},"citationItems":[{"id":2397,"uris":["http://zotero.org/users/4465759/items/3QKLSHCS"],"uri":["http://zotero.org/users/4465759/items/3QKLSHCS"],"itemData":{"id":2397,"type":"article-journal","container-title":"Journal of evaluation in clinical practice","issue":"6","page":"1231–1238","source":"Google Scholar","title":"Applying a propensity score-based weighting model to interrupted time series data: improving causal inference in programme evaluation","title-short":"Applying a propensity score-based weighting model to interrupted time series data","volume":"17","author":[{"family":"Linden","given":"Ariel"},{"family":"Adams","given":"John L."}],"issued":{"date-parts":[["2011"]]}}},{"id":3080,"uris":["http://zotero.org/users/4465759/items/E9GZT8MG"],"uri":["http://zotero.org/users/4465759/items/E9GZT8MG"],"itemData":{"id":3080,"type":"article-journal","container-title":"The Stata Journal","issue":"2","page":"480–500","source":"Google Scholar","title":"Conducting interrupted time-series analysis for single-and multiple-group comparisons","volume":"15","author":[{"family":"Linden","given":"Ariel"}],"issued":{"date-parts":[["2015"]]}}}],"schema":"https://github.com/citation-style-language/schema/raw/master/csl-citation.json"} </w:instrText>
      </w:r>
      <w:r w:rsidRPr="0070186D">
        <w:rPr>
          <w:b/>
        </w:rPr>
        <w:fldChar w:fldCharType="separate"/>
      </w:r>
      <w:r w:rsidRPr="0070186D">
        <w:rPr>
          <w:rFonts w:eastAsia="Times New Roman"/>
          <w:vertAlign w:val="superscript"/>
        </w:rPr>
        <w:t>14,15</w:t>
      </w:r>
      <w:r w:rsidRPr="0070186D">
        <w:rPr>
          <w:b/>
        </w:rPr>
        <w:fldChar w:fldCharType="end"/>
      </w:r>
      <w:r w:rsidRPr="0070186D">
        <w:t>:</w:t>
      </w:r>
    </w:p>
    <w:p w14:paraId="7C18C5F6" w14:textId="77777777" w:rsidR="003C1D14" w:rsidRPr="0070186D" w:rsidRDefault="003C1D14" w:rsidP="003C1D14">
      <w:pPr>
        <w:spacing w:line="480" w:lineRule="auto"/>
        <w:contextualSpacing/>
      </w:pPr>
    </w:p>
    <w:p w14:paraId="5D6F5F6F" w14:textId="77777777" w:rsidR="003C1D14" w:rsidRPr="0070186D" w:rsidRDefault="003C1D14" w:rsidP="003C1D14">
      <w:pPr>
        <w:spacing w:line="480" w:lineRule="auto"/>
        <w:contextualSpacing/>
      </w:pPr>
      <w:proofErr w:type="spellStart"/>
      <w:r w:rsidRPr="0070186D">
        <w:t>Y</w:t>
      </w:r>
      <w:r w:rsidRPr="0070186D">
        <w:rPr>
          <w:vertAlign w:val="subscript"/>
        </w:rPr>
        <w:t>it</w:t>
      </w:r>
      <w:proofErr w:type="spellEnd"/>
      <w:r w:rsidRPr="0070186D">
        <w:t>=β</w:t>
      </w:r>
      <w:r w:rsidRPr="0070186D">
        <w:rPr>
          <w:vertAlign w:val="subscript"/>
        </w:rPr>
        <w:t>0</w:t>
      </w:r>
      <w:r w:rsidRPr="0070186D">
        <w:t xml:space="preserve"> + β</w:t>
      </w:r>
      <w:r w:rsidRPr="0070186D">
        <w:rPr>
          <w:vertAlign w:val="subscript"/>
        </w:rPr>
        <w:t>1</w:t>
      </w:r>
      <w:r w:rsidRPr="0070186D">
        <w:t>Post</w:t>
      </w:r>
      <w:r w:rsidRPr="0070186D">
        <w:rPr>
          <w:vertAlign w:val="subscript"/>
        </w:rPr>
        <w:t>t</w:t>
      </w:r>
      <w:r w:rsidRPr="0070186D">
        <w:t xml:space="preserve"> + β</w:t>
      </w:r>
      <w:r w:rsidRPr="0070186D">
        <w:rPr>
          <w:vertAlign w:val="subscript"/>
        </w:rPr>
        <w:t>2</w:t>
      </w:r>
      <w:r w:rsidRPr="0070186D">
        <w:t>(</w:t>
      </w:r>
      <w:proofErr w:type="spellStart"/>
      <w:r w:rsidRPr="0070186D">
        <w:t>SIM</w:t>
      </w:r>
      <w:r w:rsidRPr="0070186D">
        <w:rPr>
          <w:vertAlign w:val="subscript"/>
        </w:rPr>
        <w:t>i</w:t>
      </w:r>
      <w:proofErr w:type="spellEnd"/>
      <w:r w:rsidRPr="0070186D">
        <w:t xml:space="preserve"> x </w:t>
      </w:r>
      <w:proofErr w:type="spellStart"/>
      <w:r w:rsidRPr="0070186D">
        <w:t>Post</w:t>
      </w:r>
      <w:r w:rsidRPr="0070186D">
        <w:rPr>
          <w:vertAlign w:val="subscript"/>
        </w:rPr>
        <w:t>t</w:t>
      </w:r>
      <w:proofErr w:type="spellEnd"/>
      <w:r w:rsidRPr="0070186D">
        <w:t>) + β</w:t>
      </w:r>
      <w:r w:rsidRPr="0070186D">
        <w:rPr>
          <w:vertAlign w:val="subscript"/>
        </w:rPr>
        <w:t>3</w:t>
      </w:r>
      <w:r w:rsidRPr="0070186D">
        <w:t>Time</w:t>
      </w:r>
      <w:r w:rsidRPr="0070186D">
        <w:rPr>
          <w:vertAlign w:val="subscript"/>
        </w:rPr>
        <w:t xml:space="preserve">t </w:t>
      </w:r>
      <w:r w:rsidRPr="0070186D">
        <w:t>+ β</w:t>
      </w:r>
      <w:r w:rsidRPr="0070186D">
        <w:rPr>
          <w:vertAlign w:val="subscript"/>
        </w:rPr>
        <w:t>4</w:t>
      </w:r>
      <w:r w:rsidRPr="0070186D">
        <w:t>(</w:t>
      </w:r>
      <w:proofErr w:type="spellStart"/>
      <w:r w:rsidRPr="0070186D">
        <w:t>SIM</w:t>
      </w:r>
      <w:r w:rsidRPr="0070186D">
        <w:rPr>
          <w:vertAlign w:val="subscript"/>
        </w:rPr>
        <w:t>i</w:t>
      </w:r>
      <w:proofErr w:type="spellEnd"/>
      <w:r w:rsidRPr="0070186D">
        <w:t xml:space="preserve"> x </w:t>
      </w:r>
      <w:proofErr w:type="spellStart"/>
      <w:proofErr w:type="gramStart"/>
      <w:r w:rsidRPr="0070186D">
        <w:t>Time</w:t>
      </w:r>
      <w:r w:rsidRPr="0070186D">
        <w:rPr>
          <w:vertAlign w:val="subscript"/>
        </w:rPr>
        <w:t>t</w:t>
      </w:r>
      <w:proofErr w:type="spellEnd"/>
      <w:r w:rsidRPr="0070186D">
        <w:t>)+</w:t>
      </w:r>
      <w:proofErr w:type="gramEnd"/>
      <w:r w:rsidRPr="0070186D">
        <w:t xml:space="preserve"> β</w:t>
      </w:r>
      <w:r w:rsidRPr="0070186D">
        <w:rPr>
          <w:vertAlign w:val="subscript"/>
        </w:rPr>
        <w:t>5</w:t>
      </w:r>
      <w:r w:rsidRPr="0070186D">
        <w:t>(</w:t>
      </w:r>
      <w:proofErr w:type="spellStart"/>
      <w:r w:rsidRPr="0070186D">
        <w:t>Post</w:t>
      </w:r>
      <w:r w:rsidRPr="0070186D">
        <w:rPr>
          <w:vertAlign w:val="subscript"/>
        </w:rPr>
        <w:t>t</w:t>
      </w:r>
      <w:proofErr w:type="spellEnd"/>
      <w:r w:rsidRPr="0070186D">
        <w:t xml:space="preserve"> x </w:t>
      </w:r>
      <w:proofErr w:type="spellStart"/>
      <w:r w:rsidRPr="0070186D">
        <w:t>Time</w:t>
      </w:r>
      <w:r w:rsidRPr="0070186D">
        <w:rPr>
          <w:vertAlign w:val="subscript"/>
        </w:rPr>
        <w:t>t</w:t>
      </w:r>
      <w:proofErr w:type="spellEnd"/>
      <w:r w:rsidRPr="0070186D">
        <w:t>) + β</w:t>
      </w:r>
      <w:r w:rsidRPr="0070186D">
        <w:rPr>
          <w:vertAlign w:val="subscript"/>
        </w:rPr>
        <w:t>6</w:t>
      </w:r>
      <w:r w:rsidRPr="0070186D">
        <w:t>(</w:t>
      </w:r>
      <w:proofErr w:type="spellStart"/>
      <w:r w:rsidRPr="0070186D">
        <w:t>SIM</w:t>
      </w:r>
      <w:r w:rsidRPr="0070186D">
        <w:rPr>
          <w:vertAlign w:val="subscript"/>
        </w:rPr>
        <w:t>i</w:t>
      </w:r>
      <w:proofErr w:type="spellEnd"/>
      <w:r w:rsidRPr="0070186D">
        <w:t xml:space="preserve"> x </w:t>
      </w:r>
      <w:proofErr w:type="spellStart"/>
      <w:r w:rsidRPr="0070186D">
        <w:t>Post</w:t>
      </w:r>
      <w:r w:rsidRPr="0070186D">
        <w:rPr>
          <w:vertAlign w:val="subscript"/>
        </w:rPr>
        <w:t>t</w:t>
      </w:r>
      <w:proofErr w:type="spellEnd"/>
      <w:r w:rsidRPr="0070186D">
        <w:t xml:space="preserve"> x </w:t>
      </w:r>
      <w:proofErr w:type="spellStart"/>
      <w:r w:rsidRPr="0070186D">
        <w:t>Time</w:t>
      </w:r>
      <w:r w:rsidRPr="0070186D">
        <w:rPr>
          <w:vertAlign w:val="subscript"/>
        </w:rPr>
        <w:t>t</w:t>
      </w:r>
      <w:proofErr w:type="spellEnd"/>
      <w:r w:rsidRPr="0070186D">
        <w:t>) + β</w:t>
      </w:r>
      <w:r w:rsidRPr="0070186D">
        <w:rPr>
          <w:vertAlign w:val="subscript"/>
        </w:rPr>
        <w:t>7</w:t>
      </w:r>
      <w:r w:rsidRPr="0070186D">
        <w:rPr>
          <w:b/>
          <w:bCs/>
        </w:rPr>
        <w:t>X</w:t>
      </w:r>
      <w:r w:rsidRPr="0070186D">
        <w:rPr>
          <w:vertAlign w:val="subscript"/>
        </w:rPr>
        <w:t>it</w:t>
      </w:r>
      <w:r w:rsidRPr="0070186D">
        <w:t xml:space="preserve"> + β</w:t>
      </w:r>
      <w:r w:rsidRPr="0070186D">
        <w:rPr>
          <w:vertAlign w:val="subscript"/>
        </w:rPr>
        <w:t>8</w:t>
      </w:r>
      <w:r w:rsidRPr="0070186D">
        <w:t>State</w:t>
      </w:r>
      <w:r w:rsidRPr="0070186D">
        <w:rPr>
          <w:vertAlign w:val="subscript"/>
        </w:rPr>
        <w:t>i</w:t>
      </w:r>
      <w:r w:rsidRPr="0070186D">
        <w:t xml:space="preserve"> + ϵ</w:t>
      </w:r>
      <w:r w:rsidRPr="0070186D">
        <w:rPr>
          <w:vertAlign w:val="subscript"/>
        </w:rPr>
        <w:t>it</w:t>
      </w:r>
    </w:p>
    <w:p w14:paraId="14AD02EA" w14:textId="77777777" w:rsidR="003C1D14" w:rsidRPr="006807F7" w:rsidRDefault="003C1D14" w:rsidP="003C1D14">
      <w:pPr>
        <w:spacing w:line="480" w:lineRule="auto"/>
        <w:contextualSpacing/>
      </w:pPr>
    </w:p>
    <w:p w14:paraId="4C557977" w14:textId="77777777" w:rsidR="003C1D14" w:rsidRPr="0070186D" w:rsidRDefault="003C1D14" w:rsidP="003C1D14">
      <w:pPr>
        <w:spacing w:line="480" w:lineRule="auto"/>
        <w:contextualSpacing/>
      </w:pPr>
      <w:r w:rsidRPr="0070186D">
        <w:t xml:space="preserve">In which </w:t>
      </w:r>
      <w:proofErr w:type="spellStart"/>
      <w:r w:rsidRPr="0070186D">
        <w:t>Y</w:t>
      </w:r>
      <w:r w:rsidRPr="0070186D">
        <w:rPr>
          <w:vertAlign w:val="subscript"/>
        </w:rPr>
        <w:t>it</w:t>
      </w:r>
      <w:proofErr w:type="spellEnd"/>
      <w:r w:rsidRPr="0070186D">
        <w:t xml:space="preserve">, </w:t>
      </w:r>
      <w:proofErr w:type="spellStart"/>
      <w:r w:rsidRPr="0070186D">
        <w:t>SIM</w:t>
      </w:r>
      <w:r w:rsidRPr="0070186D">
        <w:rPr>
          <w:vertAlign w:val="subscript"/>
        </w:rPr>
        <w:t>i</w:t>
      </w:r>
      <w:proofErr w:type="spellEnd"/>
      <w:r w:rsidRPr="0070186D">
        <w:t xml:space="preserve">, and </w:t>
      </w:r>
      <w:proofErr w:type="spellStart"/>
      <w:r w:rsidRPr="0070186D">
        <w:t>Post</w:t>
      </w:r>
      <w:r w:rsidRPr="0070186D">
        <w:rPr>
          <w:vertAlign w:val="subscript"/>
        </w:rPr>
        <w:t>t</w:t>
      </w:r>
      <w:proofErr w:type="spellEnd"/>
      <w:r w:rsidRPr="0070186D">
        <w:t xml:space="preserve">, take on the same representations as in the DID model. </w:t>
      </w:r>
      <w:proofErr w:type="spellStart"/>
      <w:r w:rsidRPr="0070186D">
        <w:t>SIM</w:t>
      </w:r>
      <w:r w:rsidRPr="0070186D">
        <w:rPr>
          <w:vertAlign w:val="subscript"/>
        </w:rPr>
        <w:t>i</w:t>
      </w:r>
      <w:proofErr w:type="spellEnd"/>
      <w:r w:rsidRPr="0070186D">
        <w:t xml:space="preserve"> x </w:t>
      </w:r>
      <w:proofErr w:type="spellStart"/>
      <w:r w:rsidRPr="0070186D">
        <w:t>Post</w:t>
      </w:r>
      <w:r w:rsidRPr="0070186D">
        <w:rPr>
          <w:vertAlign w:val="subscript"/>
        </w:rPr>
        <w:t>t</w:t>
      </w:r>
      <w:proofErr w:type="spellEnd"/>
      <w:r w:rsidRPr="0070186D">
        <w:t xml:space="preserve">, represents the difference in the outcome between SIM states and comparison states immediately following SIM implementation. </w:t>
      </w:r>
      <w:proofErr w:type="spellStart"/>
      <w:r w:rsidRPr="0070186D">
        <w:t>Time</w:t>
      </w:r>
      <w:r w:rsidRPr="0070186D">
        <w:rPr>
          <w:vertAlign w:val="subscript"/>
        </w:rPr>
        <w:t>t</w:t>
      </w:r>
      <w:proofErr w:type="spellEnd"/>
      <w:r w:rsidRPr="0070186D">
        <w:rPr>
          <w:vertAlign w:val="subscript"/>
        </w:rPr>
        <w:t xml:space="preserve"> </w:t>
      </w:r>
      <w:r w:rsidRPr="0070186D">
        <w:t xml:space="preserve">denotes a continuous quarter-year time trend for the study period, beginning with Quarter 1 of 2010 and ending with Quarter 3 of 2015. </w:t>
      </w:r>
      <w:proofErr w:type="spellStart"/>
      <w:r w:rsidRPr="0070186D">
        <w:t>SIM</w:t>
      </w:r>
      <w:r w:rsidRPr="0070186D">
        <w:rPr>
          <w:vertAlign w:val="subscript"/>
        </w:rPr>
        <w:t>i</w:t>
      </w:r>
      <w:proofErr w:type="spellEnd"/>
      <w:r w:rsidRPr="0070186D">
        <w:t xml:space="preserve"> x </w:t>
      </w:r>
      <w:proofErr w:type="spellStart"/>
      <w:r w:rsidRPr="0070186D">
        <w:t>Time</w:t>
      </w:r>
      <w:r w:rsidRPr="0070186D">
        <w:rPr>
          <w:vertAlign w:val="subscript"/>
        </w:rPr>
        <w:t>t</w:t>
      </w:r>
      <w:proofErr w:type="spellEnd"/>
      <w:r w:rsidRPr="0070186D">
        <w:rPr>
          <w:vertAlign w:val="subscript"/>
        </w:rPr>
        <w:t xml:space="preserve"> </w:t>
      </w:r>
      <w:r w:rsidRPr="0070186D">
        <w:t xml:space="preserve">is an interaction of the SIM residence indicator with this time trend, which represents the difference in slope between SIM and comparison states prior to SIM implementation. The </w:t>
      </w:r>
      <w:proofErr w:type="spellStart"/>
      <w:r w:rsidRPr="0070186D">
        <w:t>Post</w:t>
      </w:r>
      <w:r w:rsidRPr="0070186D">
        <w:rPr>
          <w:vertAlign w:val="subscript"/>
        </w:rPr>
        <w:t>t</w:t>
      </w:r>
      <w:proofErr w:type="spellEnd"/>
      <w:r w:rsidRPr="0070186D">
        <w:t xml:space="preserve"> x </w:t>
      </w:r>
      <w:proofErr w:type="spellStart"/>
      <w:r w:rsidRPr="0070186D">
        <w:t>Time</w:t>
      </w:r>
      <w:r w:rsidRPr="0070186D">
        <w:rPr>
          <w:vertAlign w:val="subscript"/>
        </w:rPr>
        <w:t>t</w:t>
      </w:r>
      <w:proofErr w:type="spellEnd"/>
      <w:r w:rsidRPr="0070186D">
        <w:t xml:space="preserve"> interaction represents the change in the slope in comparison states following SIM implementation. The triple interaction of </w:t>
      </w:r>
      <w:proofErr w:type="spellStart"/>
      <w:r w:rsidRPr="0070186D">
        <w:t>SIM</w:t>
      </w:r>
      <w:r w:rsidRPr="0070186D">
        <w:rPr>
          <w:vertAlign w:val="subscript"/>
        </w:rPr>
        <w:t>i</w:t>
      </w:r>
      <w:proofErr w:type="spellEnd"/>
      <w:r w:rsidRPr="0070186D">
        <w:t xml:space="preserve"> x </w:t>
      </w:r>
      <w:proofErr w:type="spellStart"/>
      <w:r w:rsidRPr="0070186D">
        <w:t>Post</w:t>
      </w:r>
      <w:r w:rsidRPr="0070186D">
        <w:rPr>
          <w:vertAlign w:val="subscript"/>
        </w:rPr>
        <w:t>t</w:t>
      </w:r>
      <w:proofErr w:type="spellEnd"/>
      <w:r w:rsidRPr="0070186D">
        <w:t xml:space="preserve"> x </w:t>
      </w:r>
      <w:proofErr w:type="spellStart"/>
      <w:r w:rsidRPr="0070186D">
        <w:t>Time</w:t>
      </w:r>
      <w:r w:rsidRPr="0070186D">
        <w:rPr>
          <w:vertAlign w:val="subscript"/>
        </w:rPr>
        <w:t>t</w:t>
      </w:r>
      <w:proofErr w:type="spellEnd"/>
      <w:r w:rsidRPr="0070186D">
        <w:t xml:space="preserve"> is the parameter of interest, corresponding to the difference between SIM and comparison states in the slope after SIM implementation compared to before. </w:t>
      </w:r>
      <w:r w:rsidRPr="0070186D">
        <w:rPr>
          <w:b/>
        </w:rPr>
        <w:t xml:space="preserve">X </w:t>
      </w:r>
      <w:r w:rsidRPr="0070186D">
        <w:t xml:space="preserve">is a vector of the same individual level covariates used in the DID model. </w:t>
      </w:r>
      <w:proofErr w:type="spellStart"/>
      <w:r w:rsidRPr="0070186D">
        <w:t>State</w:t>
      </w:r>
      <w:r w:rsidRPr="0070186D">
        <w:rPr>
          <w:vertAlign w:val="subscript"/>
        </w:rPr>
        <w:t>i</w:t>
      </w:r>
      <w:proofErr w:type="spellEnd"/>
      <w:r w:rsidRPr="0070186D">
        <w:t xml:space="preserve"> denotes a vector of state fixed effects, which account for state-invariant confounders and result in the original </w:t>
      </w:r>
      <w:proofErr w:type="spellStart"/>
      <w:r w:rsidRPr="0070186D">
        <w:t>SIM</w:t>
      </w:r>
      <w:r w:rsidRPr="0070186D">
        <w:rPr>
          <w:vertAlign w:val="subscript"/>
        </w:rPr>
        <w:t>i</w:t>
      </w:r>
      <w:proofErr w:type="spellEnd"/>
      <w:r w:rsidRPr="0070186D">
        <w:t xml:space="preserve"> indicator of whether or not an individual resided in a SIM state being dropped from the model due to collinearity. S</w:t>
      </w:r>
      <w:r>
        <w:t>tandard errors</w:t>
      </w:r>
      <w:r w:rsidRPr="0070186D">
        <w:t xml:space="preserve"> were clustered at the hospital level.</w:t>
      </w:r>
    </w:p>
    <w:p w14:paraId="06219563" w14:textId="77777777" w:rsidR="003C1D14" w:rsidRPr="0070186D" w:rsidRDefault="003C1D14" w:rsidP="003C1D14">
      <w:pPr>
        <w:spacing w:line="480" w:lineRule="auto"/>
        <w:contextualSpacing/>
      </w:pPr>
    </w:p>
    <w:p w14:paraId="516CB18F" w14:textId="77777777" w:rsidR="003C1D14" w:rsidRPr="0070186D" w:rsidRDefault="003C1D14" w:rsidP="003C1D14">
      <w:pPr>
        <w:spacing w:line="480" w:lineRule="auto"/>
        <w:contextualSpacing/>
      </w:pPr>
      <w:r w:rsidRPr="0070186D">
        <w:t>Third, it is possible that V code use is dependent on idiosyncratic hospital factors.</w:t>
      </w:r>
      <w:r w:rsidRPr="0070186D">
        <w:fldChar w:fldCharType="begin"/>
      </w:r>
      <w:r w:rsidRPr="0070186D">
        <w:instrText xml:space="preserve"> ADDIN ZOTERO_ITEM CSL_CITATION {"citationID":"EmFcLttt","properties":{"formattedCitation":"\\super 16\\nosupersub{}","plainCitation":"16","noteIndex":0},"citationItems":[{"id":2885,"uris":["http://zotero.org/groups/2363329/items/URKMAYQX"],"uri":["http://zotero.org/groups/2363329/items/URKMAYQX"],"itemData":{"id":2885,"type":"article-journal","container-title":"American Journal of Preventive Medicine","DOI":"10.1016/j.amepre.2019.07.014","ISSN":"07493797","issue":"6","language":"en","page":"S65-S73","source":"Crossref","title":"Variation in Electronic Health Record Documentation of Social Determinants of Health Across a National Network of Community Health Centers","URL":"https://linkinghub.elsevier.com/retrieve/pii/S0749379719303228","volume":"57","author":[{"family":"Cottrell","given":"Erika K."},{"family":"Dambrun","given":"Katie"},{"family":"Cowburn","given":"Stuart"},{"family":"Mossman","given":"Ned"},{"family":"Bunce","given":"Arwen E."},{"family":"Marino","given":"Miguel"},{"family":"Krancari","given":"Molly"},{"family":"Gold","given":"Rachel"}],"accessed":{"date-parts":[["2019",12,16]]},"issued":{"date-parts":[["2019",12]]}}}],"schema":"https://github.com/citation-style-language/schema/raw/master/csl-citation.json"} </w:instrText>
      </w:r>
      <w:r w:rsidRPr="0070186D">
        <w:fldChar w:fldCharType="separate"/>
      </w:r>
      <w:r w:rsidRPr="0070186D">
        <w:rPr>
          <w:rFonts w:eastAsia="Times New Roman"/>
          <w:vertAlign w:val="superscript"/>
        </w:rPr>
        <w:t>16</w:t>
      </w:r>
      <w:r w:rsidRPr="0070186D">
        <w:fldChar w:fldCharType="end"/>
      </w:r>
      <w:r w:rsidRPr="0070186D">
        <w:t xml:space="preserve"> For instance, academic medical centers are more likely to screen for social determinants of health than other hospitals.</w:t>
      </w:r>
      <w:r w:rsidRPr="0070186D">
        <w:fldChar w:fldCharType="begin"/>
      </w:r>
      <w:r w:rsidRPr="0070186D">
        <w:instrText xml:space="preserve"> ADDIN ZOTERO_ITEM CSL_CITATION {"citationID":"IabIEUDn","properties":{"formattedCitation":"\\super 17\\nosupersub{}","plainCitation":"17","noteIndex":0},"citationItems":[{"id":2796,"uris":["http://zotero.org/groups/2363329/items/P56TG5QR"],"uri":["http://zotero.org/groups/2363329/items/P56TG5QR"],"itemData":{"id":2796,"type":"article-journal","container-title":"JAMA network open","issue":"9","page":"e1911514–e1911514","source":"Google Scholar","title":"Prevalence of screening for food insecurity, housing instability, utility needs, transportation needs, and interpersonal violence by US physician practices and hospitals","volume":"2","author":[{"family":"Fraze","given":"Taressa K."},{"family":"Brewster","given":"Amanda L."},{"family":"Lewis","given":"Valerie A."},{"family":"Beidler","given":"Laura B."},{"family":"Murray","given":"Genevra F."},{"family":"Colla","given":"Carrie H."}],"issued":{"date-parts":[["2019"]]}}}],"schema":"https://github.com/citation-style-language/schema/raw/master/csl-citation.json"} </w:instrText>
      </w:r>
      <w:r w:rsidRPr="0070186D">
        <w:fldChar w:fldCharType="separate"/>
      </w:r>
      <w:r w:rsidRPr="0070186D">
        <w:rPr>
          <w:rFonts w:eastAsia="Times New Roman"/>
          <w:vertAlign w:val="superscript"/>
        </w:rPr>
        <w:t>17</w:t>
      </w:r>
      <w:r w:rsidRPr="0070186D">
        <w:fldChar w:fldCharType="end"/>
      </w:r>
      <w:r w:rsidRPr="0070186D">
        <w:t xml:space="preserve"> Hospital fixed effects were not possible in the logistic regression model, as rare use of V codes resulted in perfect prediction by certain hospitals and failure of models to converge. To more conservatively account for hospital influences, data were aggregated to the hospital level and modeled using negative binomial regression, assessing the change in the number of encounters with a V code on record per quarter in hospitals in SIM states relative to the change </w:t>
      </w:r>
      <w:r w:rsidRPr="0070186D">
        <w:lastRenderedPageBreak/>
        <w:t>in hospitals in comparison states. This model included an offset of the total number of hospitalizations per quarter and hospital fixed effects.</w:t>
      </w:r>
    </w:p>
    <w:p w14:paraId="51E49670" w14:textId="77777777" w:rsidR="003C1D14" w:rsidRPr="0070186D" w:rsidRDefault="003C1D14" w:rsidP="003C1D14">
      <w:pPr>
        <w:spacing w:line="480" w:lineRule="auto"/>
        <w:contextualSpacing/>
      </w:pPr>
    </w:p>
    <w:p w14:paraId="496C1836" w14:textId="77777777" w:rsidR="003C1D14" w:rsidRPr="006807F7" w:rsidRDefault="003C1D14" w:rsidP="003C1D14">
      <w:pPr>
        <w:spacing w:line="480" w:lineRule="auto"/>
        <w:contextualSpacing/>
        <w:rPr>
          <w:rFonts w:ascii="Franklin Gothic Medium" w:hAnsi="Franklin Gothic Medium"/>
          <w:b/>
          <w:sz w:val="28"/>
        </w:rPr>
      </w:pPr>
      <w:r w:rsidRPr="006807F7">
        <w:rPr>
          <w:rFonts w:ascii="Franklin Gothic Medium" w:hAnsi="Franklin Gothic Medium"/>
          <w:b/>
          <w:sz w:val="28"/>
        </w:rPr>
        <w:t>RESULTS</w:t>
      </w:r>
    </w:p>
    <w:p w14:paraId="52E99B12" w14:textId="77777777" w:rsidR="003C1D14" w:rsidRPr="0070186D" w:rsidRDefault="003C1D14" w:rsidP="003C1D14">
      <w:pPr>
        <w:spacing w:line="480" w:lineRule="auto"/>
        <w:contextualSpacing/>
      </w:pPr>
      <w:r w:rsidRPr="0070186D">
        <w:t>Differences in covariate means between SIM states and comparison states were generally below suggested thresholds before propensity score weighting,</w:t>
      </w:r>
      <w:r w:rsidRPr="0070186D">
        <w:fldChar w:fldCharType="begin"/>
      </w:r>
      <w:r w:rsidRPr="0070186D">
        <w:instrText xml:space="preserve"> ADDIN ZOTERO_ITEM CSL_CITATION {"citationID":"okYl67VX","properties":{"formattedCitation":"\\super 18,19\\nosupersub{}","plainCitation":"18,19","noteIndex":0},"citationItems":[{"id":2553,"uris":["http://zotero.org/users/4465759/items/TYCSEA9Z"],"uri":["http://zotero.org/users/4465759/items/TYCSEA9Z"],"itemData":{"id":2553,"type":"article-journal","container-title":"Health Services and Outcomes Research Methodology","issue":"3-4","page":"169–188","source":"Google Scholar","title":"Using propensity scores to help design observational studies: application to the tobacco litigation","title-short":"Using propensity scores to help design observational studies","volume":"2","author":[{"family":"Rubin","given":"Donald B."}],"issued":{"date-parts":[["2001"]]}}},{"id":2556,"uris":["http://zotero.org/users/4465759/items/6LPPGDQA"],"uri":["http://zotero.org/users/4465759/items/6LPPGDQA"],"itemData":{"id":2556,"type":"book","publisher":"Routledge","source":"Google Scholar","title":"Statistical power analysis for the behavioral sciences","author":[{"family":"Cohen","given":"Jacob"}],"issued":{"date-parts":[["2013"]]}}}],"schema":"https://github.com/citation-style-language/schema/raw/master/csl-citation.json"} </w:instrText>
      </w:r>
      <w:r w:rsidRPr="0070186D">
        <w:fldChar w:fldCharType="separate"/>
      </w:r>
      <w:r w:rsidRPr="0070186D">
        <w:rPr>
          <w:rFonts w:eastAsia="Times New Roman"/>
          <w:vertAlign w:val="superscript"/>
        </w:rPr>
        <w:t>18,19</w:t>
      </w:r>
      <w:r w:rsidRPr="0070186D">
        <w:fldChar w:fldCharType="end"/>
      </w:r>
      <w:r w:rsidRPr="0070186D">
        <w:t xml:space="preserve"> but weighting resolved some imbalance in racial/ethnic composition (Appendix Table 2). The propensity </w:t>
      </w:r>
      <w:proofErr w:type="gramStart"/>
      <w:r w:rsidRPr="0070186D">
        <w:t>score</w:t>
      </w:r>
      <w:proofErr w:type="gramEnd"/>
      <w:r w:rsidRPr="0070186D">
        <w:t xml:space="preserve"> weighted model yielded results comparable to those of the original model, although slightly attenuated (</w:t>
      </w:r>
      <w:r>
        <w:t>A</w:t>
      </w:r>
      <w:r w:rsidRPr="0070186D">
        <w:t>OR=1.23, 95% CI=1.00, 1.51). The CITS model also indicated a significant SIM effect on V code use (</w:t>
      </w:r>
      <w:r>
        <w:t>A</w:t>
      </w:r>
      <w:r w:rsidRPr="0070186D">
        <w:t>OR=</w:t>
      </w:r>
      <w:r w:rsidRPr="0070186D">
        <w:rPr>
          <w:rFonts w:eastAsia="Times New Roman"/>
        </w:rPr>
        <w:t xml:space="preserve">1.08, 95% CI=1.032, 1.127), as did </w:t>
      </w:r>
      <w:r w:rsidRPr="0070186D">
        <w:t>the negative binomial model (IRR=1.34, 95% CI=1.16, 1.55).</w:t>
      </w:r>
    </w:p>
    <w:p w14:paraId="66EED801" w14:textId="77777777" w:rsidR="003C1D14" w:rsidRPr="0070186D" w:rsidRDefault="003C1D14" w:rsidP="003C1D14">
      <w:pPr>
        <w:spacing w:line="480" w:lineRule="auto"/>
        <w:contextualSpacing/>
      </w:pPr>
      <w:r w:rsidRPr="0070186D">
        <w:br w:type="page"/>
      </w:r>
    </w:p>
    <w:p w14:paraId="73E18FBA" w14:textId="77777777" w:rsidR="003C1D14" w:rsidRPr="006807F7" w:rsidRDefault="003C1D14" w:rsidP="003C1D14">
      <w:pPr>
        <w:spacing w:line="480" w:lineRule="auto"/>
        <w:contextualSpacing/>
        <w:rPr>
          <w:rFonts w:ascii="Franklin Gothic Medium" w:hAnsi="Franklin Gothic Medium"/>
          <w:b/>
          <w:sz w:val="28"/>
        </w:rPr>
      </w:pPr>
      <w:r w:rsidRPr="006807F7">
        <w:rPr>
          <w:rFonts w:ascii="Franklin Gothic Medium" w:hAnsi="Franklin Gothic Medium"/>
          <w:b/>
          <w:sz w:val="28"/>
        </w:rPr>
        <w:lastRenderedPageBreak/>
        <w:t>APPENDIX REFERENCES</w:t>
      </w:r>
    </w:p>
    <w:p w14:paraId="2F53CBF5" w14:textId="77777777" w:rsidR="003C1D14" w:rsidRPr="0070186D" w:rsidRDefault="003C1D14" w:rsidP="003C1D14">
      <w:pPr>
        <w:spacing w:line="480" w:lineRule="auto"/>
        <w:contextualSpacing/>
      </w:pPr>
    </w:p>
    <w:p w14:paraId="3CC4335F" w14:textId="77777777" w:rsidR="003C1D14" w:rsidRDefault="003C1D14" w:rsidP="003C1D14">
      <w:pPr>
        <w:pStyle w:val="ListParagraph"/>
        <w:numPr>
          <w:ilvl w:val="0"/>
          <w:numId w:val="1"/>
        </w:numPr>
        <w:spacing w:line="480" w:lineRule="auto"/>
        <w:rPr>
          <w:rFonts w:ascii="Times New Roman" w:hAnsi="Times New Roman" w:cs="Times New Roman"/>
        </w:rPr>
      </w:pPr>
      <w:r w:rsidRPr="00096F30">
        <w:rPr>
          <w:rFonts w:ascii="Times New Roman" w:hAnsi="Times New Roman" w:cs="Times New Roman"/>
        </w:rPr>
        <w:t xml:space="preserve">Torres JM, Lawlor J, Colvin JD, et al. ICD social codes: an underutilized resource for tracking social needs. </w:t>
      </w:r>
      <w:r w:rsidRPr="00096F30">
        <w:rPr>
          <w:rFonts w:ascii="Times New Roman" w:hAnsi="Times New Roman" w:cs="Times New Roman"/>
          <w:i/>
        </w:rPr>
        <w:t>Med Care</w:t>
      </w:r>
      <w:r w:rsidRPr="00096F30">
        <w:rPr>
          <w:rFonts w:ascii="Times New Roman" w:hAnsi="Times New Roman" w:cs="Times New Roman"/>
        </w:rPr>
        <w:t>. 2017;55(9):810</w:t>
      </w:r>
      <w:r>
        <w:rPr>
          <w:rFonts w:ascii="Times New Roman" w:hAnsi="Times New Roman" w:cs="Times New Roman"/>
        </w:rPr>
        <w:t>‒</w:t>
      </w:r>
      <w:r w:rsidRPr="00096F30">
        <w:rPr>
          <w:rFonts w:ascii="Times New Roman" w:hAnsi="Times New Roman" w:cs="Times New Roman"/>
        </w:rPr>
        <w:t xml:space="preserve">816. </w:t>
      </w:r>
      <w:hyperlink r:id="rId5" w:history="1">
        <w:r w:rsidRPr="00F86BAE">
          <w:rPr>
            <w:rStyle w:val="Hyperlink"/>
            <w:rFonts w:ascii="Times New Roman" w:hAnsi="Times New Roman" w:cs="Times New Roman"/>
          </w:rPr>
          <w:t>https://doi.org/10.1097/mlr.0000000000000764</w:t>
        </w:r>
      </w:hyperlink>
      <w:r>
        <w:rPr>
          <w:rFonts w:ascii="Times New Roman" w:hAnsi="Times New Roman" w:cs="Times New Roman"/>
        </w:rPr>
        <w:t>.</w:t>
      </w:r>
    </w:p>
    <w:p w14:paraId="4DF39449" w14:textId="77777777" w:rsidR="003C1D14" w:rsidRDefault="003C1D14" w:rsidP="003C1D14">
      <w:pPr>
        <w:pStyle w:val="ListParagraph"/>
        <w:numPr>
          <w:ilvl w:val="0"/>
          <w:numId w:val="1"/>
        </w:numPr>
        <w:spacing w:line="480" w:lineRule="auto"/>
        <w:rPr>
          <w:rFonts w:ascii="Times New Roman" w:hAnsi="Times New Roman" w:cs="Times New Roman"/>
        </w:rPr>
      </w:pPr>
      <w:r w:rsidRPr="00096F30">
        <w:rPr>
          <w:rFonts w:ascii="Times New Roman" w:hAnsi="Times New Roman" w:cs="Times New Roman"/>
        </w:rPr>
        <w:t xml:space="preserve">Lewis JH, </w:t>
      </w:r>
      <w:proofErr w:type="spellStart"/>
      <w:r w:rsidRPr="00096F30">
        <w:rPr>
          <w:rFonts w:ascii="Times New Roman" w:hAnsi="Times New Roman" w:cs="Times New Roman"/>
        </w:rPr>
        <w:t>Whelihan</w:t>
      </w:r>
      <w:proofErr w:type="spellEnd"/>
      <w:r w:rsidRPr="00096F30">
        <w:rPr>
          <w:rFonts w:ascii="Times New Roman" w:hAnsi="Times New Roman" w:cs="Times New Roman"/>
        </w:rPr>
        <w:t xml:space="preserve"> K, Navarro I, Boyle KR. Community health center provider ability to identify, treat and account for the social determinants of health: a card study. </w:t>
      </w:r>
      <w:r w:rsidRPr="00096F30">
        <w:rPr>
          <w:rFonts w:ascii="Times New Roman" w:hAnsi="Times New Roman" w:cs="Times New Roman"/>
          <w:i/>
        </w:rPr>
        <w:t xml:space="preserve">BMC Fam </w:t>
      </w:r>
      <w:proofErr w:type="spellStart"/>
      <w:r w:rsidRPr="00096F30">
        <w:rPr>
          <w:rFonts w:ascii="Times New Roman" w:hAnsi="Times New Roman" w:cs="Times New Roman"/>
          <w:i/>
        </w:rPr>
        <w:t>Pract</w:t>
      </w:r>
      <w:proofErr w:type="spellEnd"/>
      <w:r w:rsidRPr="00096F30">
        <w:rPr>
          <w:rFonts w:ascii="Times New Roman" w:hAnsi="Times New Roman" w:cs="Times New Roman"/>
        </w:rPr>
        <w:t xml:space="preserve">. </w:t>
      </w:r>
      <w:proofErr w:type="gramStart"/>
      <w:r w:rsidRPr="00096F30">
        <w:rPr>
          <w:rFonts w:ascii="Times New Roman" w:hAnsi="Times New Roman" w:cs="Times New Roman"/>
        </w:rPr>
        <w:t>2016;17:121</w:t>
      </w:r>
      <w:proofErr w:type="gramEnd"/>
      <w:r w:rsidRPr="00096F30">
        <w:rPr>
          <w:rFonts w:ascii="Times New Roman" w:hAnsi="Times New Roman" w:cs="Times New Roman"/>
        </w:rPr>
        <w:t>.</w:t>
      </w:r>
      <w:r>
        <w:rPr>
          <w:rFonts w:ascii="Times New Roman" w:hAnsi="Times New Roman" w:cs="Times New Roman"/>
        </w:rPr>
        <w:t xml:space="preserve"> </w:t>
      </w:r>
      <w:hyperlink r:id="rId6" w:history="1">
        <w:r w:rsidRPr="00F86BAE">
          <w:rPr>
            <w:rStyle w:val="Hyperlink"/>
            <w:rFonts w:ascii="Times New Roman" w:hAnsi="Times New Roman" w:cs="Times New Roman"/>
          </w:rPr>
          <w:t>https://doi.org/10.1186/s12875-016-0526-8</w:t>
        </w:r>
      </w:hyperlink>
      <w:r>
        <w:rPr>
          <w:rFonts w:ascii="Times New Roman" w:hAnsi="Times New Roman" w:cs="Times New Roman"/>
        </w:rPr>
        <w:t>.</w:t>
      </w:r>
    </w:p>
    <w:p w14:paraId="148C8705" w14:textId="77777777" w:rsidR="003C1D14" w:rsidRDefault="003C1D14" w:rsidP="003C1D14">
      <w:pPr>
        <w:pStyle w:val="ListParagraph"/>
        <w:numPr>
          <w:ilvl w:val="0"/>
          <w:numId w:val="1"/>
        </w:numPr>
        <w:spacing w:line="480" w:lineRule="auto"/>
        <w:rPr>
          <w:rFonts w:ascii="Times New Roman" w:hAnsi="Times New Roman" w:cs="Times New Roman"/>
        </w:rPr>
      </w:pPr>
      <w:proofErr w:type="spellStart"/>
      <w:r w:rsidRPr="00096F30">
        <w:rPr>
          <w:rFonts w:ascii="Times New Roman" w:hAnsi="Times New Roman" w:cs="Times New Roman"/>
        </w:rPr>
        <w:t>Navathe</w:t>
      </w:r>
      <w:proofErr w:type="spellEnd"/>
      <w:r w:rsidRPr="00096F30">
        <w:rPr>
          <w:rFonts w:ascii="Times New Roman" w:hAnsi="Times New Roman" w:cs="Times New Roman"/>
        </w:rPr>
        <w:t xml:space="preserve"> AS, Zhong F, Lei VJ, et al. Hospital readmission and social risk factors identified from physician notes. </w:t>
      </w:r>
      <w:r w:rsidRPr="00096F30">
        <w:rPr>
          <w:rFonts w:ascii="Times New Roman" w:hAnsi="Times New Roman" w:cs="Times New Roman"/>
          <w:i/>
        </w:rPr>
        <w:t>Health Serv Res</w:t>
      </w:r>
      <w:r w:rsidRPr="00096F30">
        <w:rPr>
          <w:rFonts w:ascii="Times New Roman" w:hAnsi="Times New Roman" w:cs="Times New Roman"/>
        </w:rPr>
        <w:t>. 2018;53(2):1110</w:t>
      </w:r>
      <w:r>
        <w:rPr>
          <w:rFonts w:ascii="Times New Roman" w:hAnsi="Times New Roman" w:cs="Times New Roman"/>
        </w:rPr>
        <w:t>‒</w:t>
      </w:r>
      <w:r w:rsidRPr="00096F30">
        <w:rPr>
          <w:rFonts w:ascii="Times New Roman" w:hAnsi="Times New Roman" w:cs="Times New Roman"/>
        </w:rPr>
        <w:t xml:space="preserve">1136. </w:t>
      </w:r>
      <w:hyperlink r:id="rId7" w:history="1">
        <w:r w:rsidRPr="00F86BAE">
          <w:rPr>
            <w:rStyle w:val="Hyperlink"/>
            <w:rFonts w:ascii="Times New Roman" w:hAnsi="Times New Roman" w:cs="Times New Roman"/>
          </w:rPr>
          <w:t>https://doi.org/10.1111/1475-6773.12670</w:t>
        </w:r>
      </w:hyperlink>
      <w:r>
        <w:rPr>
          <w:rFonts w:ascii="Times New Roman" w:hAnsi="Times New Roman" w:cs="Times New Roman"/>
        </w:rPr>
        <w:t>.</w:t>
      </w:r>
    </w:p>
    <w:p w14:paraId="6E247DC4" w14:textId="77777777" w:rsidR="003C1D14" w:rsidRDefault="003C1D14" w:rsidP="003C1D14">
      <w:pPr>
        <w:pStyle w:val="ListParagraph"/>
        <w:numPr>
          <w:ilvl w:val="0"/>
          <w:numId w:val="1"/>
        </w:numPr>
        <w:spacing w:line="480" w:lineRule="auto"/>
        <w:rPr>
          <w:rFonts w:ascii="Times New Roman" w:hAnsi="Times New Roman" w:cs="Times New Roman"/>
        </w:rPr>
      </w:pPr>
      <w:r w:rsidRPr="00096F30">
        <w:rPr>
          <w:rFonts w:ascii="Times New Roman" w:hAnsi="Times New Roman" w:cs="Times New Roman"/>
        </w:rPr>
        <w:t xml:space="preserve">Banerjee T, Crews DC, Wesson DE, et al. Food insecurity, CKD, and subsequent ESRD in US adults. </w:t>
      </w:r>
      <w:r w:rsidRPr="00096F30">
        <w:rPr>
          <w:rFonts w:ascii="Times New Roman" w:hAnsi="Times New Roman" w:cs="Times New Roman"/>
          <w:i/>
        </w:rPr>
        <w:t>Am J Kidney Dis</w:t>
      </w:r>
      <w:r w:rsidRPr="00096F30">
        <w:rPr>
          <w:rFonts w:ascii="Times New Roman" w:hAnsi="Times New Roman" w:cs="Times New Roman"/>
        </w:rPr>
        <w:t>. 2017;70(1):38</w:t>
      </w:r>
      <w:r>
        <w:rPr>
          <w:rFonts w:ascii="Times New Roman" w:hAnsi="Times New Roman" w:cs="Times New Roman"/>
        </w:rPr>
        <w:t>‒</w:t>
      </w:r>
      <w:r w:rsidRPr="00096F30">
        <w:rPr>
          <w:rFonts w:ascii="Times New Roman" w:hAnsi="Times New Roman" w:cs="Times New Roman"/>
        </w:rPr>
        <w:t xml:space="preserve">47. </w:t>
      </w:r>
      <w:hyperlink r:id="rId8" w:history="1">
        <w:r w:rsidRPr="00F86BAE">
          <w:rPr>
            <w:rStyle w:val="Hyperlink"/>
            <w:rFonts w:ascii="Times New Roman" w:hAnsi="Times New Roman" w:cs="Times New Roman"/>
          </w:rPr>
          <w:t>https://doi.org/10.1053/j.ajkd.2016.10.035</w:t>
        </w:r>
      </w:hyperlink>
      <w:r>
        <w:rPr>
          <w:rFonts w:ascii="Times New Roman" w:hAnsi="Times New Roman" w:cs="Times New Roman"/>
        </w:rPr>
        <w:t>.</w:t>
      </w:r>
    </w:p>
    <w:p w14:paraId="08F9B5D4" w14:textId="77777777" w:rsidR="003C1D14" w:rsidRDefault="003C1D14" w:rsidP="003C1D14">
      <w:pPr>
        <w:pStyle w:val="ListParagraph"/>
        <w:numPr>
          <w:ilvl w:val="0"/>
          <w:numId w:val="1"/>
        </w:numPr>
        <w:spacing w:line="480" w:lineRule="auto"/>
        <w:rPr>
          <w:rFonts w:ascii="Times New Roman" w:hAnsi="Times New Roman" w:cs="Times New Roman"/>
        </w:rPr>
      </w:pPr>
      <w:r w:rsidRPr="00096F30">
        <w:rPr>
          <w:rFonts w:ascii="Times New Roman" w:hAnsi="Times New Roman" w:cs="Times New Roman"/>
        </w:rPr>
        <w:t xml:space="preserve">Berkowitz SA, </w:t>
      </w:r>
      <w:proofErr w:type="spellStart"/>
      <w:r w:rsidRPr="00096F30">
        <w:rPr>
          <w:rFonts w:ascii="Times New Roman" w:hAnsi="Times New Roman" w:cs="Times New Roman"/>
        </w:rPr>
        <w:t>Hulberg</w:t>
      </w:r>
      <w:proofErr w:type="spellEnd"/>
      <w:r w:rsidRPr="00096F30">
        <w:rPr>
          <w:rFonts w:ascii="Times New Roman" w:hAnsi="Times New Roman" w:cs="Times New Roman"/>
        </w:rPr>
        <w:t xml:space="preserve"> AC, Hong C, et al. Addressing basic resource needs to improve primary care quality: a community collaboration </w:t>
      </w:r>
      <w:proofErr w:type="spellStart"/>
      <w:r w:rsidRPr="00096F30">
        <w:rPr>
          <w:rFonts w:ascii="Times New Roman" w:hAnsi="Times New Roman" w:cs="Times New Roman"/>
        </w:rPr>
        <w:t>programme</w:t>
      </w:r>
      <w:proofErr w:type="spellEnd"/>
      <w:r w:rsidRPr="00096F30">
        <w:rPr>
          <w:rFonts w:ascii="Times New Roman" w:hAnsi="Times New Roman" w:cs="Times New Roman"/>
        </w:rPr>
        <w:t xml:space="preserve">. </w:t>
      </w:r>
      <w:r w:rsidRPr="00096F30">
        <w:rPr>
          <w:rFonts w:ascii="Times New Roman" w:hAnsi="Times New Roman" w:cs="Times New Roman"/>
          <w:i/>
        </w:rPr>
        <w:t xml:space="preserve">BMJ Qual </w:t>
      </w:r>
      <w:proofErr w:type="spellStart"/>
      <w:r w:rsidRPr="00096F30">
        <w:rPr>
          <w:rFonts w:ascii="Times New Roman" w:hAnsi="Times New Roman" w:cs="Times New Roman"/>
          <w:i/>
        </w:rPr>
        <w:t>Saf</w:t>
      </w:r>
      <w:proofErr w:type="spellEnd"/>
      <w:r w:rsidRPr="00096F30">
        <w:rPr>
          <w:rFonts w:ascii="Times New Roman" w:hAnsi="Times New Roman" w:cs="Times New Roman"/>
        </w:rPr>
        <w:t>. 2016;25(3):164</w:t>
      </w:r>
      <w:r>
        <w:rPr>
          <w:rFonts w:ascii="Times New Roman" w:hAnsi="Times New Roman" w:cs="Times New Roman"/>
        </w:rPr>
        <w:t>‒</w:t>
      </w:r>
      <w:r w:rsidRPr="00096F30">
        <w:rPr>
          <w:rFonts w:ascii="Times New Roman" w:hAnsi="Times New Roman" w:cs="Times New Roman"/>
        </w:rPr>
        <w:t xml:space="preserve">172. </w:t>
      </w:r>
      <w:hyperlink r:id="rId9" w:history="1">
        <w:r w:rsidRPr="00F86BAE">
          <w:rPr>
            <w:rStyle w:val="Hyperlink"/>
            <w:rFonts w:ascii="Times New Roman" w:hAnsi="Times New Roman" w:cs="Times New Roman"/>
          </w:rPr>
          <w:t>https://doi.org/10.1136/bmjqs-2015-004521</w:t>
        </w:r>
      </w:hyperlink>
      <w:r>
        <w:rPr>
          <w:rFonts w:ascii="Times New Roman" w:hAnsi="Times New Roman" w:cs="Times New Roman"/>
        </w:rPr>
        <w:t>.</w:t>
      </w:r>
    </w:p>
    <w:p w14:paraId="6EC12F99" w14:textId="77777777" w:rsidR="003C1D14" w:rsidRDefault="003C1D14" w:rsidP="003C1D14">
      <w:pPr>
        <w:pStyle w:val="ListParagraph"/>
        <w:numPr>
          <w:ilvl w:val="0"/>
          <w:numId w:val="1"/>
        </w:numPr>
        <w:spacing w:line="480" w:lineRule="auto"/>
        <w:rPr>
          <w:rFonts w:ascii="Times New Roman" w:hAnsi="Times New Roman" w:cs="Times New Roman"/>
        </w:rPr>
      </w:pPr>
      <w:r w:rsidRPr="00096F30">
        <w:rPr>
          <w:rFonts w:ascii="Times New Roman" w:hAnsi="Times New Roman" w:cs="Times New Roman"/>
        </w:rPr>
        <w:t xml:space="preserve">Garg A, Boynton-Jarrett R, Dworkin PH. Avoiding the unintended consequences of screening for social determinants of health. </w:t>
      </w:r>
      <w:r w:rsidRPr="00096F30">
        <w:rPr>
          <w:rFonts w:ascii="Times New Roman" w:hAnsi="Times New Roman" w:cs="Times New Roman"/>
          <w:i/>
        </w:rPr>
        <w:t>JAMA</w:t>
      </w:r>
      <w:r w:rsidRPr="00096F30">
        <w:rPr>
          <w:rFonts w:ascii="Times New Roman" w:hAnsi="Times New Roman" w:cs="Times New Roman"/>
        </w:rPr>
        <w:t>. 2016;316(8):813</w:t>
      </w:r>
      <w:r>
        <w:rPr>
          <w:rFonts w:ascii="Times New Roman" w:hAnsi="Times New Roman" w:cs="Times New Roman"/>
        </w:rPr>
        <w:t>‒814</w:t>
      </w:r>
      <w:r w:rsidRPr="00096F30">
        <w:rPr>
          <w:rFonts w:ascii="Times New Roman" w:hAnsi="Times New Roman" w:cs="Times New Roman"/>
        </w:rPr>
        <w:t xml:space="preserve">. </w:t>
      </w:r>
      <w:hyperlink r:id="rId10" w:history="1">
        <w:r w:rsidRPr="00F86BAE">
          <w:rPr>
            <w:rStyle w:val="Hyperlink"/>
            <w:rFonts w:ascii="Times New Roman" w:hAnsi="Times New Roman" w:cs="Times New Roman"/>
          </w:rPr>
          <w:t>https://doi.org/10.1001/jama.2016.9282</w:t>
        </w:r>
      </w:hyperlink>
      <w:r>
        <w:rPr>
          <w:rFonts w:ascii="Times New Roman" w:hAnsi="Times New Roman" w:cs="Times New Roman"/>
        </w:rPr>
        <w:t>.</w:t>
      </w:r>
    </w:p>
    <w:p w14:paraId="044BF985" w14:textId="77777777" w:rsidR="003C1D14" w:rsidRDefault="003C1D14" w:rsidP="003C1D14">
      <w:pPr>
        <w:pStyle w:val="ListParagraph"/>
        <w:numPr>
          <w:ilvl w:val="0"/>
          <w:numId w:val="1"/>
        </w:numPr>
        <w:spacing w:line="480" w:lineRule="auto"/>
        <w:rPr>
          <w:rFonts w:ascii="Times New Roman" w:hAnsi="Times New Roman" w:cs="Times New Roman"/>
        </w:rPr>
      </w:pPr>
      <w:r>
        <w:rPr>
          <w:rFonts w:ascii="Times New Roman" w:hAnsi="Times New Roman" w:cs="Times New Roman"/>
        </w:rPr>
        <w:t>R</w:t>
      </w:r>
      <w:r w:rsidRPr="00096F30">
        <w:rPr>
          <w:rFonts w:ascii="Times New Roman" w:hAnsi="Times New Roman" w:cs="Times New Roman"/>
        </w:rPr>
        <w:t xml:space="preserve">utledge RI, </w:t>
      </w:r>
      <w:proofErr w:type="spellStart"/>
      <w:r>
        <w:rPr>
          <w:rFonts w:ascii="Times New Roman" w:hAnsi="Times New Roman" w:cs="Times New Roman"/>
        </w:rPr>
        <w:t>R</w:t>
      </w:r>
      <w:r w:rsidRPr="00096F30">
        <w:rPr>
          <w:rFonts w:ascii="Times New Roman" w:hAnsi="Times New Roman" w:cs="Times New Roman"/>
        </w:rPr>
        <w:t>omaire</w:t>
      </w:r>
      <w:proofErr w:type="spellEnd"/>
      <w:r w:rsidRPr="00096F30">
        <w:rPr>
          <w:rFonts w:ascii="Times New Roman" w:hAnsi="Times New Roman" w:cs="Times New Roman"/>
        </w:rPr>
        <w:t xml:space="preserve"> MA, </w:t>
      </w:r>
      <w:r>
        <w:rPr>
          <w:rFonts w:ascii="Times New Roman" w:hAnsi="Times New Roman" w:cs="Times New Roman"/>
        </w:rPr>
        <w:t>H</w:t>
      </w:r>
      <w:r w:rsidRPr="00096F30">
        <w:rPr>
          <w:rFonts w:ascii="Times New Roman" w:hAnsi="Times New Roman" w:cs="Times New Roman"/>
        </w:rPr>
        <w:t xml:space="preserve">ersey CL, </w:t>
      </w:r>
      <w:r>
        <w:rPr>
          <w:rFonts w:ascii="Times New Roman" w:hAnsi="Times New Roman" w:cs="Times New Roman"/>
        </w:rPr>
        <w:t>P</w:t>
      </w:r>
      <w:r w:rsidRPr="00096F30">
        <w:rPr>
          <w:rFonts w:ascii="Times New Roman" w:hAnsi="Times New Roman" w:cs="Times New Roman"/>
        </w:rPr>
        <w:t xml:space="preserve">arish WJ, </w:t>
      </w:r>
      <w:proofErr w:type="spellStart"/>
      <w:r>
        <w:rPr>
          <w:rFonts w:ascii="Times New Roman" w:hAnsi="Times New Roman" w:cs="Times New Roman"/>
        </w:rPr>
        <w:t>K</w:t>
      </w:r>
      <w:r w:rsidRPr="00096F30">
        <w:rPr>
          <w:rFonts w:ascii="Times New Roman" w:hAnsi="Times New Roman" w:cs="Times New Roman"/>
        </w:rPr>
        <w:t>issam</w:t>
      </w:r>
      <w:proofErr w:type="spellEnd"/>
      <w:r w:rsidRPr="00096F30">
        <w:rPr>
          <w:rFonts w:ascii="Times New Roman" w:hAnsi="Times New Roman" w:cs="Times New Roman"/>
        </w:rPr>
        <w:t xml:space="preserve"> SM, </w:t>
      </w:r>
      <w:r>
        <w:rPr>
          <w:rFonts w:ascii="Times New Roman" w:hAnsi="Times New Roman" w:cs="Times New Roman"/>
        </w:rPr>
        <w:t>L</w:t>
      </w:r>
      <w:r w:rsidRPr="00096F30">
        <w:rPr>
          <w:rFonts w:ascii="Times New Roman" w:hAnsi="Times New Roman" w:cs="Times New Roman"/>
        </w:rPr>
        <w:t xml:space="preserve">loyd JT. Medicaid accountable care organizations in four states: implementation and early impacts. </w:t>
      </w:r>
      <w:r w:rsidRPr="00096F30">
        <w:rPr>
          <w:rFonts w:ascii="Times New Roman" w:hAnsi="Times New Roman" w:cs="Times New Roman"/>
          <w:i/>
        </w:rPr>
        <w:t>Milbank Q</w:t>
      </w:r>
      <w:r w:rsidRPr="00096F30">
        <w:rPr>
          <w:rFonts w:ascii="Times New Roman" w:hAnsi="Times New Roman" w:cs="Times New Roman"/>
        </w:rPr>
        <w:t>. 2019</w:t>
      </w:r>
      <w:r>
        <w:rPr>
          <w:rFonts w:ascii="Times New Roman" w:hAnsi="Times New Roman" w:cs="Times New Roman"/>
        </w:rPr>
        <w:t>;97(2):583‒619</w:t>
      </w:r>
      <w:r w:rsidRPr="00096F30">
        <w:rPr>
          <w:rFonts w:ascii="Times New Roman" w:hAnsi="Times New Roman" w:cs="Times New Roman"/>
        </w:rPr>
        <w:t>.</w:t>
      </w:r>
      <w:r>
        <w:rPr>
          <w:rFonts w:ascii="Times New Roman" w:hAnsi="Times New Roman" w:cs="Times New Roman"/>
        </w:rPr>
        <w:t xml:space="preserve"> </w:t>
      </w:r>
      <w:hyperlink r:id="rId11" w:history="1">
        <w:r w:rsidRPr="00F86BAE">
          <w:rPr>
            <w:rStyle w:val="Hyperlink"/>
            <w:rFonts w:ascii="Times New Roman" w:hAnsi="Times New Roman" w:cs="Times New Roman"/>
          </w:rPr>
          <w:t>https://doi.org/10.1111/1468-0009.12386</w:t>
        </w:r>
      </w:hyperlink>
      <w:r>
        <w:rPr>
          <w:rFonts w:ascii="Times New Roman" w:hAnsi="Times New Roman" w:cs="Times New Roman"/>
        </w:rPr>
        <w:t>.</w:t>
      </w:r>
    </w:p>
    <w:p w14:paraId="71B01D62" w14:textId="77777777" w:rsidR="003C1D14" w:rsidRDefault="003C1D14" w:rsidP="003C1D14">
      <w:pPr>
        <w:pStyle w:val="ListParagraph"/>
        <w:numPr>
          <w:ilvl w:val="0"/>
          <w:numId w:val="1"/>
        </w:numPr>
        <w:spacing w:line="480" w:lineRule="auto"/>
        <w:rPr>
          <w:rFonts w:ascii="Times New Roman" w:hAnsi="Times New Roman" w:cs="Times New Roman"/>
        </w:rPr>
      </w:pPr>
      <w:r w:rsidRPr="00096F30">
        <w:rPr>
          <w:rFonts w:ascii="Times New Roman" w:hAnsi="Times New Roman" w:cs="Times New Roman"/>
        </w:rPr>
        <w:lastRenderedPageBreak/>
        <w:t>RTI International. State Innovation Model (SIM) Init</w:t>
      </w:r>
      <w:r>
        <w:rPr>
          <w:rFonts w:ascii="Times New Roman" w:hAnsi="Times New Roman" w:cs="Times New Roman"/>
        </w:rPr>
        <w:t>i</w:t>
      </w:r>
      <w:r w:rsidRPr="00096F30">
        <w:rPr>
          <w:rFonts w:ascii="Times New Roman" w:hAnsi="Times New Roman" w:cs="Times New Roman"/>
        </w:rPr>
        <w:t>ative Evaluation: Model Test Year Two Annual Report. Research Triangle Park, NC</w:t>
      </w:r>
      <w:r>
        <w:rPr>
          <w:rFonts w:ascii="Times New Roman" w:hAnsi="Times New Roman" w:cs="Times New Roman"/>
        </w:rPr>
        <w:t>: RTI International</w:t>
      </w:r>
      <w:r w:rsidRPr="00096F30">
        <w:rPr>
          <w:rFonts w:ascii="Times New Roman" w:hAnsi="Times New Roman" w:cs="Times New Roman"/>
        </w:rPr>
        <w:t>; 2016.</w:t>
      </w:r>
    </w:p>
    <w:p w14:paraId="0C64300A" w14:textId="77777777" w:rsidR="003C1D14" w:rsidRDefault="003C1D14" w:rsidP="003C1D14">
      <w:pPr>
        <w:pStyle w:val="ListParagraph"/>
        <w:numPr>
          <w:ilvl w:val="0"/>
          <w:numId w:val="1"/>
        </w:numPr>
        <w:spacing w:line="480" w:lineRule="auto"/>
        <w:rPr>
          <w:rFonts w:ascii="Times New Roman" w:hAnsi="Times New Roman" w:cs="Times New Roman"/>
        </w:rPr>
      </w:pPr>
      <w:r w:rsidRPr="00096F30">
        <w:rPr>
          <w:rFonts w:ascii="Times New Roman" w:hAnsi="Times New Roman" w:cs="Times New Roman"/>
        </w:rPr>
        <w:t xml:space="preserve">Olson DP, Oldfield BJ, Morales Navarro S. Standardizing social determinants of health assessments. </w:t>
      </w:r>
      <w:r w:rsidRPr="00096F30">
        <w:rPr>
          <w:rFonts w:ascii="Times New Roman" w:hAnsi="Times New Roman" w:cs="Times New Roman"/>
          <w:i/>
        </w:rPr>
        <w:t>Health Affairs Blog</w:t>
      </w:r>
      <w:r>
        <w:rPr>
          <w:rFonts w:ascii="Times New Roman" w:hAnsi="Times New Roman" w:cs="Times New Roman"/>
        </w:rPr>
        <w:t>.</w:t>
      </w:r>
      <w:r w:rsidRPr="00096F30">
        <w:rPr>
          <w:rFonts w:ascii="Times New Roman" w:hAnsi="Times New Roman" w:cs="Times New Roman"/>
        </w:rPr>
        <w:t xml:space="preserve">  2</w:t>
      </w:r>
      <w:r>
        <w:rPr>
          <w:rFonts w:ascii="Times New Roman" w:hAnsi="Times New Roman" w:cs="Times New Roman"/>
        </w:rPr>
        <w:t xml:space="preserve">019;823116. </w:t>
      </w:r>
      <w:hyperlink r:id="rId12" w:history="1">
        <w:r w:rsidRPr="00F86BAE">
          <w:rPr>
            <w:rStyle w:val="Hyperlink"/>
            <w:rFonts w:ascii="Times New Roman" w:hAnsi="Times New Roman" w:cs="Times New Roman"/>
          </w:rPr>
          <w:t>https://doi.org/10.1377/hblog20190311.823116</w:t>
        </w:r>
      </w:hyperlink>
      <w:r>
        <w:rPr>
          <w:rFonts w:ascii="Times New Roman" w:hAnsi="Times New Roman" w:cs="Times New Roman"/>
        </w:rPr>
        <w:t>.</w:t>
      </w:r>
    </w:p>
    <w:p w14:paraId="7A93B7C9" w14:textId="77777777" w:rsidR="003C1D14" w:rsidRDefault="003C1D14" w:rsidP="003C1D14">
      <w:pPr>
        <w:pStyle w:val="ListParagraph"/>
        <w:numPr>
          <w:ilvl w:val="0"/>
          <w:numId w:val="1"/>
        </w:numPr>
        <w:spacing w:line="480" w:lineRule="auto"/>
        <w:rPr>
          <w:rFonts w:ascii="Times New Roman" w:hAnsi="Times New Roman" w:cs="Times New Roman"/>
        </w:rPr>
      </w:pPr>
      <w:proofErr w:type="spellStart"/>
      <w:r w:rsidRPr="00096F30">
        <w:rPr>
          <w:rFonts w:ascii="Times New Roman" w:hAnsi="Times New Roman" w:cs="Times New Roman"/>
        </w:rPr>
        <w:t>Freij</w:t>
      </w:r>
      <w:proofErr w:type="spellEnd"/>
      <w:r w:rsidRPr="00096F30">
        <w:rPr>
          <w:rFonts w:ascii="Times New Roman" w:hAnsi="Times New Roman" w:cs="Times New Roman"/>
        </w:rPr>
        <w:t xml:space="preserve"> M, </w:t>
      </w:r>
      <w:proofErr w:type="spellStart"/>
      <w:r w:rsidRPr="00096F30">
        <w:rPr>
          <w:rFonts w:ascii="Times New Roman" w:hAnsi="Times New Roman" w:cs="Times New Roman"/>
        </w:rPr>
        <w:t>Dullabh</w:t>
      </w:r>
      <w:proofErr w:type="spellEnd"/>
      <w:r w:rsidRPr="00096F30">
        <w:rPr>
          <w:rFonts w:ascii="Times New Roman" w:hAnsi="Times New Roman" w:cs="Times New Roman"/>
        </w:rPr>
        <w:t xml:space="preserve"> P, Lewis S, Smith SR, Hovey L, </w:t>
      </w:r>
      <w:proofErr w:type="spellStart"/>
      <w:r w:rsidRPr="00096F30">
        <w:rPr>
          <w:rFonts w:ascii="Times New Roman" w:hAnsi="Times New Roman" w:cs="Times New Roman"/>
        </w:rPr>
        <w:t>Dhopeshwarkar</w:t>
      </w:r>
      <w:proofErr w:type="spellEnd"/>
      <w:r w:rsidRPr="00096F30">
        <w:rPr>
          <w:rFonts w:ascii="Times New Roman" w:hAnsi="Times New Roman" w:cs="Times New Roman"/>
        </w:rPr>
        <w:t xml:space="preserve"> R. Incorporating social determinants of health in electronic health records: qualitative study of current practices among top vendors. </w:t>
      </w:r>
      <w:r w:rsidRPr="00096F30">
        <w:rPr>
          <w:rFonts w:ascii="Times New Roman" w:hAnsi="Times New Roman" w:cs="Times New Roman"/>
          <w:i/>
        </w:rPr>
        <w:t>JMIR Med Inform</w:t>
      </w:r>
      <w:r w:rsidRPr="00096F30">
        <w:rPr>
          <w:rFonts w:ascii="Times New Roman" w:hAnsi="Times New Roman" w:cs="Times New Roman"/>
        </w:rPr>
        <w:t>. 2019;7(2</w:t>
      </w:r>
      <w:proofErr w:type="gramStart"/>
      <w:r w:rsidRPr="00096F30">
        <w:rPr>
          <w:rFonts w:ascii="Times New Roman" w:hAnsi="Times New Roman" w:cs="Times New Roman"/>
        </w:rPr>
        <w:t>):e</w:t>
      </w:r>
      <w:proofErr w:type="gramEnd"/>
      <w:r w:rsidRPr="00096F30">
        <w:rPr>
          <w:rFonts w:ascii="Times New Roman" w:hAnsi="Times New Roman" w:cs="Times New Roman"/>
        </w:rPr>
        <w:t xml:space="preserve">13849. </w:t>
      </w:r>
      <w:hyperlink r:id="rId13" w:history="1">
        <w:r w:rsidRPr="00F86BAE">
          <w:rPr>
            <w:rStyle w:val="Hyperlink"/>
            <w:rFonts w:ascii="Times New Roman" w:hAnsi="Times New Roman" w:cs="Times New Roman"/>
          </w:rPr>
          <w:t>https://doi.org/10.2196/13849</w:t>
        </w:r>
      </w:hyperlink>
      <w:r>
        <w:rPr>
          <w:rFonts w:ascii="Times New Roman" w:hAnsi="Times New Roman" w:cs="Times New Roman"/>
        </w:rPr>
        <w:t>.</w:t>
      </w:r>
    </w:p>
    <w:p w14:paraId="0FFE9727" w14:textId="77777777" w:rsidR="003C1D14" w:rsidRDefault="003C1D14" w:rsidP="003C1D14">
      <w:pPr>
        <w:pStyle w:val="ListParagraph"/>
        <w:numPr>
          <w:ilvl w:val="0"/>
          <w:numId w:val="1"/>
        </w:numPr>
        <w:spacing w:line="480" w:lineRule="auto"/>
        <w:rPr>
          <w:rFonts w:ascii="Times New Roman" w:hAnsi="Times New Roman" w:cs="Times New Roman"/>
        </w:rPr>
      </w:pPr>
      <w:proofErr w:type="spellStart"/>
      <w:r w:rsidRPr="00096F30">
        <w:rPr>
          <w:rFonts w:ascii="Times New Roman" w:hAnsi="Times New Roman" w:cs="Times New Roman"/>
        </w:rPr>
        <w:t>Kissam</w:t>
      </w:r>
      <w:proofErr w:type="spellEnd"/>
      <w:r w:rsidRPr="00096F30">
        <w:rPr>
          <w:rFonts w:ascii="Times New Roman" w:hAnsi="Times New Roman" w:cs="Times New Roman"/>
        </w:rPr>
        <w:t xml:space="preserve"> SM, </w:t>
      </w:r>
      <w:proofErr w:type="spellStart"/>
      <w:r w:rsidRPr="00096F30">
        <w:rPr>
          <w:rFonts w:ascii="Times New Roman" w:hAnsi="Times New Roman" w:cs="Times New Roman"/>
        </w:rPr>
        <w:t>Beil</w:t>
      </w:r>
      <w:proofErr w:type="spellEnd"/>
      <w:r w:rsidRPr="00096F30">
        <w:rPr>
          <w:rFonts w:ascii="Times New Roman" w:hAnsi="Times New Roman" w:cs="Times New Roman"/>
        </w:rPr>
        <w:t xml:space="preserve"> H, </w:t>
      </w:r>
      <w:proofErr w:type="spellStart"/>
      <w:r w:rsidRPr="00096F30">
        <w:rPr>
          <w:rFonts w:ascii="Times New Roman" w:hAnsi="Times New Roman" w:cs="Times New Roman"/>
        </w:rPr>
        <w:t>Cousart</w:t>
      </w:r>
      <w:proofErr w:type="spellEnd"/>
      <w:r w:rsidRPr="00096F30">
        <w:rPr>
          <w:rFonts w:ascii="Times New Roman" w:hAnsi="Times New Roman" w:cs="Times New Roman"/>
        </w:rPr>
        <w:t xml:space="preserve"> C, Greenwald LM, Lloyd JT. States encouraging value-based payment: lessons from CMS’s State Innovation Models initiative. </w:t>
      </w:r>
      <w:r w:rsidRPr="00096F30">
        <w:rPr>
          <w:rFonts w:ascii="Times New Roman" w:hAnsi="Times New Roman" w:cs="Times New Roman"/>
          <w:i/>
        </w:rPr>
        <w:t>Milbank Q</w:t>
      </w:r>
      <w:r w:rsidRPr="00096F30">
        <w:rPr>
          <w:rFonts w:ascii="Times New Roman" w:hAnsi="Times New Roman" w:cs="Times New Roman"/>
        </w:rPr>
        <w:t>. 2019</w:t>
      </w:r>
      <w:r>
        <w:rPr>
          <w:rFonts w:ascii="Times New Roman" w:hAnsi="Times New Roman" w:cs="Times New Roman"/>
        </w:rPr>
        <w:t>;97(2):506‒542</w:t>
      </w:r>
      <w:r w:rsidRPr="00096F30">
        <w:rPr>
          <w:rFonts w:ascii="Times New Roman" w:hAnsi="Times New Roman" w:cs="Times New Roman"/>
        </w:rPr>
        <w:t xml:space="preserve">. </w:t>
      </w:r>
      <w:hyperlink r:id="rId14" w:history="1">
        <w:r w:rsidRPr="00F86BAE">
          <w:rPr>
            <w:rStyle w:val="Hyperlink"/>
            <w:rFonts w:ascii="Times New Roman" w:hAnsi="Times New Roman" w:cs="Times New Roman"/>
          </w:rPr>
          <w:t>https://doi.org/10.1111/1468-0009.12380</w:t>
        </w:r>
      </w:hyperlink>
      <w:r>
        <w:rPr>
          <w:rFonts w:ascii="Times New Roman" w:hAnsi="Times New Roman" w:cs="Times New Roman"/>
        </w:rPr>
        <w:t>.</w:t>
      </w:r>
    </w:p>
    <w:p w14:paraId="34F973D5" w14:textId="77777777" w:rsidR="003C1D14" w:rsidRDefault="003C1D14" w:rsidP="003C1D14">
      <w:pPr>
        <w:pStyle w:val="ListParagraph"/>
        <w:numPr>
          <w:ilvl w:val="0"/>
          <w:numId w:val="1"/>
        </w:numPr>
        <w:spacing w:line="480" w:lineRule="auto"/>
        <w:rPr>
          <w:rFonts w:ascii="Times New Roman" w:hAnsi="Times New Roman" w:cs="Times New Roman"/>
        </w:rPr>
      </w:pPr>
      <w:r w:rsidRPr="00096F30">
        <w:rPr>
          <w:rFonts w:ascii="Times New Roman" w:hAnsi="Times New Roman" w:cs="Times New Roman"/>
        </w:rPr>
        <w:t xml:space="preserve">Stuart EA, </w:t>
      </w:r>
      <w:proofErr w:type="spellStart"/>
      <w:r w:rsidRPr="00096F30">
        <w:rPr>
          <w:rFonts w:ascii="Times New Roman" w:hAnsi="Times New Roman" w:cs="Times New Roman"/>
        </w:rPr>
        <w:t>Huskamp</w:t>
      </w:r>
      <w:proofErr w:type="spellEnd"/>
      <w:r w:rsidRPr="00096F30">
        <w:rPr>
          <w:rFonts w:ascii="Times New Roman" w:hAnsi="Times New Roman" w:cs="Times New Roman"/>
        </w:rPr>
        <w:t xml:space="preserve"> HA, Duckworth K, et al. Using propensity scores in difference-in-differences models to estimate the effects of a policy change. </w:t>
      </w:r>
      <w:r w:rsidRPr="00096F30">
        <w:rPr>
          <w:rFonts w:ascii="Times New Roman" w:hAnsi="Times New Roman" w:cs="Times New Roman"/>
          <w:i/>
        </w:rPr>
        <w:t xml:space="preserve">Health Serv Outcomes Res </w:t>
      </w:r>
      <w:proofErr w:type="spellStart"/>
      <w:r w:rsidRPr="00096F30">
        <w:rPr>
          <w:rFonts w:ascii="Times New Roman" w:hAnsi="Times New Roman" w:cs="Times New Roman"/>
          <w:i/>
        </w:rPr>
        <w:t>Methodol</w:t>
      </w:r>
      <w:proofErr w:type="spellEnd"/>
      <w:r w:rsidRPr="00096F30">
        <w:rPr>
          <w:rFonts w:ascii="Times New Roman" w:hAnsi="Times New Roman" w:cs="Times New Roman"/>
        </w:rPr>
        <w:t>. 2014;14(4):166–182.</w:t>
      </w:r>
      <w:r>
        <w:rPr>
          <w:rFonts w:ascii="Times New Roman" w:hAnsi="Times New Roman" w:cs="Times New Roman"/>
        </w:rPr>
        <w:t xml:space="preserve"> </w:t>
      </w:r>
      <w:hyperlink r:id="rId15" w:history="1">
        <w:r w:rsidRPr="00F86BAE">
          <w:rPr>
            <w:rStyle w:val="Hyperlink"/>
            <w:rFonts w:ascii="Times New Roman" w:hAnsi="Times New Roman" w:cs="Times New Roman"/>
          </w:rPr>
          <w:t>https://doi.org/10.1007/s10742-014-0123-z</w:t>
        </w:r>
      </w:hyperlink>
      <w:r>
        <w:rPr>
          <w:rFonts w:ascii="Times New Roman" w:hAnsi="Times New Roman" w:cs="Times New Roman"/>
        </w:rPr>
        <w:t>.</w:t>
      </w:r>
    </w:p>
    <w:p w14:paraId="60DD82DA" w14:textId="77777777" w:rsidR="003C1D14" w:rsidRDefault="003C1D14" w:rsidP="003C1D14">
      <w:pPr>
        <w:pStyle w:val="ListParagraph"/>
        <w:numPr>
          <w:ilvl w:val="0"/>
          <w:numId w:val="1"/>
        </w:numPr>
        <w:spacing w:line="480" w:lineRule="auto"/>
        <w:rPr>
          <w:rFonts w:ascii="Times New Roman" w:hAnsi="Times New Roman" w:cs="Times New Roman"/>
        </w:rPr>
      </w:pPr>
      <w:r w:rsidRPr="00096F30">
        <w:rPr>
          <w:rFonts w:ascii="Times New Roman" w:hAnsi="Times New Roman" w:cs="Times New Roman"/>
        </w:rPr>
        <w:t>Somers M-A, Zhu P, Jacob R, Bloom H. The validity and precision of the comparative interrupted time series design and the difference-in-difference design in educational evaluation. MDRC. 2013.</w:t>
      </w:r>
      <w:r>
        <w:rPr>
          <w:rFonts w:ascii="Times New Roman" w:hAnsi="Times New Roman" w:cs="Times New Roman"/>
        </w:rPr>
        <w:t xml:space="preserve"> </w:t>
      </w:r>
      <w:r w:rsidRPr="00A201BE">
        <w:rPr>
          <w:rFonts w:ascii="Times New Roman" w:hAnsi="Times New Roman" w:cs="Times New Roman"/>
        </w:rPr>
        <w:t>www.mdrc.org/publication/validity-and-precision-comparative-interrupted-time-series-design-and-difference</w:t>
      </w:r>
      <w:r>
        <w:rPr>
          <w:rFonts w:ascii="Times New Roman" w:hAnsi="Times New Roman" w:cs="Times New Roman"/>
        </w:rPr>
        <w:t>.</w:t>
      </w:r>
    </w:p>
    <w:p w14:paraId="2CF1C22F" w14:textId="77777777" w:rsidR="003C1D14" w:rsidRDefault="003C1D14" w:rsidP="003C1D14">
      <w:pPr>
        <w:pStyle w:val="ListParagraph"/>
        <w:numPr>
          <w:ilvl w:val="0"/>
          <w:numId w:val="1"/>
        </w:numPr>
        <w:spacing w:line="480" w:lineRule="auto"/>
        <w:rPr>
          <w:rFonts w:ascii="Times New Roman" w:hAnsi="Times New Roman" w:cs="Times New Roman"/>
        </w:rPr>
      </w:pPr>
      <w:r w:rsidRPr="00A201BE">
        <w:rPr>
          <w:rFonts w:ascii="Times New Roman" w:hAnsi="Times New Roman" w:cs="Times New Roman"/>
        </w:rPr>
        <w:t xml:space="preserve">Linden A, Adams JL. Applying a propensity score-based weighting model to interrupted time series data: improving causal inference in </w:t>
      </w:r>
      <w:proofErr w:type="spellStart"/>
      <w:r w:rsidRPr="00A201BE">
        <w:rPr>
          <w:rFonts w:ascii="Times New Roman" w:hAnsi="Times New Roman" w:cs="Times New Roman"/>
        </w:rPr>
        <w:t>programme</w:t>
      </w:r>
      <w:proofErr w:type="spellEnd"/>
      <w:r w:rsidRPr="00A201BE">
        <w:rPr>
          <w:rFonts w:ascii="Times New Roman" w:hAnsi="Times New Roman" w:cs="Times New Roman"/>
        </w:rPr>
        <w:t xml:space="preserve"> evaluation. </w:t>
      </w:r>
      <w:r w:rsidRPr="00A201BE">
        <w:rPr>
          <w:rFonts w:ascii="Times New Roman" w:hAnsi="Times New Roman" w:cs="Times New Roman"/>
          <w:i/>
        </w:rPr>
        <w:t xml:space="preserve">J Eval Clin </w:t>
      </w:r>
      <w:proofErr w:type="spellStart"/>
      <w:r w:rsidRPr="00A201BE">
        <w:rPr>
          <w:rFonts w:ascii="Times New Roman" w:hAnsi="Times New Roman" w:cs="Times New Roman"/>
          <w:i/>
        </w:rPr>
        <w:t>Pract</w:t>
      </w:r>
      <w:proofErr w:type="spellEnd"/>
      <w:r w:rsidRPr="00A201BE">
        <w:rPr>
          <w:rFonts w:ascii="Times New Roman" w:hAnsi="Times New Roman" w:cs="Times New Roman"/>
        </w:rPr>
        <w:t>. 2011;17(6):1231–1238.</w:t>
      </w:r>
      <w:r>
        <w:rPr>
          <w:rFonts w:ascii="Times New Roman" w:hAnsi="Times New Roman" w:cs="Times New Roman"/>
        </w:rPr>
        <w:t xml:space="preserve"> </w:t>
      </w:r>
      <w:hyperlink r:id="rId16" w:history="1">
        <w:r w:rsidRPr="00F86BAE">
          <w:rPr>
            <w:rStyle w:val="Hyperlink"/>
            <w:rFonts w:ascii="Times New Roman" w:hAnsi="Times New Roman" w:cs="Times New Roman"/>
          </w:rPr>
          <w:t>https://doi.org/10.1111/j.1365-2753.2010.01504.x</w:t>
        </w:r>
      </w:hyperlink>
      <w:r>
        <w:rPr>
          <w:rFonts w:ascii="Times New Roman" w:hAnsi="Times New Roman" w:cs="Times New Roman"/>
        </w:rPr>
        <w:t>.</w:t>
      </w:r>
    </w:p>
    <w:p w14:paraId="51B34882" w14:textId="77777777" w:rsidR="003C1D14" w:rsidRDefault="003C1D14" w:rsidP="003C1D14">
      <w:pPr>
        <w:pStyle w:val="ListParagraph"/>
        <w:numPr>
          <w:ilvl w:val="0"/>
          <w:numId w:val="1"/>
        </w:numPr>
        <w:spacing w:line="480" w:lineRule="auto"/>
        <w:rPr>
          <w:rFonts w:ascii="Times New Roman" w:hAnsi="Times New Roman" w:cs="Times New Roman"/>
        </w:rPr>
      </w:pPr>
      <w:r w:rsidRPr="00A201BE">
        <w:rPr>
          <w:rFonts w:ascii="Times New Roman" w:hAnsi="Times New Roman" w:cs="Times New Roman"/>
        </w:rPr>
        <w:lastRenderedPageBreak/>
        <w:t xml:space="preserve">Linden A. Conducting interrupted time-series analysis for single-and multiple-group comparisons. </w:t>
      </w:r>
      <w:r w:rsidRPr="00A201BE">
        <w:rPr>
          <w:rFonts w:ascii="Times New Roman" w:hAnsi="Times New Roman" w:cs="Times New Roman"/>
          <w:i/>
        </w:rPr>
        <w:t>Stata J</w:t>
      </w:r>
      <w:r w:rsidRPr="00A201BE">
        <w:rPr>
          <w:rFonts w:ascii="Times New Roman" w:hAnsi="Times New Roman" w:cs="Times New Roman"/>
        </w:rPr>
        <w:t>. 2015;15(2):480–500.</w:t>
      </w:r>
      <w:r>
        <w:rPr>
          <w:rFonts w:ascii="Times New Roman" w:hAnsi="Times New Roman" w:cs="Times New Roman"/>
        </w:rPr>
        <w:t xml:space="preserve"> </w:t>
      </w:r>
      <w:hyperlink r:id="rId17" w:history="1">
        <w:r w:rsidRPr="00F86BAE">
          <w:rPr>
            <w:rStyle w:val="Hyperlink"/>
            <w:rFonts w:ascii="Times New Roman" w:hAnsi="Times New Roman" w:cs="Times New Roman"/>
          </w:rPr>
          <w:t>https://doi.org/10.1177/1536867x1501500208</w:t>
        </w:r>
      </w:hyperlink>
      <w:r>
        <w:rPr>
          <w:rFonts w:ascii="Times New Roman" w:hAnsi="Times New Roman" w:cs="Times New Roman"/>
        </w:rPr>
        <w:t>.</w:t>
      </w:r>
    </w:p>
    <w:p w14:paraId="65F18F59" w14:textId="77777777" w:rsidR="003C1D14" w:rsidRDefault="003C1D14" w:rsidP="003C1D14">
      <w:pPr>
        <w:pStyle w:val="ListParagraph"/>
        <w:numPr>
          <w:ilvl w:val="0"/>
          <w:numId w:val="1"/>
        </w:numPr>
        <w:spacing w:line="480" w:lineRule="auto"/>
        <w:rPr>
          <w:rFonts w:ascii="Times New Roman" w:hAnsi="Times New Roman" w:cs="Times New Roman"/>
        </w:rPr>
      </w:pPr>
      <w:r w:rsidRPr="00A201BE">
        <w:rPr>
          <w:rFonts w:ascii="Times New Roman" w:hAnsi="Times New Roman" w:cs="Times New Roman"/>
        </w:rPr>
        <w:t xml:space="preserve">Cottrell EK, </w:t>
      </w:r>
      <w:proofErr w:type="spellStart"/>
      <w:r w:rsidRPr="00A201BE">
        <w:rPr>
          <w:rFonts w:ascii="Times New Roman" w:hAnsi="Times New Roman" w:cs="Times New Roman"/>
        </w:rPr>
        <w:t>Dambrun</w:t>
      </w:r>
      <w:proofErr w:type="spellEnd"/>
      <w:r w:rsidRPr="00A201BE">
        <w:rPr>
          <w:rFonts w:ascii="Times New Roman" w:hAnsi="Times New Roman" w:cs="Times New Roman"/>
        </w:rPr>
        <w:t xml:space="preserve"> K, </w:t>
      </w:r>
      <w:proofErr w:type="spellStart"/>
      <w:r w:rsidRPr="00A201BE">
        <w:rPr>
          <w:rFonts w:ascii="Times New Roman" w:hAnsi="Times New Roman" w:cs="Times New Roman"/>
        </w:rPr>
        <w:t>Cowburn</w:t>
      </w:r>
      <w:proofErr w:type="spellEnd"/>
      <w:r w:rsidRPr="00A201BE">
        <w:rPr>
          <w:rFonts w:ascii="Times New Roman" w:hAnsi="Times New Roman" w:cs="Times New Roman"/>
        </w:rPr>
        <w:t xml:space="preserve"> S, et al. Variation in electronic health record documentation of social determinants of health across a national network of community health centers. </w:t>
      </w:r>
      <w:r w:rsidRPr="00A201BE">
        <w:rPr>
          <w:rFonts w:ascii="Times New Roman" w:hAnsi="Times New Roman" w:cs="Times New Roman"/>
          <w:i/>
        </w:rPr>
        <w:t xml:space="preserve">Am J </w:t>
      </w:r>
      <w:proofErr w:type="spellStart"/>
      <w:r w:rsidRPr="00A201BE">
        <w:rPr>
          <w:rFonts w:ascii="Times New Roman" w:hAnsi="Times New Roman" w:cs="Times New Roman"/>
          <w:i/>
        </w:rPr>
        <w:t>Prev</w:t>
      </w:r>
      <w:proofErr w:type="spellEnd"/>
      <w:r w:rsidRPr="00A201BE">
        <w:rPr>
          <w:rFonts w:ascii="Times New Roman" w:hAnsi="Times New Roman" w:cs="Times New Roman"/>
          <w:i/>
        </w:rPr>
        <w:t xml:space="preserve"> Med</w:t>
      </w:r>
      <w:r w:rsidRPr="00A201BE">
        <w:rPr>
          <w:rFonts w:ascii="Times New Roman" w:hAnsi="Times New Roman" w:cs="Times New Roman"/>
        </w:rPr>
        <w:t>. 2019;57(6</w:t>
      </w:r>
      <w:r>
        <w:rPr>
          <w:rFonts w:ascii="Times New Roman" w:hAnsi="Times New Roman" w:cs="Times New Roman"/>
        </w:rPr>
        <w:t xml:space="preserve"> suppl 1</w:t>
      </w:r>
      <w:proofErr w:type="gramStart"/>
      <w:r w:rsidRPr="00A201BE">
        <w:rPr>
          <w:rFonts w:ascii="Times New Roman" w:hAnsi="Times New Roman" w:cs="Times New Roman"/>
        </w:rPr>
        <w:t>):S</w:t>
      </w:r>
      <w:proofErr w:type="gramEnd"/>
      <w:r w:rsidRPr="00A201BE">
        <w:rPr>
          <w:rFonts w:ascii="Times New Roman" w:hAnsi="Times New Roman" w:cs="Times New Roman"/>
        </w:rPr>
        <w:t>65</w:t>
      </w:r>
      <w:r>
        <w:rPr>
          <w:rFonts w:ascii="Times New Roman" w:hAnsi="Times New Roman" w:cs="Times New Roman"/>
        </w:rPr>
        <w:t>‒</w:t>
      </w:r>
      <w:r w:rsidRPr="00A201BE">
        <w:rPr>
          <w:rFonts w:ascii="Times New Roman" w:hAnsi="Times New Roman" w:cs="Times New Roman"/>
        </w:rPr>
        <w:t xml:space="preserve">S73. </w:t>
      </w:r>
      <w:hyperlink r:id="rId18" w:history="1">
        <w:r w:rsidRPr="00F86BAE">
          <w:rPr>
            <w:rStyle w:val="Hyperlink"/>
            <w:rFonts w:ascii="Times New Roman" w:hAnsi="Times New Roman" w:cs="Times New Roman"/>
          </w:rPr>
          <w:t>https://doi.org/10.1016/j.amepre.2019.07.014</w:t>
        </w:r>
      </w:hyperlink>
      <w:r>
        <w:rPr>
          <w:rFonts w:ascii="Times New Roman" w:hAnsi="Times New Roman" w:cs="Times New Roman"/>
        </w:rPr>
        <w:t>.</w:t>
      </w:r>
    </w:p>
    <w:p w14:paraId="7F15274A" w14:textId="77777777" w:rsidR="003C1D14" w:rsidRDefault="003C1D14" w:rsidP="003C1D14">
      <w:pPr>
        <w:pStyle w:val="ListParagraph"/>
        <w:numPr>
          <w:ilvl w:val="0"/>
          <w:numId w:val="1"/>
        </w:numPr>
        <w:spacing w:line="480" w:lineRule="auto"/>
        <w:rPr>
          <w:rFonts w:ascii="Times New Roman" w:hAnsi="Times New Roman" w:cs="Times New Roman"/>
        </w:rPr>
      </w:pPr>
      <w:proofErr w:type="spellStart"/>
      <w:r w:rsidRPr="00A201BE">
        <w:rPr>
          <w:rFonts w:ascii="Times New Roman" w:hAnsi="Times New Roman" w:cs="Times New Roman"/>
        </w:rPr>
        <w:t>Fraze</w:t>
      </w:r>
      <w:proofErr w:type="spellEnd"/>
      <w:r w:rsidRPr="00A201BE">
        <w:rPr>
          <w:rFonts w:ascii="Times New Roman" w:hAnsi="Times New Roman" w:cs="Times New Roman"/>
        </w:rPr>
        <w:t xml:space="preserve"> TK, Brewster AL, Lewis VA, </w:t>
      </w:r>
      <w:proofErr w:type="spellStart"/>
      <w:r w:rsidRPr="00A201BE">
        <w:rPr>
          <w:rFonts w:ascii="Times New Roman" w:hAnsi="Times New Roman" w:cs="Times New Roman"/>
        </w:rPr>
        <w:t>Beidler</w:t>
      </w:r>
      <w:proofErr w:type="spellEnd"/>
      <w:r w:rsidRPr="00A201BE">
        <w:rPr>
          <w:rFonts w:ascii="Times New Roman" w:hAnsi="Times New Roman" w:cs="Times New Roman"/>
        </w:rPr>
        <w:t xml:space="preserve"> LB, Murray GF, </w:t>
      </w:r>
      <w:proofErr w:type="spellStart"/>
      <w:r w:rsidRPr="00A201BE">
        <w:rPr>
          <w:rFonts w:ascii="Times New Roman" w:hAnsi="Times New Roman" w:cs="Times New Roman"/>
        </w:rPr>
        <w:t>Colla</w:t>
      </w:r>
      <w:proofErr w:type="spellEnd"/>
      <w:r w:rsidRPr="00A201BE">
        <w:rPr>
          <w:rFonts w:ascii="Times New Roman" w:hAnsi="Times New Roman" w:cs="Times New Roman"/>
        </w:rPr>
        <w:t xml:space="preserve"> CH. Prevalence of screening for food insecurity, housing instability, utility needs, transportation needs, and interpersonal violence by US physician practices and hospitals. </w:t>
      </w:r>
      <w:r w:rsidRPr="00A201BE">
        <w:rPr>
          <w:rFonts w:ascii="Times New Roman" w:hAnsi="Times New Roman" w:cs="Times New Roman"/>
          <w:i/>
        </w:rPr>
        <w:t xml:space="preserve">JAMA </w:t>
      </w:r>
      <w:proofErr w:type="spellStart"/>
      <w:r w:rsidRPr="00A201BE">
        <w:rPr>
          <w:rFonts w:ascii="Times New Roman" w:hAnsi="Times New Roman" w:cs="Times New Roman"/>
          <w:i/>
        </w:rPr>
        <w:t>Netw</w:t>
      </w:r>
      <w:proofErr w:type="spellEnd"/>
      <w:r w:rsidRPr="00A201BE">
        <w:rPr>
          <w:rFonts w:ascii="Times New Roman" w:hAnsi="Times New Roman" w:cs="Times New Roman"/>
          <w:i/>
        </w:rPr>
        <w:t xml:space="preserve"> Open</w:t>
      </w:r>
      <w:r w:rsidRPr="00A201BE">
        <w:rPr>
          <w:rFonts w:ascii="Times New Roman" w:hAnsi="Times New Roman" w:cs="Times New Roman"/>
        </w:rPr>
        <w:t>. 2019;2(9</w:t>
      </w:r>
      <w:proofErr w:type="gramStart"/>
      <w:r w:rsidRPr="00A201BE">
        <w:rPr>
          <w:rFonts w:ascii="Times New Roman" w:hAnsi="Times New Roman" w:cs="Times New Roman"/>
        </w:rPr>
        <w:t>):e</w:t>
      </w:r>
      <w:proofErr w:type="gramEnd"/>
      <w:r w:rsidRPr="00A201BE">
        <w:rPr>
          <w:rFonts w:ascii="Times New Roman" w:hAnsi="Times New Roman" w:cs="Times New Roman"/>
        </w:rPr>
        <w:t>1911514.</w:t>
      </w:r>
      <w:r>
        <w:rPr>
          <w:rFonts w:ascii="Times New Roman" w:hAnsi="Times New Roman" w:cs="Times New Roman"/>
        </w:rPr>
        <w:t xml:space="preserve"> </w:t>
      </w:r>
      <w:hyperlink r:id="rId19" w:history="1">
        <w:r w:rsidRPr="00F86BAE">
          <w:rPr>
            <w:rStyle w:val="Hyperlink"/>
            <w:rFonts w:ascii="Times New Roman" w:hAnsi="Times New Roman" w:cs="Times New Roman"/>
          </w:rPr>
          <w:t>https://doi.org/10.1001/jamanetworkopen.2019.11514</w:t>
        </w:r>
      </w:hyperlink>
      <w:r>
        <w:rPr>
          <w:rFonts w:ascii="Times New Roman" w:hAnsi="Times New Roman" w:cs="Times New Roman"/>
        </w:rPr>
        <w:t>.</w:t>
      </w:r>
    </w:p>
    <w:p w14:paraId="6991398B" w14:textId="77777777" w:rsidR="003C1D14" w:rsidRDefault="003C1D14" w:rsidP="003C1D14">
      <w:pPr>
        <w:pStyle w:val="ListParagraph"/>
        <w:numPr>
          <w:ilvl w:val="0"/>
          <w:numId w:val="1"/>
        </w:numPr>
        <w:spacing w:line="480" w:lineRule="auto"/>
        <w:rPr>
          <w:rFonts w:ascii="Times New Roman" w:hAnsi="Times New Roman" w:cs="Times New Roman"/>
        </w:rPr>
      </w:pPr>
      <w:r w:rsidRPr="00A201BE">
        <w:rPr>
          <w:rFonts w:ascii="Times New Roman" w:hAnsi="Times New Roman" w:cs="Times New Roman"/>
        </w:rPr>
        <w:t xml:space="preserve">Rubin DB. Using propensity scores to help design observational studies: application to the tobacco litigation. </w:t>
      </w:r>
      <w:r w:rsidRPr="00A201BE">
        <w:rPr>
          <w:rFonts w:ascii="Times New Roman" w:hAnsi="Times New Roman" w:cs="Times New Roman"/>
          <w:i/>
        </w:rPr>
        <w:t xml:space="preserve">Health Serv Outcomes Res </w:t>
      </w:r>
      <w:proofErr w:type="spellStart"/>
      <w:r w:rsidRPr="00A201BE">
        <w:rPr>
          <w:rFonts w:ascii="Times New Roman" w:hAnsi="Times New Roman" w:cs="Times New Roman"/>
          <w:i/>
        </w:rPr>
        <w:t>Methodol</w:t>
      </w:r>
      <w:proofErr w:type="spellEnd"/>
      <w:r w:rsidRPr="00A201BE">
        <w:rPr>
          <w:rFonts w:ascii="Times New Roman" w:hAnsi="Times New Roman" w:cs="Times New Roman"/>
        </w:rPr>
        <w:t>. 2001;2(3</w:t>
      </w:r>
      <w:r>
        <w:rPr>
          <w:rFonts w:ascii="Times New Roman" w:hAnsi="Times New Roman" w:cs="Times New Roman"/>
        </w:rPr>
        <w:t>‒</w:t>
      </w:r>
      <w:r w:rsidRPr="00A201BE">
        <w:rPr>
          <w:rFonts w:ascii="Times New Roman" w:hAnsi="Times New Roman" w:cs="Times New Roman"/>
        </w:rPr>
        <w:t>4):169–188.</w:t>
      </w:r>
      <w:r>
        <w:rPr>
          <w:rFonts w:ascii="Times New Roman" w:hAnsi="Times New Roman" w:cs="Times New Roman"/>
        </w:rPr>
        <w:t xml:space="preserve"> </w:t>
      </w:r>
      <w:hyperlink r:id="rId20" w:history="1">
        <w:r w:rsidRPr="00F86BAE">
          <w:rPr>
            <w:rStyle w:val="Hyperlink"/>
            <w:rFonts w:ascii="Times New Roman" w:hAnsi="Times New Roman" w:cs="Times New Roman"/>
          </w:rPr>
          <w:t>https://doi.org/10.1017/cbo9780511810725.030</w:t>
        </w:r>
      </w:hyperlink>
      <w:r>
        <w:rPr>
          <w:rFonts w:ascii="Times New Roman" w:hAnsi="Times New Roman" w:cs="Times New Roman"/>
        </w:rPr>
        <w:t>.</w:t>
      </w:r>
    </w:p>
    <w:p w14:paraId="0359667C" w14:textId="77777777" w:rsidR="003C1D14" w:rsidRDefault="003C1D14" w:rsidP="003C1D14">
      <w:pPr>
        <w:pStyle w:val="ListParagraph"/>
        <w:numPr>
          <w:ilvl w:val="0"/>
          <w:numId w:val="1"/>
        </w:numPr>
        <w:spacing w:line="480" w:lineRule="auto"/>
        <w:rPr>
          <w:rFonts w:ascii="Times New Roman" w:hAnsi="Times New Roman" w:cs="Times New Roman"/>
        </w:rPr>
      </w:pPr>
      <w:r w:rsidRPr="00A201BE">
        <w:rPr>
          <w:rFonts w:ascii="Times New Roman" w:hAnsi="Times New Roman" w:cs="Times New Roman"/>
        </w:rPr>
        <w:t xml:space="preserve">Cohen J. </w:t>
      </w:r>
      <w:r w:rsidRPr="00A201BE">
        <w:rPr>
          <w:rFonts w:ascii="Times New Roman" w:hAnsi="Times New Roman" w:cs="Times New Roman"/>
          <w:i/>
        </w:rPr>
        <w:t>Statistical Power Analysis for the Behavioral Sciences</w:t>
      </w:r>
      <w:r w:rsidRPr="00A201BE">
        <w:rPr>
          <w:rFonts w:ascii="Times New Roman" w:hAnsi="Times New Roman" w:cs="Times New Roman"/>
        </w:rPr>
        <w:t>. Routledge; 2013.</w:t>
      </w:r>
    </w:p>
    <w:p w14:paraId="17BD667C" w14:textId="77777777" w:rsidR="003C1D14" w:rsidRDefault="003C1D14" w:rsidP="003C1D14">
      <w:pPr>
        <w:spacing w:line="480" w:lineRule="auto"/>
      </w:pPr>
    </w:p>
    <w:p w14:paraId="581168CE" w14:textId="77777777" w:rsidR="003C1D14" w:rsidRDefault="003C1D14" w:rsidP="003C1D14">
      <w:r>
        <w:br w:type="page"/>
      </w:r>
    </w:p>
    <w:p w14:paraId="2EEE84CC" w14:textId="77777777" w:rsidR="003C1D14" w:rsidRPr="0070186D" w:rsidRDefault="003C1D14" w:rsidP="003C1D14">
      <w:pPr>
        <w:contextualSpacing/>
      </w:pPr>
      <w:r w:rsidRPr="005F2252">
        <w:rPr>
          <w:rFonts w:eastAsia="Times New Roman"/>
          <w:b/>
        </w:rPr>
        <w:lastRenderedPageBreak/>
        <w:t>Appendix Table 1.</w:t>
      </w:r>
      <w:r w:rsidRPr="0070186D">
        <w:rPr>
          <w:rFonts w:eastAsia="Times New Roman"/>
        </w:rPr>
        <w:t xml:space="preserve"> Clinical Classification Software </w:t>
      </w:r>
      <w:r>
        <w:rPr>
          <w:rFonts w:eastAsia="Times New Roman"/>
        </w:rPr>
        <w:t xml:space="preserve">(CCS) </w:t>
      </w:r>
      <w:r w:rsidRPr="0070186D">
        <w:rPr>
          <w:rFonts w:eastAsia="Times New Roman"/>
        </w:rPr>
        <w:t>Codes for Psychiatric Admission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6581"/>
      </w:tblGrid>
      <w:tr w:rsidR="003C1D14" w:rsidRPr="0070186D" w14:paraId="75592221" w14:textId="77777777" w:rsidTr="00791082">
        <w:tc>
          <w:tcPr>
            <w:tcW w:w="0" w:type="auto"/>
            <w:tcBorders>
              <w:top w:val="single" w:sz="4" w:space="0" w:color="auto"/>
              <w:bottom w:val="single" w:sz="4" w:space="0" w:color="auto"/>
            </w:tcBorders>
            <w:hideMark/>
          </w:tcPr>
          <w:p w14:paraId="0F695769" w14:textId="77777777" w:rsidR="003C1D14" w:rsidRPr="005F2252" w:rsidRDefault="003C1D14" w:rsidP="00791082">
            <w:pPr>
              <w:contextualSpacing/>
              <w:rPr>
                <w:rFonts w:eastAsia="Times New Roman"/>
                <w:b/>
              </w:rPr>
            </w:pPr>
            <w:r w:rsidRPr="005F2252">
              <w:rPr>
                <w:rFonts w:eastAsia="Times New Roman"/>
                <w:b/>
              </w:rPr>
              <w:t>CCS code</w:t>
            </w:r>
          </w:p>
        </w:tc>
        <w:tc>
          <w:tcPr>
            <w:tcW w:w="0" w:type="auto"/>
            <w:tcBorders>
              <w:top w:val="single" w:sz="4" w:space="0" w:color="auto"/>
              <w:bottom w:val="single" w:sz="4" w:space="0" w:color="auto"/>
            </w:tcBorders>
            <w:noWrap/>
            <w:hideMark/>
          </w:tcPr>
          <w:p w14:paraId="574B0DB1" w14:textId="77777777" w:rsidR="003C1D14" w:rsidRPr="005F2252" w:rsidRDefault="003C1D14" w:rsidP="00791082">
            <w:pPr>
              <w:contextualSpacing/>
              <w:rPr>
                <w:rFonts w:eastAsia="Times New Roman"/>
                <w:b/>
              </w:rPr>
            </w:pPr>
            <w:r w:rsidRPr="005F2252">
              <w:rPr>
                <w:rFonts w:eastAsia="Times New Roman"/>
                <w:b/>
              </w:rPr>
              <w:t>Diagnosis category name</w:t>
            </w:r>
          </w:p>
        </w:tc>
      </w:tr>
      <w:tr w:rsidR="003C1D14" w:rsidRPr="0070186D" w14:paraId="31063174" w14:textId="77777777" w:rsidTr="00791082">
        <w:tc>
          <w:tcPr>
            <w:tcW w:w="0" w:type="auto"/>
            <w:tcBorders>
              <w:top w:val="single" w:sz="4" w:space="0" w:color="auto"/>
            </w:tcBorders>
            <w:shd w:val="clear" w:color="auto" w:fill="D9D9D9" w:themeFill="background1" w:themeFillShade="D9"/>
            <w:hideMark/>
          </w:tcPr>
          <w:p w14:paraId="777F3C3A" w14:textId="77777777" w:rsidR="003C1D14" w:rsidRPr="0070186D" w:rsidRDefault="003C1D14" w:rsidP="00791082">
            <w:pPr>
              <w:contextualSpacing/>
              <w:rPr>
                <w:rFonts w:eastAsia="Times New Roman"/>
              </w:rPr>
            </w:pPr>
            <w:r w:rsidRPr="0070186D">
              <w:rPr>
                <w:rFonts w:eastAsia="Times New Roman"/>
              </w:rPr>
              <w:t>650</w:t>
            </w:r>
          </w:p>
        </w:tc>
        <w:tc>
          <w:tcPr>
            <w:tcW w:w="0" w:type="auto"/>
            <w:tcBorders>
              <w:top w:val="single" w:sz="4" w:space="0" w:color="auto"/>
            </w:tcBorders>
            <w:shd w:val="clear" w:color="auto" w:fill="D9D9D9" w:themeFill="background1" w:themeFillShade="D9"/>
            <w:hideMark/>
          </w:tcPr>
          <w:p w14:paraId="6736812B" w14:textId="77777777" w:rsidR="003C1D14" w:rsidRPr="0070186D" w:rsidRDefault="003C1D14" w:rsidP="00791082">
            <w:pPr>
              <w:contextualSpacing/>
              <w:rPr>
                <w:rFonts w:eastAsia="Times New Roman"/>
              </w:rPr>
            </w:pPr>
            <w:r w:rsidRPr="0070186D">
              <w:rPr>
                <w:rFonts w:eastAsia="Times New Roman"/>
              </w:rPr>
              <w:t>Adjustment disorders</w:t>
            </w:r>
          </w:p>
        </w:tc>
      </w:tr>
      <w:tr w:rsidR="003C1D14" w:rsidRPr="0070186D" w14:paraId="07EFCE3E" w14:textId="77777777" w:rsidTr="00791082">
        <w:tc>
          <w:tcPr>
            <w:tcW w:w="0" w:type="auto"/>
            <w:hideMark/>
          </w:tcPr>
          <w:p w14:paraId="55A3F905" w14:textId="77777777" w:rsidR="003C1D14" w:rsidRPr="0070186D" w:rsidRDefault="003C1D14" w:rsidP="00791082">
            <w:pPr>
              <w:contextualSpacing/>
              <w:rPr>
                <w:rFonts w:eastAsia="Times New Roman"/>
              </w:rPr>
            </w:pPr>
            <w:r w:rsidRPr="0070186D">
              <w:rPr>
                <w:rFonts w:eastAsia="Times New Roman"/>
              </w:rPr>
              <w:t>651</w:t>
            </w:r>
          </w:p>
        </w:tc>
        <w:tc>
          <w:tcPr>
            <w:tcW w:w="0" w:type="auto"/>
            <w:hideMark/>
          </w:tcPr>
          <w:p w14:paraId="0E951268" w14:textId="77777777" w:rsidR="003C1D14" w:rsidRPr="0070186D" w:rsidRDefault="003C1D14" w:rsidP="00791082">
            <w:pPr>
              <w:contextualSpacing/>
              <w:rPr>
                <w:rFonts w:eastAsia="Times New Roman"/>
              </w:rPr>
            </w:pPr>
            <w:r w:rsidRPr="0070186D">
              <w:rPr>
                <w:rFonts w:eastAsia="Times New Roman"/>
              </w:rPr>
              <w:t>Anxiety disorders</w:t>
            </w:r>
          </w:p>
        </w:tc>
      </w:tr>
      <w:tr w:rsidR="003C1D14" w:rsidRPr="0070186D" w14:paraId="3554EE4E" w14:textId="77777777" w:rsidTr="00791082">
        <w:tc>
          <w:tcPr>
            <w:tcW w:w="0" w:type="auto"/>
            <w:shd w:val="clear" w:color="auto" w:fill="D9D9D9" w:themeFill="background1" w:themeFillShade="D9"/>
            <w:hideMark/>
          </w:tcPr>
          <w:p w14:paraId="15C7C551" w14:textId="77777777" w:rsidR="003C1D14" w:rsidRPr="0070186D" w:rsidRDefault="003C1D14" w:rsidP="00791082">
            <w:pPr>
              <w:contextualSpacing/>
              <w:rPr>
                <w:rFonts w:eastAsia="Times New Roman"/>
              </w:rPr>
            </w:pPr>
            <w:r w:rsidRPr="0070186D">
              <w:rPr>
                <w:rFonts w:eastAsia="Times New Roman"/>
              </w:rPr>
              <w:t>652</w:t>
            </w:r>
          </w:p>
        </w:tc>
        <w:tc>
          <w:tcPr>
            <w:tcW w:w="0" w:type="auto"/>
            <w:shd w:val="clear" w:color="auto" w:fill="D9D9D9" w:themeFill="background1" w:themeFillShade="D9"/>
            <w:hideMark/>
          </w:tcPr>
          <w:p w14:paraId="2BE96F05" w14:textId="77777777" w:rsidR="003C1D14" w:rsidRPr="0070186D" w:rsidRDefault="003C1D14" w:rsidP="00791082">
            <w:pPr>
              <w:contextualSpacing/>
              <w:rPr>
                <w:rFonts w:eastAsia="Times New Roman"/>
              </w:rPr>
            </w:pPr>
            <w:r w:rsidRPr="0070186D">
              <w:rPr>
                <w:rFonts w:eastAsia="Times New Roman"/>
              </w:rPr>
              <w:t>Attention-deficit, conduct, and disruptive behavior disorders</w:t>
            </w:r>
          </w:p>
        </w:tc>
      </w:tr>
      <w:tr w:rsidR="003C1D14" w:rsidRPr="0070186D" w14:paraId="70BFFF57" w14:textId="77777777" w:rsidTr="00791082">
        <w:tc>
          <w:tcPr>
            <w:tcW w:w="0" w:type="auto"/>
            <w:hideMark/>
          </w:tcPr>
          <w:p w14:paraId="1646F7DC" w14:textId="77777777" w:rsidR="003C1D14" w:rsidRPr="0070186D" w:rsidRDefault="003C1D14" w:rsidP="00791082">
            <w:pPr>
              <w:contextualSpacing/>
              <w:rPr>
                <w:rFonts w:eastAsia="Times New Roman"/>
              </w:rPr>
            </w:pPr>
            <w:r w:rsidRPr="0070186D">
              <w:rPr>
                <w:rFonts w:eastAsia="Times New Roman"/>
              </w:rPr>
              <w:t>653</w:t>
            </w:r>
          </w:p>
        </w:tc>
        <w:tc>
          <w:tcPr>
            <w:tcW w:w="0" w:type="auto"/>
            <w:hideMark/>
          </w:tcPr>
          <w:p w14:paraId="3B9F7E60" w14:textId="77777777" w:rsidR="003C1D14" w:rsidRPr="0070186D" w:rsidRDefault="003C1D14" w:rsidP="00791082">
            <w:pPr>
              <w:contextualSpacing/>
              <w:rPr>
                <w:rFonts w:eastAsia="Times New Roman"/>
              </w:rPr>
            </w:pPr>
            <w:r w:rsidRPr="0070186D">
              <w:rPr>
                <w:rFonts w:eastAsia="Times New Roman"/>
              </w:rPr>
              <w:t>Delirium, dementia, and amnestic and other cognitive disorders</w:t>
            </w:r>
          </w:p>
        </w:tc>
      </w:tr>
      <w:tr w:rsidR="003C1D14" w:rsidRPr="0070186D" w14:paraId="487A07EC" w14:textId="77777777" w:rsidTr="00791082">
        <w:tc>
          <w:tcPr>
            <w:tcW w:w="0" w:type="auto"/>
            <w:shd w:val="clear" w:color="auto" w:fill="D9D9D9" w:themeFill="background1" w:themeFillShade="D9"/>
            <w:hideMark/>
          </w:tcPr>
          <w:p w14:paraId="10B39DFA" w14:textId="77777777" w:rsidR="003C1D14" w:rsidRPr="0070186D" w:rsidRDefault="003C1D14" w:rsidP="00791082">
            <w:pPr>
              <w:contextualSpacing/>
              <w:rPr>
                <w:rFonts w:eastAsia="Times New Roman"/>
              </w:rPr>
            </w:pPr>
            <w:r w:rsidRPr="0070186D">
              <w:rPr>
                <w:rFonts w:eastAsia="Times New Roman"/>
              </w:rPr>
              <w:t>654</w:t>
            </w:r>
          </w:p>
        </w:tc>
        <w:tc>
          <w:tcPr>
            <w:tcW w:w="0" w:type="auto"/>
            <w:shd w:val="clear" w:color="auto" w:fill="D9D9D9" w:themeFill="background1" w:themeFillShade="D9"/>
            <w:hideMark/>
          </w:tcPr>
          <w:p w14:paraId="55C02C8D" w14:textId="77777777" w:rsidR="003C1D14" w:rsidRPr="0070186D" w:rsidRDefault="003C1D14" w:rsidP="00791082">
            <w:pPr>
              <w:contextualSpacing/>
              <w:rPr>
                <w:rFonts w:eastAsia="Times New Roman"/>
              </w:rPr>
            </w:pPr>
            <w:r w:rsidRPr="0070186D">
              <w:rPr>
                <w:rFonts w:eastAsia="Times New Roman"/>
              </w:rPr>
              <w:t>Developmental disorders</w:t>
            </w:r>
          </w:p>
        </w:tc>
      </w:tr>
      <w:tr w:rsidR="003C1D14" w:rsidRPr="0070186D" w14:paraId="51D60C89" w14:textId="77777777" w:rsidTr="00791082">
        <w:tc>
          <w:tcPr>
            <w:tcW w:w="0" w:type="auto"/>
            <w:hideMark/>
          </w:tcPr>
          <w:p w14:paraId="0C8EB564" w14:textId="77777777" w:rsidR="003C1D14" w:rsidRPr="0070186D" w:rsidRDefault="003C1D14" w:rsidP="00791082">
            <w:pPr>
              <w:contextualSpacing/>
              <w:rPr>
                <w:rFonts w:eastAsia="Times New Roman"/>
              </w:rPr>
            </w:pPr>
            <w:r w:rsidRPr="0070186D">
              <w:rPr>
                <w:rFonts w:eastAsia="Times New Roman"/>
              </w:rPr>
              <w:t>655</w:t>
            </w:r>
          </w:p>
        </w:tc>
        <w:tc>
          <w:tcPr>
            <w:tcW w:w="0" w:type="auto"/>
            <w:hideMark/>
          </w:tcPr>
          <w:p w14:paraId="59D169D6" w14:textId="77777777" w:rsidR="003C1D14" w:rsidRPr="0070186D" w:rsidRDefault="003C1D14" w:rsidP="00791082">
            <w:pPr>
              <w:contextualSpacing/>
              <w:rPr>
                <w:rFonts w:eastAsia="Times New Roman"/>
              </w:rPr>
            </w:pPr>
            <w:r w:rsidRPr="0070186D">
              <w:rPr>
                <w:rFonts w:eastAsia="Times New Roman"/>
              </w:rPr>
              <w:t>Disorders usually diagnosed in infancy, childhood, or adolescence</w:t>
            </w:r>
          </w:p>
        </w:tc>
      </w:tr>
      <w:tr w:rsidR="003C1D14" w:rsidRPr="0070186D" w14:paraId="21060B90" w14:textId="77777777" w:rsidTr="00791082">
        <w:tc>
          <w:tcPr>
            <w:tcW w:w="0" w:type="auto"/>
            <w:shd w:val="clear" w:color="auto" w:fill="D9D9D9" w:themeFill="background1" w:themeFillShade="D9"/>
            <w:hideMark/>
          </w:tcPr>
          <w:p w14:paraId="1BABBCC9" w14:textId="77777777" w:rsidR="003C1D14" w:rsidRPr="0070186D" w:rsidRDefault="003C1D14" w:rsidP="00791082">
            <w:pPr>
              <w:contextualSpacing/>
              <w:rPr>
                <w:rFonts w:eastAsia="Times New Roman"/>
              </w:rPr>
            </w:pPr>
            <w:r w:rsidRPr="0070186D">
              <w:rPr>
                <w:rFonts w:eastAsia="Times New Roman"/>
              </w:rPr>
              <w:t>656</w:t>
            </w:r>
          </w:p>
        </w:tc>
        <w:tc>
          <w:tcPr>
            <w:tcW w:w="0" w:type="auto"/>
            <w:shd w:val="clear" w:color="auto" w:fill="D9D9D9" w:themeFill="background1" w:themeFillShade="D9"/>
            <w:hideMark/>
          </w:tcPr>
          <w:p w14:paraId="26763CC5" w14:textId="77777777" w:rsidR="003C1D14" w:rsidRPr="0070186D" w:rsidRDefault="003C1D14" w:rsidP="00791082">
            <w:pPr>
              <w:contextualSpacing/>
              <w:rPr>
                <w:rFonts w:eastAsia="Times New Roman"/>
              </w:rPr>
            </w:pPr>
            <w:r w:rsidRPr="0070186D">
              <w:rPr>
                <w:rFonts w:eastAsia="Times New Roman"/>
              </w:rPr>
              <w:t>Impulse control disorders, not otherwise classified</w:t>
            </w:r>
          </w:p>
        </w:tc>
      </w:tr>
      <w:tr w:rsidR="003C1D14" w:rsidRPr="0070186D" w14:paraId="7A3C2E74" w14:textId="77777777" w:rsidTr="00791082">
        <w:tc>
          <w:tcPr>
            <w:tcW w:w="0" w:type="auto"/>
          </w:tcPr>
          <w:p w14:paraId="7FF65D6A" w14:textId="77777777" w:rsidR="003C1D14" w:rsidRPr="0070186D" w:rsidRDefault="003C1D14" w:rsidP="00791082">
            <w:pPr>
              <w:contextualSpacing/>
              <w:rPr>
                <w:rFonts w:eastAsia="Times New Roman"/>
              </w:rPr>
            </w:pPr>
            <w:r w:rsidRPr="0070186D">
              <w:rPr>
                <w:rFonts w:eastAsia="Times New Roman"/>
              </w:rPr>
              <w:t>657</w:t>
            </w:r>
          </w:p>
        </w:tc>
        <w:tc>
          <w:tcPr>
            <w:tcW w:w="0" w:type="auto"/>
          </w:tcPr>
          <w:p w14:paraId="296A9E00" w14:textId="77777777" w:rsidR="003C1D14" w:rsidRPr="0070186D" w:rsidRDefault="003C1D14" w:rsidP="00791082">
            <w:pPr>
              <w:contextualSpacing/>
              <w:rPr>
                <w:rFonts w:eastAsia="Times New Roman"/>
              </w:rPr>
            </w:pPr>
            <w:r w:rsidRPr="0070186D">
              <w:rPr>
                <w:rFonts w:eastAsia="Times New Roman"/>
              </w:rPr>
              <w:t>Mood disorders</w:t>
            </w:r>
          </w:p>
        </w:tc>
      </w:tr>
      <w:tr w:rsidR="003C1D14" w:rsidRPr="0070186D" w14:paraId="004C8394" w14:textId="77777777" w:rsidTr="00791082">
        <w:tc>
          <w:tcPr>
            <w:tcW w:w="0" w:type="auto"/>
            <w:shd w:val="clear" w:color="auto" w:fill="D9D9D9" w:themeFill="background1" w:themeFillShade="D9"/>
          </w:tcPr>
          <w:p w14:paraId="71CF0AC7" w14:textId="77777777" w:rsidR="003C1D14" w:rsidRPr="0070186D" w:rsidRDefault="003C1D14" w:rsidP="00791082">
            <w:pPr>
              <w:contextualSpacing/>
              <w:rPr>
                <w:rFonts w:eastAsia="Times New Roman"/>
              </w:rPr>
            </w:pPr>
            <w:r w:rsidRPr="0070186D">
              <w:rPr>
                <w:rFonts w:eastAsia="Times New Roman"/>
              </w:rPr>
              <w:t>658</w:t>
            </w:r>
          </w:p>
        </w:tc>
        <w:tc>
          <w:tcPr>
            <w:tcW w:w="0" w:type="auto"/>
            <w:shd w:val="clear" w:color="auto" w:fill="D9D9D9" w:themeFill="background1" w:themeFillShade="D9"/>
          </w:tcPr>
          <w:p w14:paraId="2EDD7133" w14:textId="77777777" w:rsidR="003C1D14" w:rsidRPr="0070186D" w:rsidRDefault="003C1D14" w:rsidP="00791082">
            <w:pPr>
              <w:contextualSpacing/>
              <w:rPr>
                <w:rFonts w:eastAsia="Times New Roman"/>
              </w:rPr>
            </w:pPr>
            <w:r w:rsidRPr="0070186D">
              <w:rPr>
                <w:rFonts w:eastAsia="Times New Roman"/>
              </w:rPr>
              <w:t>Personality disorders</w:t>
            </w:r>
          </w:p>
        </w:tc>
      </w:tr>
      <w:tr w:rsidR="003C1D14" w:rsidRPr="0070186D" w14:paraId="1406DDB8" w14:textId="77777777" w:rsidTr="00791082">
        <w:tc>
          <w:tcPr>
            <w:tcW w:w="0" w:type="auto"/>
          </w:tcPr>
          <w:p w14:paraId="12607446" w14:textId="77777777" w:rsidR="003C1D14" w:rsidRPr="0070186D" w:rsidRDefault="003C1D14" w:rsidP="00791082">
            <w:pPr>
              <w:contextualSpacing/>
              <w:rPr>
                <w:rFonts w:eastAsia="Times New Roman"/>
              </w:rPr>
            </w:pPr>
            <w:r w:rsidRPr="0070186D">
              <w:rPr>
                <w:rFonts w:eastAsia="Times New Roman"/>
              </w:rPr>
              <w:t>659</w:t>
            </w:r>
          </w:p>
        </w:tc>
        <w:tc>
          <w:tcPr>
            <w:tcW w:w="0" w:type="auto"/>
          </w:tcPr>
          <w:p w14:paraId="19595B0E" w14:textId="77777777" w:rsidR="003C1D14" w:rsidRPr="0070186D" w:rsidRDefault="003C1D14" w:rsidP="00791082">
            <w:pPr>
              <w:contextualSpacing/>
              <w:rPr>
                <w:rFonts w:eastAsia="Times New Roman"/>
              </w:rPr>
            </w:pPr>
            <w:r w:rsidRPr="0070186D">
              <w:rPr>
                <w:rFonts w:eastAsia="Times New Roman"/>
              </w:rPr>
              <w:t>Schizophrenia and other psychotic disorders</w:t>
            </w:r>
          </w:p>
        </w:tc>
      </w:tr>
      <w:tr w:rsidR="003C1D14" w:rsidRPr="0070186D" w14:paraId="0C5A0744" w14:textId="77777777" w:rsidTr="00791082">
        <w:tc>
          <w:tcPr>
            <w:tcW w:w="0" w:type="auto"/>
            <w:shd w:val="clear" w:color="auto" w:fill="D9D9D9" w:themeFill="background1" w:themeFillShade="D9"/>
          </w:tcPr>
          <w:p w14:paraId="66749944" w14:textId="77777777" w:rsidR="003C1D14" w:rsidRPr="0070186D" w:rsidRDefault="003C1D14" w:rsidP="00791082">
            <w:pPr>
              <w:contextualSpacing/>
              <w:rPr>
                <w:rFonts w:eastAsia="Times New Roman"/>
              </w:rPr>
            </w:pPr>
            <w:r w:rsidRPr="0070186D">
              <w:rPr>
                <w:rFonts w:eastAsia="Times New Roman"/>
              </w:rPr>
              <w:t>660</w:t>
            </w:r>
          </w:p>
        </w:tc>
        <w:tc>
          <w:tcPr>
            <w:tcW w:w="0" w:type="auto"/>
            <w:shd w:val="clear" w:color="auto" w:fill="D9D9D9" w:themeFill="background1" w:themeFillShade="D9"/>
          </w:tcPr>
          <w:p w14:paraId="2228A54C" w14:textId="77777777" w:rsidR="003C1D14" w:rsidRPr="0070186D" w:rsidRDefault="003C1D14" w:rsidP="00791082">
            <w:pPr>
              <w:contextualSpacing/>
              <w:rPr>
                <w:rFonts w:eastAsia="Times New Roman"/>
              </w:rPr>
            </w:pPr>
            <w:r w:rsidRPr="0070186D">
              <w:rPr>
                <w:rFonts w:eastAsia="Times New Roman"/>
              </w:rPr>
              <w:t>Alcohol-related disorders</w:t>
            </w:r>
          </w:p>
        </w:tc>
      </w:tr>
      <w:tr w:rsidR="003C1D14" w:rsidRPr="0070186D" w14:paraId="781B21F2" w14:textId="77777777" w:rsidTr="00791082">
        <w:tc>
          <w:tcPr>
            <w:tcW w:w="0" w:type="auto"/>
          </w:tcPr>
          <w:p w14:paraId="74D56715" w14:textId="77777777" w:rsidR="003C1D14" w:rsidRPr="0070186D" w:rsidRDefault="003C1D14" w:rsidP="00791082">
            <w:pPr>
              <w:contextualSpacing/>
              <w:rPr>
                <w:rFonts w:eastAsia="Times New Roman"/>
              </w:rPr>
            </w:pPr>
            <w:r w:rsidRPr="0070186D">
              <w:rPr>
                <w:rFonts w:eastAsia="Times New Roman"/>
              </w:rPr>
              <w:t>661</w:t>
            </w:r>
          </w:p>
        </w:tc>
        <w:tc>
          <w:tcPr>
            <w:tcW w:w="0" w:type="auto"/>
          </w:tcPr>
          <w:p w14:paraId="39E0975A" w14:textId="77777777" w:rsidR="003C1D14" w:rsidRPr="0070186D" w:rsidRDefault="003C1D14" w:rsidP="00791082">
            <w:pPr>
              <w:contextualSpacing/>
              <w:rPr>
                <w:rFonts w:eastAsia="Times New Roman"/>
              </w:rPr>
            </w:pPr>
            <w:r w:rsidRPr="0070186D">
              <w:rPr>
                <w:rFonts w:eastAsia="Times New Roman"/>
              </w:rPr>
              <w:t>Substance-related disorders</w:t>
            </w:r>
          </w:p>
        </w:tc>
      </w:tr>
      <w:tr w:rsidR="003C1D14" w:rsidRPr="0070186D" w14:paraId="7F57D0D7" w14:textId="77777777" w:rsidTr="00791082">
        <w:tc>
          <w:tcPr>
            <w:tcW w:w="0" w:type="auto"/>
            <w:shd w:val="clear" w:color="auto" w:fill="D9D9D9" w:themeFill="background1" w:themeFillShade="D9"/>
          </w:tcPr>
          <w:p w14:paraId="43F24157" w14:textId="77777777" w:rsidR="003C1D14" w:rsidRPr="0070186D" w:rsidRDefault="003C1D14" w:rsidP="00791082">
            <w:pPr>
              <w:contextualSpacing/>
              <w:rPr>
                <w:rFonts w:eastAsia="Times New Roman"/>
              </w:rPr>
            </w:pPr>
            <w:r w:rsidRPr="0070186D">
              <w:rPr>
                <w:rFonts w:eastAsia="Times New Roman"/>
              </w:rPr>
              <w:t>662</w:t>
            </w:r>
          </w:p>
        </w:tc>
        <w:tc>
          <w:tcPr>
            <w:tcW w:w="0" w:type="auto"/>
            <w:shd w:val="clear" w:color="auto" w:fill="D9D9D9" w:themeFill="background1" w:themeFillShade="D9"/>
          </w:tcPr>
          <w:p w14:paraId="3FC18D55" w14:textId="77777777" w:rsidR="003C1D14" w:rsidRPr="0070186D" w:rsidRDefault="003C1D14" w:rsidP="00791082">
            <w:pPr>
              <w:contextualSpacing/>
              <w:rPr>
                <w:rFonts w:eastAsia="Times New Roman"/>
              </w:rPr>
            </w:pPr>
            <w:r w:rsidRPr="0070186D">
              <w:rPr>
                <w:rFonts w:eastAsia="Times New Roman"/>
              </w:rPr>
              <w:t>Suicide and intentional self-inflicted injury</w:t>
            </w:r>
          </w:p>
        </w:tc>
      </w:tr>
      <w:tr w:rsidR="003C1D14" w:rsidRPr="0070186D" w14:paraId="734F9D1A" w14:textId="77777777" w:rsidTr="00791082">
        <w:tc>
          <w:tcPr>
            <w:tcW w:w="0" w:type="auto"/>
          </w:tcPr>
          <w:p w14:paraId="66F3B593" w14:textId="77777777" w:rsidR="003C1D14" w:rsidRPr="0070186D" w:rsidRDefault="003C1D14" w:rsidP="00791082">
            <w:pPr>
              <w:contextualSpacing/>
              <w:rPr>
                <w:rFonts w:eastAsia="Times New Roman"/>
              </w:rPr>
            </w:pPr>
            <w:r w:rsidRPr="0070186D">
              <w:rPr>
                <w:rFonts w:eastAsia="Times New Roman"/>
              </w:rPr>
              <w:t>670</w:t>
            </w:r>
          </w:p>
        </w:tc>
        <w:tc>
          <w:tcPr>
            <w:tcW w:w="0" w:type="auto"/>
          </w:tcPr>
          <w:p w14:paraId="2E89B0C7" w14:textId="77777777" w:rsidR="003C1D14" w:rsidRPr="0070186D" w:rsidRDefault="003C1D14" w:rsidP="00791082">
            <w:pPr>
              <w:contextualSpacing/>
              <w:rPr>
                <w:rFonts w:eastAsia="Times New Roman"/>
              </w:rPr>
            </w:pPr>
            <w:r w:rsidRPr="0070186D">
              <w:rPr>
                <w:rFonts w:eastAsia="Times New Roman"/>
              </w:rPr>
              <w:t>Miscellaneous mental health disorders</w:t>
            </w:r>
          </w:p>
        </w:tc>
      </w:tr>
    </w:tbl>
    <w:p w14:paraId="504AF457" w14:textId="77777777" w:rsidR="003C1D14" w:rsidRPr="0070186D" w:rsidRDefault="003C1D14" w:rsidP="003C1D14">
      <w:pPr>
        <w:contextualSpacing/>
        <w:rPr>
          <w:rFonts w:eastAsia="Times New Roman"/>
        </w:rPr>
      </w:pPr>
      <w:r w:rsidRPr="0070186D">
        <w:rPr>
          <w:rFonts w:eastAsia="Times New Roman"/>
          <w:i/>
          <w:iCs/>
        </w:rPr>
        <w:t>Source</w:t>
      </w:r>
      <w:r w:rsidRPr="005F2252">
        <w:rPr>
          <w:rFonts w:eastAsia="Times New Roman"/>
          <w:iCs/>
        </w:rPr>
        <w:t>:</w:t>
      </w:r>
      <w:r w:rsidRPr="005F2252">
        <w:rPr>
          <w:rFonts w:eastAsia="Times New Roman"/>
        </w:rPr>
        <w:t xml:space="preserve"> </w:t>
      </w:r>
      <w:r w:rsidRPr="0070186D">
        <w:rPr>
          <w:rFonts w:eastAsia="Times New Roman"/>
        </w:rPr>
        <w:t>A</w:t>
      </w:r>
      <w:r>
        <w:rPr>
          <w:rFonts w:eastAsia="Times New Roman"/>
        </w:rPr>
        <w:t xml:space="preserve">gency for </w:t>
      </w:r>
      <w:r w:rsidRPr="0070186D">
        <w:rPr>
          <w:rFonts w:eastAsia="Times New Roman"/>
        </w:rPr>
        <w:t>H</w:t>
      </w:r>
      <w:r>
        <w:rPr>
          <w:rFonts w:eastAsia="Times New Roman"/>
        </w:rPr>
        <w:t xml:space="preserve">ealthcare </w:t>
      </w:r>
      <w:r w:rsidRPr="0070186D">
        <w:rPr>
          <w:rFonts w:eastAsia="Times New Roman"/>
        </w:rPr>
        <w:t>R</w:t>
      </w:r>
      <w:r>
        <w:rPr>
          <w:rFonts w:eastAsia="Times New Roman"/>
        </w:rPr>
        <w:t xml:space="preserve">esearch and </w:t>
      </w:r>
      <w:r w:rsidRPr="0070186D">
        <w:rPr>
          <w:rFonts w:eastAsia="Times New Roman"/>
        </w:rPr>
        <w:t>Q</w:t>
      </w:r>
      <w:r>
        <w:rPr>
          <w:rFonts w:eastAsia="Times New Roman"/>
        </w:rPr>
        <w:t>uality</w:t>
      </w:r>
      <w:r w:rsidRPr="0070186D">
        <w:rPr>
          <w:rFonts w:eastAsia="Times New Roman"/>
        </w:rPr>
        <w:t xml:space="preserve"> Health Care Cost and Utilization Project</w:t>
      </w:r>
      <w:r>
        <w:rPr>
          <w:rFonts w:eastAsia="Times New Roman"/>
        </w:rPr>
        <w:t>.</w:t>
      </w:r>
    </w:p>
    <w:p w14:paraId="668C9E38" w14:textId="77777777" w:rsidR="003C1D14" w:rsidRPr="0070186D" w:rsidRDefault="003C1D14" w:rsidP="003C1D14">
      <w:pPr>
        <w:contextualSpacing/>
      </w:pPr>
    </w:p>
    <w:p w14:paraId="3B9ECAC5" w14:textId="77777777" w:rsidR="003C1D14" w:rsidRDefault="003C1D14" w:rsidP="003C1D14">
      <w:pPr>
        <w:contextualSpacing/>
        <w:sectPr w:rsidR="003C1D14" w:rsidSect="00CF404A">
          <w:pgSz w:w="12240" w:h="15840"/>
          <w:pgMar w:top="1440" w:right="1440" w:bottom="1440" w:left="1440" w:header="720" w:footer="720" w:gutter="0"/>
          <w:cols w:space="720"/>
          <w:docGrid w:linePitch="360"/>
        </w:sectPr>
      </w:pPr>
      <w:r w:rsidRPr="0070186D">
        <w:br w:type="page"/>
      </w:r>
    </w:p>
    <w:p w14:paraId="55D5CE24" w14:textId="77777777" w:rsidR="003C1D14" w:rsidRPr="0070186D" w:rsidRDefault="003C1D14" w:rsidP="003C1D14">
      <w:pPr>
        <w:contextualSpacing/>
        <w:rPr>
          <w:rFonts w:eastAsia="Times New Roman"/>
        </w:rPr>
      </w:pPr>
      <w:r w:rsidRPr="007E3A4F">
        <w:rPr>
          <w:rFonts w:eastAsia="Times New Roman"/>
          <w:b/>
        </w:rPr>
        <w:lastRenderedPageBreak/>
        <w:t>Appendix Table 2.</w:t>
      </w:r>
      <w:r w:rsidRPr="0070186D">
        <w:rPr>
          <w:rFonts w:eastAsia="Times New Roman"/>
        </w:rPr>
        <w:t xml:space="preserve"> Covariate Balance </w:t>
      </w:r>
      <w:proofErr w:type="gramStart"/>
      <w:r>
        <w:rPr>
          <w:rFonts w:eastAsia="Times New Roman"/>
        </w:rPr>
        <w:t>W</w:t>
      </w:r>
      <w:r w:rsidRPr="0070186D">
        <w:rPr>
          <w:rFonts w:eastAsia="Times New Roman"/>
        </w:rPr>
        <w:t>ith</w:t>
      </w:r>
      <w:proofErr w:type="gramEnd"/>
      <w:r w:rsidRPr="0070186D">
        <w:rPr>
          <w:rFonts w:eastAsia="Times New Roman"/>
        </w:rPr>
        <w:t xml:space="preserve"> Multi-Group Propensity Score Weighting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3481"/>
        <w:gridCol w:w="3709"/>
        <w:gridCol w:w="3737"/>
      </w:tblGrid>
      <w:tr w:rsidR="003C1D14" w:rsidRPr="0070186D" w14:paraId="3EE0D075" w14:textId="77777777" w:rsidTr="00791082">
        <w:tc>
          <w:tcPr>
            <w:tcW w:w="0" w:type="auto"/>
            <w:tcBorders>
              <w:top w:val="single" w:sz="4" w:space="0" w:color="auto"/>
              <w:bottom w:val="single" w:sz="4" w:space="0" w:color="auto"/>
            </w:tcBorders>
            <w:hideMark/>
          </w:tcPr>
          <w:p w14:paraId="06522E79" w14:textId="77777777" w:rsidR="003C1D14" w:rsidRPr="007E3A4F" w:rsidRDefault="003C1D14" w:rsidP="00791082">
            <w:pPr>
              <w:contextualSpacing/>
              <w:rPr>
                <w:rFonts w:eastAsia="Times New Roman"/>
                <w:b/>
              </w:rPr>
            </w:pPr>
            <w:r w:rsidRPr="007E3A4F">
              <w:rPr>
                <w:rFonts w:eastAsia="Times New Roman"/>
                <w:b/>
              </w:rPr>
              <w:t>Unweighted or weighted</w:t>
            </w:r>
          </w:p>
        </w:tc>
        <w:tc>
          <w:tcPr>
            <w:tcW w:w="0" w:type="auto"/>
            <w:tcBorders>
              <w:top w:val="single" w:sz="4" w:space="0" w:color="auto"/>
              <w:bottom w:val="single" w:sz="4" w:space="0" w:color="auto"/>
            </w:tcBorders>
            <w:hideMark/>
          </w:tcPr>
          <w:p w14:paraId="19CD80F2" w14:textId="77777777" w:rsidR="003C1D14" w:rsidRPr="007E3A4F" w:rsidRDefault="003C1D14" w:rsidP="00791082">
            <w:pPr>
              <w:contextualSpacing/>
              <w:jc w:val="center"/>
              <w:rPr>
                <w:rFonts w:eastAsia="Times New Roman"/>
                <w:b/>
              </w:rPr>
            </w:pPr>
            <w:r w:rsidRPr="007E3A4F">
              <w:rPr>
                <w:rFonts w:eastAsia="Times New Roman"/>
                <w:b/>
              </w:rPr>
              <w:t>Standardized difference, SIM states, post-SIM implementation</w:t>
            </w:r>
          </w:p>
        </w:tc>
        <w:tc>
          <w:tcPr>
            <w:tcW w:w="0" w:type="auto"/>
            <w:tcBorders>
              <w:top w:val="single" w:sz="4" w:space="0" w:color="auto"/>
              <w:bottom w:val="single" w:sz="4" w:space="0" w:color="auto"/>
            </w:tcBorders>
            <w:hideMark/>
          </w:tcPr>
          <w:p w14:paraId="7BD88519" w14:textId="77777777" w:rsidR="003C1D14" w:rsidRPr="007E3A4F" w:rsidRDefault="003C1D14" w:rsidP="00791082">
            <w:pPr>
              <w:contextualSpacing/>
              <w:jc w:val="center"/>
              <w:rPr>
                <w:rFonts w:eastAsia="Times New Roman"/>
                <w:b/>
              </w:rPr>
            </w:pPr>
            <w:r w:rsidRPr="007E3A4F">
              <w:rPr>
                <w:rFonts w:eastAsia="Times New Roman"/>
                <w:b/>
              </w:rPr>
              <w:t>Standardized difference, comparison states, pre-SIM implementation</w:t>
            </w:r>
          </w:p>
        </w:tc>
        <w:tc>
          <w:tcPr>
            <w:tcW w:w="0" w:type="auto"/>
            <w:tcBorders>
              <w:top w:val="single" w:sz="4" w:space="0" w:color="auto"/>
              <w:bottom w:val="single" w:sz="4" w:space="0" w:color="auto"/>
            </w:tcBorders>
            <w:hideMark/>
          </w:tcPr>
          <w:p w14:paraId="3C771155" w14:textId="77777777" w:rsidR="003C1D14" w:rsidRPr="007E3A4F" w:rsidRDefault="003C1D14" w:rsidP="00791082">
            <w:pPr>
              <w:contextualSpacing/>
              <w:jc w:val="center"/>
              <w:rPr>
                <w:rFonts w:eastAsia="Times New Roman"/>
                <w:b/>
              </w:rPr>
            </w:pPr>
            <w:r w:rsidRPr="007E3A4F">
              <w:rPr>
                <w:rFonts w:eastAsia="Times New Roman"/>
                <w:b/>
              </w:rPr>
              <w:t>Standardized difference, comparison states, post-SIM implementation</w:t>
            </w:r>
          </w:p>
        </w:tc>
      </w:tr>
      <w:tr w:rsidR="003C1D14" w:rsidRPr="0070186D" w14:paraId="762A742F" w14:textId="77777777" w:rsidTr="00791082">
        <w:tc>
          <w:tcPr>
            <w:tcW w:w="0" w:type="auto"/>
            <w:tcBorders>
              <w:top w:val="single" w:sz="4" w:space="0" w:color="auto"/>
            </w:tcBorders>
            <w:shd w:val="clear" w:color="auto" w:fill="D9D9D9" w:themeFill="background1" w:themeFillShade="D9"/>
          </w:tcPr>
          <w:p w14:paraId="51A9E588" w14:textId="77777777" w:rsidR="003C1D14" w:rsidRPr="0070186D" w:rsidRDefault="003C1D14" w:rsidP="00791082">
            <w:pPr>
              <w:contextualSpacing/>
              <w:rPr>
                <w:rFonts w:eastAsia="Times New Roman"/>
              </w:rPr>
            </w:pPr>
            <w:r w:rsidRPr="0070186D">
              <w:rPr>
                <w:rFonts w:eastAsia="Times New Roman"/>
              </w:rPr>
              <w:t>Age</w:t>
            </w:r>
          </w:p>
        </w:tc>
        <w:tc>
          <w:tcPr>
            <w:tcW w:w="0" w:type="auto"/>
            <w:tcBorders>
              <w:top w:val="single" w:sz="4" w:space="0" w:color="auto"/>
            </w:tcBorders>
            <w:shd w:val="clear" w:color="auto" w:fill="D9D9D9" w:themeFill="background1" w:themeFillShade="D9"/>
          </w:tcPr>
          <w:p w14:paraId="7DD761C0" w14:textId="77777777" w:rsidR="003C1D14" w:rsidRPr="0070186D" w:rsidRDefault="003C1D14" w:rsidP="00791082">
            <w:pPr>
              <w:contextualSpacing/>
              <w:jc w:val="center"/>
              <w:rPr>
                <w:rFonts w:eastAsia="Times New Roman"/>
              </w:rPr>
            </w:pPr>
          </w:p>
        </w:tc>
        <w:tc>
          <w:tcPr>
            <w:tcW w:w="0" w:type="auto"/>
            <w:tcBorders>
              <w:top w:val="single" w:sz="4" w:space="0" w:color="auto"/>
            </w:tcBorders>
            <w:shd w:val="clear" w:color="auto" w:fill="D9D9D9" w:themeFill="background1" w:themeFillShade="D9"/>
          </w:tcPr>
          <w:p w14:paraId="4ACE10AA" w14:textId="77777777" w:rsidR="003C1D14" w:rsidRPr="0070186D" w:rsidRDefault="003C1D14" w:rsidP="00791082">
            <w:pPr>
              <w:contextualSpacing/>
              <w:jc w:val="center"/>
              <w:rPr>
                <w:rFonts w:eastAsia="Times New Roman"/>
              </w:rPr>
            </w:pPr>
          </w:p>
        </w:tc>
        <w:tc>
          <w:tcPr>
            <w:tcW w:w="0" w:type="auto"/>
            <w:tcBorders>
              <w:top w:val="single" w:sz="4" w:space="0" w:color="auto"/>
            </w:tcBorders>
            <w:shd w:val="clear" w:color="auto" w:fill="D9D9D9" w:themeFill="background1" w:themeFillShade="D9"/>
          </w:tcPr>
          <w:p w14:paraId="5E6224CB" w14:textId="77777777" w:rsidR="003C1D14" w:rsidRPr="0070186D" w:rsidRDefault="003C1D14" w:rsidP="00791082">
            <w:pPr>
              <w:contextualSpacing/>
              <w:jc w:val="center"/>
              <w:rPr>
                <w:rFonts w:eastAsia="Times New Roman"/>
              </w:rPr>
            </w:pPr>
          </w:p>
        </w:tc>
      </w:tr>
      <w:tr w:rsidR="003C1D14" w:rsidRPr="0070186D" w14:paraId="3F6A24DD" w14:textId="77777777" w:rsidTr="00791082">
        <w:tc>
          <w:tcPr>
            <w:tcW w:w="0" w:type="auto"/>
          </w:tcPr>
          <w:p w14:paraId="55B81341"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tcPr>
          <w:p w14:paraId="11C778E9" w14:textId="77777777" w:rsidR="003C1D14" w:rsidRPr="0070186D" w:rsidRDefault="003C1D14" w:rsidP="00791082">
            <w:pPr>
              <w:contextualSpacing/>
              <w:jc w:val="center"/>
              <w:rPr>
                <w:rFonts w:eastAsia="Times New Roman"/>
              </w:rPr>
            </w:pPr>
            <w:r w:rsidRPr="0070186D">
              <w:rPr>
                <w:rFonts w:eastAsia="Times New Roman"/>
              </w:rPr>
              <w:t>0.003</w:t>
            </w:r>
          </w:p>
        </w:tc>
        <w:tc>
          <w:tcPr>
            <w:tcW w:w="0" w:type="auto"/>
          </w:tcPr>
          <w:p w14:paraId="2C764362" w14:textId="77777777" w:rsidR="003C1D14" w:rsidRPr="0070186D" w:rsidRDefault="003C1D14" w:rsidP="00791082">
            <w:pPr>
              <w:contextualSpacing/>
              <w:jc w:val="center"/>
              <w:rPr>
                <w:rFonts w:eastAsia="Times New Roman"/>
              </w:rPr>
            </w:pPr>
            <w:r w:rsidRPr="0070186D">
              <w:rPr>
                <w:rFonts w:eastAsia="Times New Roman"/>
              </w:rPr>
              <w:t>0.116</w:t>
            </w:r>
          </w:p>
        </w:tc>
        <w:tc>
          <w:tcPr>
            <w:tcW w:w="0" w:type="auto"/>
          </w:tcPr>
          <w:p w14:paraId="5003DE0B" w14:textId="77777777" w:rsidR="003C1D14" w:rsidRPr="0070186D" w:rsidRDefault="003C1D14" w:rsidP="00791082">
            <w:pPr>
              <w:contextualSpacing/>
              <w:jc w:val="center"/>
              <w:rPr>
                <w:rFonts w:eastAsia="Times New Roman"/>
              </w:rPr>
            </w:pPr>
            <w:r w:rsidRPr="0070186D">
              <w:rPr>
                <w:rFonts w:eastAsia="Times New Roman"/>
              </w:rPr>
              <w:t>0.106</w:t>
            </w:r>
          </w:p>
        </w:tc>
      </w:tr>
      <w:tr w:rsidR="003C1D14" w:rsidRPr="0070186D" w14:paraId="66ACBE56" w14:textId="77777777" w:rsidTr="00791082">
        <w:tc>
          <w:tcPr>
            <w:tcW w:w="0" w:type="auto"/>
            <w:shd w:val="clear" w:color="auto" w:fill="D9D9D9" w:themeFill="background1" w:themeFillShade="D9"/>
            <w:hideMark/>
          </w:tcPr>
          <w:p w14:paraId="6614F618" w14:textId="77777777" w:rsidR="003C1D14" w:rsidRPr="0070186D" w:rsidRDefault="003C1D14" w:rsidP="00791082">
            <w:pPr>
              <w:ind w:left="288"/>
              <w:contextualSpacing/>
              <w:rPr>
                <w:rFonts w:eastAsia="Times New Roman"/>
              </w:rPr>
            </w:pPr>
            <w:r w:rsidRPr="0070186D">
              <w:rPr>
                <w:rFonts w:eastAsia="Times New Roman"/>
              </w:rPr>
              <w:t>W</w:t>
            </w:r>
            <w:r>
              <w:rPr>
                <w:rFonts w:eastAsia="Times New Roman"/>
              </w:rPr>
              <w:t>eighted</w:t>
            </w:r>
          </w:p>
        </w:tc>
        <w:tc>
          <w:tcPr>
            <w:tcW w:w="0" w:type="auto"/>
            <w:shd w:val="clear" w:color="auto" w:fill="D9D9D9" w:themeFill="background1" w:themeFillShade="D9"/>
            <w:hideMark/>
          </w:tcPr>
          <w:p w14:paraId="4D31DF51"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0.004</w:t>
            </w:r>
          </w:p>
        </w:tc>
        <w:tc>
          <w:tcPr>
            <w:tcW w:w="0" w:type="auto"/>
            <w:shd w:val="clear" w:color="auto" w:fill="D9D9D9" w:themeFill="background1" w:themeFillShade="D9"/>
            <w:hideMark/>
          </w:tcPr>
          <w:p w14:paraId="0D511626" w14:textId="77777777" w:rsidR="003C1D14" w:rsidRPr="0070186D" w:rsidRDefault="003C1D14" w:rsidP="00791082">
            <w:pPr>
              <w:contextualSpacing/>
              <w:jc w:val="center"/>
              <w:rPr>
                <w:rFonts w:eastAsia="Times New Roman"/>
              </w:rPr>
            </w:pPr>
            <w:r w:rsidRPr="0070186D">
              <w:rPr>
                <w:rFonts w:eastAsia="Times New Roman"/>
              </w:rPr>
              <w:t>0.003</w:t>
            </w:r>
          </w:p>
        </w:tc>
        <w:tc>
          <w:tcPr>
            <w:tcW w:w="0" w:type="auto"/>
            <w:shd w:val="clear" w:color="auto" w:fill="D9D9D9" w:themeFill="background1" w:themeFillShade="D9"/>
            <w:hideMark/>
          </w:tcPr>
          <w:p w14:paraId="7ACB5C9C" w14:textId="77777777" w:rsidR="003C1D14" w:rsidRPr="0070186D" w:rsidRDefault="003C1D14" w:rsidP="00791082">
            <w:pPr>
              <w:contextualSpacing/>
              <w:jc w:val="center"/>
              <w:rPr>
                <w:rFonts w:eastAsia="Times New Roman"/>
              </w:rPr>
            </w:pPr>
            <w:r w:rsidRPr="0070186D">
              <w:rPr>
                <w:rFonts w:eastAsia="Times New Roman"/>
              </w:rPr>
              <w:t>0.006</w:t>
            </w:r>
          </w:p>
        </w:tc>
      </w:tr>
      <w:tr w:rsidR="003C1D14" w:rsidRPr="0070186D" w14:paraId="1B2C43E7" w14:textId="77777777" w:rsidTr="00791082">
        <w:tc>
          <w:tcPr>
            <w:tcW w:w="0" w:type="auto"/>
          </w:tcPr>
          <w:p w14:paraId="0C0ED837" w14:textId="77777777" w:rsidR="003C1D14" w:rsidRPr="0070186D" w:rsidRDefault="003C1D14" w:rsidP="00791082">
            <w:pPr>
              <w:contextualSpacing/>
              <w:rPr>
                <w:rFonts w:eastAsia="Times New Roman"/>
              </w:rPr>
            </w:pPr>
            <w:r w:rsidRPr="0070186D">
              <w:rPr>
                <w:rFonts w:eastAsia="Times New Roman"/>
              </w:rPr>
              <w:t>Female</w:t>
            </w:r>
          </w:p>
        </w:tc>
        <w:tc>
          <w:tcPr>
            <w:tcW w:w="0" w:type="auto"/>
          </w:tcPr>
          <w:p w14:paraId="308969D5" w14:textId="77777777" w:rsidR="003C1D14" w:rsidRPr="0070186D" w:rsidRDefault="003C1D14" w:rsidP="00791082">
            <w:pPr>
              <w:contextualSpacing/>
              <w:jc w:val="center"/>
              <w:rPr>
                <w:rFonts w:eastAsia="Times New Roman"/>
              </w:rPr>
            </w:pPr>
          </w:p>
        </w:tc>
        <w:tc>
          <w:tcPr>
            <w:tcW w:w="0" w:type="auto"/>
          </w:tcPr>
          <w:p w14:paraId="22ADDE88" w14:textId="77777777" w:rsidR="003C1D14" w:rsidRDefault="003C1D14" w:rsidP="00791082">
            <w:pPr>
              <w:contextualSpacing/>
              <w:jc w:val="center"/>
              <w:rPr>
                <w:rFonts w:eastAsia="Times New Roman"/>
              </w:rPr>
            </w:pPr>
          </w:p>
        </w:tc>
        <w:tc>
          <w:tcPr>
            <w:tcW w:w="0" w:type="auto"/>
          </w:tcPr>
          <w:p w14:paraId="033ECC32" w14:textId="77777777" w:rsidR="003C1D14" w:rsidRPr="0070186D" w:rsidRDefault="003C1D14" w:rsidP="00791082">
            <w:pPr>
              <w:contextualSpacing/>
              <w:jc w:val="center"/>
              <w:rPr>
                <w:rFonts w:eastAsia="Times New Roman"/>
              </w:rPr>
            </w:pPr>
          </w:p>
        </w:tc>
      </w:tr>
      <w:tr w:rsidR="003C1D14" w:rsidRPr="0070186D" w14:paraId="28729153" w14:textId="77777777" w:rsidTr="00791082">
        <w:tc>
          <w:tcPr>
            <w:tcW w:w="0" w:type="auto"/>
            <w:shd w:val="clear" w:color="auto" w:fill="D9D9D9" w:themeFill="background1" w:themeFillShade="D9"/>
          </w:tcPr>
          <w:p w14:paraId="0C35AF11"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shd w:val="clear" w:color="auto" w:fill="D9D9D9" w:themeFill="background1" w:themeFillShade="D9"/>
          </w:tcPr>
          <w:p w14:paraId="0289E7DC" w14:textId="77777777" w:rsidR="003C1D14" w:rsidRPr="0070186D" w:rsidRDefault="003C1D14" w:rsidP="00791082">
            <w:pPr>
              <w:contextualSpacing/>
              <w:jc w:val="center"/>
              <w:rPr>
                <w:rFonts w:eastAsia="Times New Roman"/>
              </w:rPr>
            </w:pPr>
            <w:r w:rsidRPr="0070186D">
              <w:rPr>
                <w:rFonts w:eastAsia="Times New Roman"/>
              </w:rPr>
              <w:t>0.023</w:t>
            </w:r>
          </w:p>
        </w:tc>
        <w:tc>
          <w:tcPr>
            <w:tcW w:w="0" w:type="auto"/>
            <w:shd w:val="clear" w:color="auto" w:fill="D9D9D9" w:themeFill="background1" w:themeFillShade="D9"/>
          </w:tcPr>
          <w:p w14:paraId="7F909DBD" w14:textId="77777777" w:rsidR="003C1D14" w:rsidRDefault="003C1D14" w:rsidP="00791082">
            <w:pPr>
              <w:contextualSpacing/>
              <w:jc w:val="center"/>
              <w:rPr>
                <w:rFonts w:eastAsia="Times New Roman"/>
              </w:rPr>
            </w:pPr>
            <w:r>
              <w:rPr>
                <w:rFonts w:eastAsia="Times New Roman"/>
              </w:rPr>
              <w:t>‒</w:t>
            </w:r>
            <w:r w:rsidRPr="0070186D">
              <w:rPr>
                <w:rFonts w:eastAsia="Times New Roman"/>
              </w:rPr>
              <w:t>0.015</w:t>
            </w:r>
          </w:p>
        </w:tc>
        <w:tc>
          <w:tcPr>
            <w:tcW w:w="0" w:type="auto"/>
            <w:shd w:val="clear" w:color="auto" w:fill="D9D9D9" w:themeFill="background1" w:themeFillShade="D9"/>
          </w:tcPr>
          <w:p w14:paraId="6A004C0D" w14:textId="77777777" w:rsidR="003C1D14" w:rsidRPr="0070186D" w:rsidRDefault="003C1D14" w:rsidP="00791082">
            <w:pPr>
              <w:contextualSpacing/>
              <w:jc w:val="center"/>
              <w:rPr>
                <w:rFonts w:eastAsia="Times New Roman"/>
              </w:rPr>
            </w:pPr>
            <w:r w:rsidRPr="0070186D">
              <w:rPr>
                <w:rFonts w:eastAsia="Times New Roman"/>
              </w:rPr>
              <w:t>0.005</w:t>
            </w:r>
          </w:p>
        </w:tc>
      </w:tr>
      <w:tr w:rsidR="003C1D14" w:rsidRPr="0070186D" w14:paraId="4F3EAF7F" w14:textId="77777777" w:rsidTr="00791082">
        <w:tc>
          <w:tcPr>
            <w:tcW w:w="0" w:type="auto"/>
            <w:hideMark/>
          </w:tcPr>
          <w:p w14:paraId="4E3DE7A1" w14:textId="77777777" w:rsidR="003C1D14" w:rsidRPr="0070186D" w:rsidRDefault="003C1D14" w:rsidP="00791082">
            <w:pPr>
              <w:ind w:left="288"/>
              <w:contextualSpacing/>
              <w:rPr>
                <w:rFonts w:eastAsia="Times New Roman"/>
              </w:rPr>
            </w:pPr>
            <w:r w:rsidRPr="0070186D">
              <w:rPr>
                <w:rFonts w:eastAsia="Times New Roman"/>
              </w:rPr>
              <w:t>W</w:t>
            </w:r>
            <w:r>
              <w:rPr>
                <w:rFonts w:eastAsia="Times New Roman"/>
              </w:rPr>
              <w:t>eighted</w:t>
            </w:r>
          </w:p>
        </w:tc>
        <w:tc>
          <w:tcPr>
            <w:tcW w:w="0" w:type="auto"/>
            <w:hideMark/>
          </w:tcPr>
          <w:p w14:paraId="37EBFA75"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0.000</w:t>
            </w:r>
          </w:p>
        </w:tc>
        <w:tc>
          <w:tcPr>
            <w:tcW w:w="0" w:type="auto"/>
            <w:hideMark/>
          </w:tcPr>
          <w:p w14:paraId="72F434B7"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0.001</w:t>
            </w:r>
          </w:p>
        </w:tc>
        <w:tc>
          <w:tcPr>
            <w:tcW w:w="0" w:type="auto"/>
            <w:hideMark/>
          </w:tcPr>
          <w:p w14:paraId="1D9744FF" w14:textId="77777777" w:rsidR="003C1D14" w:rsidRPr="0070186D" w:rsidRDefault="003C1D14" w:rsidP="00791082">
            <w:pPr>
              <w:contextualSpacing/>
              <w:jc w:val="center"/>
              <w:rPr>
                <w:rFonts w:eastAsia="Times New Roman"/>
              </w:rPr>
            </w:pPr>
            <w:r w:rsidRPr="0070186D">
              <w:rPr>
                <w:rFonts w:eastAsia="Times New Roman"/>
              </w:rPr>
              <w:t>0.002</w:t>
            </w:r>
          </w:p>
        </w:tc>
      </w:tr>
      <w:tr w:rsidR="003C1D14" w:rsidRPr="0070186D" w14:paraId="27D44439" w14:textId="77777777" w:rsidTr="00791082">
        <w:tc>
          <w:tcPr>
            <w:tcW w:w="0" w:type="auto"/>
            <w:shd w:val="clear" w:color="auto" w:fill="D9D9D9" w:themeFill="background1" w:themeFillShade="D9"/>
          </w:tcPr>
          <w:p w14:paraId="32DF7234" w14:textId="77777777" w:rsidR="003C1D14" w:rsidRPr="0070186D" w:rsidRDefault="003C1D14" w:rsidP="00791082">
            <w:pPr>
              <w:contextualSpacing/>
              <w:rPr>
                <w:rFonts w:eastAsia="Times New Roman"/>
              </w:rPr>
            </w:pPr>
            <w:r w:rsidRPr="0070186D">
              <w:rPr>
                <w:rFonts w:eastAsia="Times New Roman"/>
              </w:rPr>
              <w:t>White</w:t>
            </w:r>
          </w:p>
        </w:tc>
        <w:tc>
          <w:tcPr>
            <w:tcW w:w="0" w:type="auto"/>
            <w:shd w:val="clear" w:color="auto" w:fill="D9D9D9" w:themeFill="background1" w:themeFillShade="D9"/>
          </w:tcPr>
          <w:p w14:paraId="412D1147" w14:textId="77777777" w:rsidR="003C1D14" w:rsidRPr="0070186D" w:rsidRDefault="003C1D14" w:rsidP="00791082">
            <w:pPr>
              <w:contextualSpacing/>
              <w:jc w:val="center"/>
              <w:rPr>
                <w:rFonts w:eastAsia="Times New Roman"/>
              </w:rPr>
            </w:pPr>
          </w:p>
        </w:tc>
        <w:tc>
          <w:tcPr>
            <w:tcW w:w="0" w:type="auto"/>
            <w:shd w:val="clear" w:color="auto" w:fill="D9D9D9" w:themeFill="background1" w:themeFillShade="D9"/>
          </w:tcPr>
          <w:p w14:paraId="78FCA935" w14:textId="77777777" w:rsidR="003C1D14" w:rsidRPr="0070186D" w:rsidRDefault="003C1D14" w:rsidP="00791082">
            <w:pPr>
              <w:contextualSpacing/>
              <w:jc w:val="center"/>
              <w:rPr>
                <w:rFonts w:eastAsia="Times New Roman"/>
              </w:rPr>
            </w:pPr>
          </w:p>
        </w:tc>
        <w:tc>
          <w:tcPr>
            <w:tcW w:w="0" w:type="auto"/>
            <w:shd w:val="clear" w:color="auto" w:fill="D9D9D9" w:themeFill="background1" w:themeFillShade="D9"/>
          </w:tcPr>
          <w:p w14:paraId="0FF43CFC" w14:textId="77777777" w:rsidR="003C1D14" w:rsidRPr="0070186D" w:rsidRDefault="003C1D14" w:rsidP="00791082">
            <w:pPr>
              <w:contextualSpacing/>
              <w:jc w:val="center"/>
              <w:rPr>
                <w:rFonts w:eastAsia="Times New Roman"/>
              </w:rPr>
            </w:pPr>
          </w:p>
        </w:tc>
      </w:tr>
      <w:tr w:rsidR="003C1D14" w:rsidRPr="0070186D" w14:paraId="388E9810" w14:textId="77777777" w:rsidTr="00791082">
        <w:tc>
          <w:tcPr>
            <w:tcW w:w="0" w:type="auto"/>
          </w:tcPr>
          <w:p w14:paraId="154A0CC9"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tcPr>
          <w:p w14:paraId="54D938D6" w14:textId="77777777" w:rsidR="003C1D14" w:rsidRPr="0070186D" w:rsidRDefault="003C1D14" w:rsidP="00791082">
            <w:pPr>
              <w:contextualSpacing/>
              <w:jc w:val="center"/>
              <w:rPr>
                <w:rFonts w:eastAsia="Times New Roman"/>
              </w:rPr>
            </w:pPr>
            <w:r w:rsidRPr="0070186D">
              <w:rPr>
                <w:rFonts w:eastAsia="Times New Roman"/>
              </w:rPr>
              <w:t>0.037</w:t>
            </w:r>
          </w:p>
        </w:tc>
        <w:tc>
          <w:tcPr>
            <w:tcW w:w="0" w:type="auto"/>
          </w:tcPr>
          <w:p w14:paraId="2C663DF7" w14:textId="77777777" w:rsidR="003C1D14" w:rsidRPr="0070186D" w:rsidRDefault="003C1D14" w:rsidP="00791082">
            <w:pPr>
              <w:contextualSpacing/>
              <w:jc w:val="center"/>
              <w:rPr>
                <w:rFonts w:eastAsia="Times New Roman"/>
              </w:rPr>
            </w:pPr>
            <w:r w:rsidRPr="0070186D">
              <w:rPr>
                <w:rFonts w:eastAsia="Times New Roman"/>
              </w:rPr>
              <w:t>0.471</w:t>
            </w:r>
          </w:p>
        </w:tc>
        <w:tc>
          <w:tcPr>
            <w:tcW w:w="0" w:type="auto"/>
          </w:tcPr>
          <w:p w14:paraId="6963E67F" w14:textId="77777777" w:rsidR="003C1D14" w:rsidRPr="0070186D" w:rsidRDefault="003C1D14" w:rsidP="00791082">
            <w:pPr>
              <w:contextualSpacing/>
              <w:jc w:val="center"/>
              <w:rPr>
                <w:rFonts w:eastAsia="Times New Roman"/>
              </w:rPr>
            </w:pPr>
            <w:r w:rsidRPr="0070186D">
              <w:rPr>
                <w:rFonts w:eastAsia="Times New Roman"/>
              </w:rPr>
              <w:t>0.517</w:t>
            </w:r>
          </w:p>
        </w:tc>
      </w:tr>
      <w:tr w:rsidR="003C1D14" w:rsidRPr="0070186D" w14:paraId="37170A66" w14:textId="77777777" w:rsidTr="00791082">
        <w:tc>
          <w:tcPr>
            <w:tcW w:w="0" w:type="auto"/>
            <w:shd w:val="clear" w:color="auto" w:fill="D9D9D9" w:themeFill="background1" w:themeFillShade="D9"/>
            <w:hideMark/>
          </w:tcPr>
          <w:p w14:paraId="516C764D" w14:textId="77777777" w:rsidR="003C1D14" w:rsidRPr="0070186D" w:rsidRDefault="003C1D14" w:rsidP="00791082">
            <w:pPr>
              <w:ind w:left="288"/>
              <w:contextualSpacing/>
              <w:rPr>
                <w:rFonts w:eastAsia="Times New Roman"/>
              </w:rPr>
            </w:pPr>
            <w:r w:rsidRPr="0070186D">
              <w:rPr>
                <w:rFonts w:eastAsia="Times New Roman"/>
              </w:rPr>
              <w:t>W</w:t>
            </w:r>
            <w:r>
              <w:rPr>
                <w:rFonts w:eastAsia="Times New Roman"/>
              </w:rPr>
              <w:t>eighted</w:t>
            </w:r>
          </w:p>
        </w:tc>
        <w:tc>
          <w:tcPr>
            <w:tcW w:w="0" w:type="auto"/>
            <w:shd w:val="clear" w:color="auto" w:fill="D9D9D9" w:themeFill="background1" w:themeFillShade="D9"/>
            <w:hideMark/>
          </w:tcPr>
          <w:p w14:paraId="490355AB"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0.001</w:t>
            </w:r>
          </w:p>
        </w:tc>
        <w:tc>
          <w:tcPr>
            <w:tcW w:w="0" w:type="auto"/>
            <w:shd w:val="clear" w:color="auto" w:fill="D9D9D9" w:themeFill="background1" w:themeFillShade="D9"/>
            <w:hideMark/>
          </w:tcPr>
          <w:p w14:paraId="1FFA57F7"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0.000</w:t>
            </w:r>
          </w:p>
        </w:tc>
        <w:tc>
          <w:tcPr>
            <w:tcW w:w="0" w:type="auto"/>
            <w:shd w:val="clear" w:color="auto" w:fill="D9D9D9" w:themeFill="background1" w:themeFillShade="D9"/>
            <w:hideMark/>
          </w:tcPr>
          <w:p w14:paraId="620D6636"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0.001</w:t>
            </w:r>
          </w:p>
        </w:tc>
      </w:tr>
      <w:tr w:rsidR="003C1D14" w:rsidRPr="0070186D" w14:paraId="621888A9" w14:textId="77777777" w:rsidTr="00791082">
        <w:tc>
          <w:tcPr>
            <w:tcW w:w="0" w:type="auto"/>
          </w:tcPr>
          <w:p w14:paraId="09F6AA4C" w14:textId="77777777" w:rsidR="003C1D14" w:rsidRPr="0070186D" w:rsidRDefault="003C1D14" w:rsidP="00791082">
            <w:pPr>
              <w:contextualSpacing/>
              <w:rPr>
                <w:rFonts w:eastAsia="Times New Roman"/>
              </w:rPr>
            </w:pPr>
            <w:r w:rsidRPr="0070186D">
              <w:rPr>
                <w:rFonts w:eastAsia="Times New Roman"/>
              </w:rPr>
              <w:t>Black</w:t>
            </w:r>
          </w:p>
        </w:tc>
        <w:tc>
          <w:tcPr>
            <w:tcW w:w="0" w:type="auto"/>
          </w:tcPr>
          <w:p w14:paraId="56EFE4C6" w14:textId="77777777" w:rsidR="003C1D14" w:rsidRPr="0070186D" w:rsidRDefault="003C1D14" w:rsidP="00791082">
            <w:pPr>
              <w:contextualSpacing/>
              <w:jc w:val="center"/>
              <w:rPr>
                <w:rFonts w:eastAsia="Times New Roman"/>
              </w:rPr>
            </w:pPr>
          </w:p>
        </w:tc>
        <w:tc>
          <w:tcPr>
            <w:tcW w:w="0" w:type="auto"/>
          </w:tcPr>
          <w:p w14:paraId="4C285E7D" w14:textId="77777777" w:rsidR="003C1D14" w:rsidRDefault="003C1D14" w:rsidP="00791082">
            <w:pPr>
              <w:contextualSpacing/>
              <w:jc w:val="center"/>
              <w:rPr>
                <w:rFonts w:eastAsia="Times New Roman"/>
              </w:rPr>
            </w:pPr>
          </w:p>
        </w:tc>
        <w:tc>
          <w:tcPr>
            <w:tcW w:w="0" w:type="auto"/>
          </w:tcPr>
          <w:p w14:paraId="43BDC417" w14:textId="77777777" w:rsidR="003C1D14" w:rsidRDefault="003C1D14" w:rsidP="00791082">
            <w:pPr>
              <w:contextualSpacing/>
              <w:jc w:val="center"/>
              <w:rPr>
                <w:rFonts w:eastAsia="Times New Roman"/>
              </w:rPr>
            </w:pPr>
          </w:p>
        </w:tc>
      </w:tr>
      <w:tr w:rsidR="003C1D14" w:rsidRPr="0070186D" w14:paraId="754EE3B8" w14:textId="77777777" w:rsidTr="00791082">
        <w:tc>
          <w:tcPr>
            <w:tcW w:w="0" w:type="auto"/>
            <w:shd w:val="clear" w:color="auto" w:fill="D9D9D9" w:themeFill="background1" w:themeFillShade="D9"/>
          </w:tcPr>
          <w:p w14:paraId="623FA138"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shd w:val="clear" w:color="auto" w:fill="D9D9D9" w:themeFill="background1" w:themeFillShade="D9"/>
          </w:tcPr>
          <w:p w14:paraId="3E18DBC7" w14:textId="77777777" w:rsidR="003C1D14" w:rsidRPr="0070186D" w:rsidRDefault="003C1D14" w:rsidP="00791082">
            <w:pPr>
              <w:contextualSpacing/>
              <w:jc w:val="center"/>
              <w:rPr>
                <w:rFonts w:eastAsia="Times New Roman"/>
              </w:rPr>
            </w:pPr>
            <w:r w:rsidRPr="0070186D">
              <w:rPr>
                <w:rFonts w:eastAsia="Times New Roman"/>
              </w:rPr>
              <w:t>0.012</w:t>
            </w:r>
          </w:p>
        </w:tc>
        <w:tc>
          <w:tcPr>
            <w:tcW w:w="0" w:type="auto"/>
            <w:shd w:val="clear" w:color="auto" w:fill="D9D9D9" w:themeFill="background1" w:themeFillShade="D9"/>
          </w:tcPr>
          <w:p w14:paraId="5AB4337D" w14:textId="77777777" w:rsidR="003C1D14" w:rsidRDefault="003C1D14" w:rsidP="00791082">
            <w:pPr>
              <w:contextualSpacing/>
              <w:jc w:val="center"/>
              <w:rPr>
                <w:rFonts w:eastAsia="Times New Roman"/>
              </w:rPr>
            </w:pPr>
            <w:r>
              <w:rPr>
                <w:rFonts w:eastAsia="Times New Roman"/>
              </w:rPr>
              <w:t>‒</w:t>
            </w:r>
            <w:r w:rsidRPr="0070186D">
              <w:rPr>
                <w:rFonts w:eastAsia="Times New Roman"/>
              </w:rPr>
              <w:t>0.355</w:t>
            </w:r>
          </w:p>
        </w:tc>
        <w:tc>
          <w:tcPr>
            <w:tcW w:w="0" w:type="auto"/>
            <w:shd w:val="clear" w:color="auto" w:fill="D9D9D9" w:themeFill="background1" w:themeFillShade="D9"/>
          </w:tcPr>
          <w:p w14:paraId="4E282637" w14:textId="77777777" w:rsidR="003C1D14" w:rsidRDefault="003C1D14" w:rsidP="00791082">
            <w:pPr>
              <w:contextualSpacing/>
              <w:jc w:val="center"/>
              <w:rPr>
                <w:rFonts w:eastAsia="Times New Roman"/>
              </w:rPr>
            </w:pPr>
            <w:r>
              <w:rPr>
                <w:rFonts w:eastAsia="Times New Roman"/>
              </w:rPr>
              <w:t>‒</w:t>
            </w:r>
            <w:r w:rsidRPr="0070186D">
              <w:rPr>
                <w:rFonts w:eastAsia="Times New Roman"/>
              </w:rPr>
              <w:t>0.365</w:t>
            </w:r>
          </w:p>
        </w:tc>
      </w:tr>
      <w:tr w:rsidR="003C1D14" w:rsidRPr="0070186D" w14:paraId="7898A955" w14:textId="77777777" w:rsidTr="00791082">
        <w:tc>
          <w:tcPr>
            <w:tcW w:w="0" w:type="auto"/>
            <w:hideMark/>
          </w:tcPr>
          <w:p w14:paraId="6E82FE94" w14:textId="77777777" w:rsidR="003C1D14" w:rsidRPr="0070186D" w:rsidRDefault="003C1D14" w:rsidP="00791082">
            <w:pPr>
              <w:ind w:left="288"/>
              <w:contextualSpacing/>
              <w:rPr>
                <w:rFonts w:eastAsia="Times New Roman"/>
              </w:rPr>
            </w:pPr>
            <w:r w:rsidRPr="0070186D">
              <w:rPr>
                <w:rFonts w:eastAsia="Times New Roman"/>
              </w:rPr>
              <w:t>W</w:t>
            </w:r>
            <w:r>
              <w:rPr>
                <w:rFonts w:eastAsia="Times New Roman"/>
              </w:rPr>
              <w:t>eighted</w:t>
            </w:r>
          </w:p>
        </w:tc>
        <w:tc>
          <w:tcPr>
            <w:tcW w:w="0" w:type="auto"/>
            <w:hideMark/>
          </w:tcPr>
          <w:p w14:paraId="326D73F8" w14:textId="77777777" w:rsidR="003C1D14" w:rsidRPr="0070186D" w:rsidRDefault="003C1D14" w:rsidP="00791082">
            <w:pPr>
              <w:contextualSpacing/>
              <w:jc w:val="center"/>
              <w:rPr>
                <w:rFonts w:eastAsia="Times New Roman"/>
              </w:rPr>
            </w:pPr>
            <w:r w:rsidRPr="0070186D">
              <w:rPr>
                <w:rFonts w:eastAsia="Times New Roman"/>
              </w:rPr>
              <w:t>0.004</w:t>
            </w:r>
          </w:p>
        </w:tc>
        <w:tc>
          <w:tcPr>
            <w:tcW w:w="0" w:type="auto"/>
            <w:hideMark/>
          </w:tcPr>
          <w:p w14:paraId="2C06C2D8"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0.000</w:t>
            </w:r>
          </w:p>
        </w:tc>
        <w:tc>
          <w:tcPr>
            <w:tcW w:w="0" w:type="auto"/>
            <w:hideMark/>
          </w:tcPr>
          <w:p w14:paraId="1A6D9277"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0.001</w:t>
            </w:r>
          </w:p>
        </w:tc>
      </w:tr>
      <w:tr w:rsidR="003C1D14" w:rsidRPr="0070186D" w14:paraId="2301A051" w14:textId="77777777" w:rsidTr="00791082">
        <w:tc>
          <w:tcPr>
            <w:tcW w:w="0" w:type="auto"/>
            <w:shd w:val="clear" w:color="auto" w:fill="D9D9D9" w:themeFill="background1" w:themeFillShade="D9"/>
          </w:tcPr>
          <w:p w14:paraId="13A5145F" w14:textId="77777777" w:rsidR="003C1D14" w:rsidRPr="0070186D" w:rsidRDefault="003C1D14" w:rsidP="00791082">
            <w:pPr>
              <w:contextualSpacing/>
              <w:rPr>
                <w:rFonts w:eastAsia="Times New Roman"/>
              </w:rPr>
            </w:pPr>
            <w:r w:rsidRPr="0070186D">
              <w:rPr>
                <w:rFonts w:eastAsia="Times New Roman"/>
              </w:rPr>
              <w:t>Hispanic</w:t>
            </w:r>
          </w:p>
        </w:tc>
        <w:tc>
          <w:tcPr>
            <w:tcW w:w="0" w:type="auto"/>
            <w:shd w:val="clear" w:color="auto" w:fill="D9D9D9" w:themeFill="background1" w:themeFillShade="D9"/>
          </w:tcPr>
          <w:p w14:paraId="3F0B48F8" w14:textId="77777777" w:rsidR="003C1D14" w:rsidRDefault="003C1D14" w:rsidP="00791082">
            <w:pPr>
              <w:contextualSpacing/>
              <w:jc w:val="center"/>
              <w:rPr>
                <w:rFonts w:eastAsia="Times New Roman"/>
              </w:rPr>
            </w:pPr>
          </w:p>
        </w:tc>
        <w:tc>
          <w:tcPr>
            <w:tcW w:w="0" w:type="auto"/>
            <w:shd w:val="clear" w:color="auto" w:fill="D9D9D9" w:themeFill="background1" w:themeFillShade="D9"/>
          </w:tcPr>
          <w:p w14:paraId="2EFB1E5F" w14:textId="77777777" w:rsidR="003C1D14" w:rsidRDefault="003C1D14" w:rsidP="00791082">
            <w:pPr>
              <w:contextualSpacing/>
              <w:jc w:val="center"/>
              <w:rPr>
                <w:rFonts w:eastAsia="Times New Roman"/>
              </w:rPr>
            </w:pPr>
          </w:p>
        </w:tc>
        <w:tc>
          <w:tcPr>
            <w:tcW w:w="0" w:type="auto"/>
            <w:shd w:val="clear" w:color="auto" w:fill="D9D9D9" w:themeFill="background1" w:themeFillShade="D9"/>
          </w:tcPr>
          <w:p w14:paraId="72C8F8E7" w14:textId="77777777" w:rsidR="003C1D14" w:rsidRDefault="003C1D14" w:rsidP="00791082">
            <w:pPr>
              <w:contextualSpacing/>
              <w:jc w:val="center"/>
              <w:rPr>
                <w:rFonts w:eastAsia="Times New Roman"/>
              </w:rPr>
            </w:pPr>
          </w:p>
        </w:tc>
      </w:tr>
      <w:tr w:rsidR="003C1D14" w:rsidRPr="0070186D" w14:paraId="638445EE" w14:textId="77777777" w:rsidTr="00791082">
        <w:tc>
          <w:tcPr>
            <w:tcW w:w="0" w:type="auto"/>
          </w:tcPr>
          <w:p w14:paraId="10701A92"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tcPr>
          <w:p w14:paraId="37B81008" w14:textId="77777777" w:rsidR="003C1D14" w:rsidRDefault="003C1D14" w:rsidP="00791082">
            <w:pPr>
              <w:contextualSpacing/>
              <w:jc w:val="center"/>
              <w:rPr>
                <w:rFonts w:eastAsia="Times New Roman"/>
              </w:rPr>
            </w:pPr>
            <w:r>
              <w:rPr>
                <w:rFonts w:eastAsia="Times New Roman"/>
              </w:rPr>
              <w:t>‒</w:t>
            </w:r>
            <w:r w:rsidRPr="0070186D">
              <w:rPr>
                <w:rFonts w:eastAsia="Times New Roman"/>
              </w:rPr>
              <w:t>0.085</w:t>
            </w:r>
          </w:p>
        </w:tc>
        <w:tc>
          <w:tcPr>
            <w:tcW w:w="0" w:type="auto"/>
          </w:tcPr>
          <w:p w14:paraId="2B4BD734" w14:textId="77777777" w:rsidR="003C1D14" w:rsidRDefault="003C1D14" w:rsidP="00791082">
            <w:pPr>
              <w:contextualSpacing/>
              <w:jc w:val="center"/>
              <w:rPr>
                <w:rFonts w:eastAsia="Times New Roman"/>
              </w:rPr>
            </w:pPr>
            <w:r>
              <w:rPr>
                <w:rFonts w:eastAsia="Times New Roman"/>
              </w:rPr>
              <w:t>‒</w:t>
            </w:r>
            <w:r w:rsidRPr="0070186D">
              <w:rPr>
                <w:rFonts w:eastAsia="Times New Roman"/>
              </w:rPr>
              <w:t>0.227</w:t>
            </w:r>
          </w:p>
        </w:tc>
        <w:tc>
          <w:tcPr>
            <w:tcW w:w="0" w:type="auto"/>
          </w:tcPr>
          <w:p w14:paraId="178BA6A2" w14:textId="77777777" w:rsidR="003C1D14" w:rsidRDefault="003C1D14" w:rsidP="00791082">
            <w:pPr>
              <w:contextualSpacing/>
              <w:jc w:val="center"/>
              <w:rPr>
                <w:rFonts w:eastAsia="Times New Roman"/>
              </w:rPr>
            </w:pPr>
            <w:r>
              <w:rPr>
                <w:rFonts w:eastAsia="Times New Roman"/>
              </w:rPr>
              <w:t>‒</w:t>
            </w:r>
            <w:r w:rsidRPr="0070186D">
              <w:rPr>
                <w:rFonts w:eastAsia="Times New Roman"/>
              </w:rPr>
              <w:t>0.247</w:t>
            </w:r>
          </w:p>
        </w:tc>
      </w:tr>
      <w:tr w:rsidR="003C1D14" w:rsidRPr="0070186D" w14:paraId="14403DC4" w14:textId="77777777" w:rsidTr="00791082">
        <w:tc>
          <w:tcPr>
            <w:tcW w:w="0" w:type="auto"/>
            <w:shd w:val="clear" w:color="auto" w:fill="D9D9D9" w:themeFill="background1" w:themeFillShade="D9"/>
            <w:hideMark/>
          </w:tcPr>
          <w:p w14:paraId="647B9453" w14:textId="77777777" w:rsidR="003C1D14" w:rsidRPr="0070186D" w:rsidRDefault="003C1D14" w:rsidP="00791082">
            <w:pPr>
              <w:ind w:left="288"/>
              <w:contextualSpacing/>
              <w:rPr>
                <w:rFonts w:eastAsia="Times New Roman"/>
              </w:rPr>
            </w:pPr>
            <w:r w:rsidRPr="0070186D">
              <w:rPr>
                <w:rFonts w:eastAsia="Times New Roman"/>
              </w:rPr>
              <w:t>W</w:t>
            </w:r>
            <w:r>
              <w:rPr>
                <w:rFonts w:eastAsia="Times New Roman"/>
              </w:rPr>
              <w:t>eighted</w:t>
            </w:r>
          </w:p>
        </w:tc>
        <w:tc>
          <w:tcPr>
            <w:tcW w:w="0" w:type="auto"/>
            <w:shd w:val="clear" w:color="auto" w:fill="D9D9D9" w:themeFill="background1" w:themeFillShade="D9"/>
            <w:hideMark/>
          </w:tcPr>
          <w:p w14:paraId="73F61E53"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0.002</w:t>
            </w:r>
          </w:p>
        </w:tc>
        <w:tc>
          <w:tcPr>
            <w:tcW w:w="0" w:type="auto"/>
            <w:shd w:val="clear" w:color="auto" w:fill="D9D9D9" w:themeFill="background1" w:themeFillShade="D9"/>
            <w:hideMark/>
          </w:tcPr>
          <w:p w14:paraId="43F63EC1" w14:textId="77777777" w:rsidR="003C1D14" w:rsidRPr="0070186D" w:rsidRDefault="003C1D14" w:rsidP="00791082">
            <w:pPr>
              <w:contextualSpacing/>
              <w:jc w:val="center"/>
              <w:rPr>
                <w:rFonts w:eastAsia="Times New Roman"/>
              </w:rPr>
            </w:pPr>
            <w:r w:rsidRPr="0070186D">
              <w:rPr>
                <w:rFonts w:eastAsia="Times New Roman"/>
              </w:rPr>
              <w:t>0.001</w:t>
            </w:r>
          </w:p>
        </w:tc>
        <w:tc>
          <w:tcPr>
            <w:tcW w:w="0" w:type="auto"/>
            <w:shd w:val="clear" w:color="auto" w:fill="D9D9D9" w:themeFill="background1" w:themeFillShade="D9"/>
            <w:hideMark/>
          </w:tcPr>
          <w:p w14:paraId="58D23B78" w14:textId="77777777" w:rsidR="003C1D14" w:rsidRPr="0070186D" w:rsidRDefault="003C1D14" w:rsidP="00791082">
            <w:pPr>
              <w:contextualSpacing/>
              <w:jc w:val="center"/>
              <w:rPr>
                <w:rFonts w:eastAsia="Times New Roman"/>
              </w:rPr>
            </w:pPr>
            <w:r w:rsidRPr="0070186D">
              <w:rPr>
                <w:rFonts w:eastAsia="Times New Roman"/>
              </w:rPr>
              <w:t>0.002</w:t>
            </w:r>
          </w:p>
        </w:tc>
      </w:tr>
      <w:tr w:rsidR="003C1D14" w:rsidRPr="0070186D" w14:paraId="63C9F67A" w14:textId="77777777" w:rsidTr="00791082">
        <w:tc>
          <w:tcPr>
            <w:tcW w:w="0" w:type="auto"/>
            <w:gridSpan w:val="2"/>
          </w:tcPr>
          <w:p w14:paraId="7F8E5381" w14:textId="77777777" w:rsidR="003C1D14" w:rsidRDefault="003C1D14" w:rsidP="00791082">
            <w:pPr>
              <w:contextualSpacing/>
              <w:rPr>
                <w:rFonts w:eastAsia="Times New Roman"/>
              </w:rPr>
            </w:pPr>
            <w:r w:rsidRPr="0070186D">
              <w:rPr>
                <w:rFonts w:eastAsia="Times New Roman"/>
              </w:rPr>
              <w:t>Asian or Pacific Islander</w:t>
            </w:r>
          </w:p>
        </w:tc>
        <w:tc>
          <w:tcPr>
            <w:tcW w:w="0" w:type="auto"/>
          </w:tcPr>
          <w:p w14:paraId="12266AC3" w14:textId="77777777" w:rsidR="003C1D14" w:rsidRDefault="003C1D14" w:rsidP="00791082">
            <w:pPr>
              <w:contextualSpacing/>
              <w:jc w:val="center"/>
              <w:rPr>
                <w:rFonts w:eastAsia="Times New Roman"/>
              </w:rPr>
            </w:pPr>
          </w:p>
        </w:tc>
        <w:tc>
          <w:tcPr>
            <w:tcW w:w="0" w:type="auto"/>
          </w:tcPr>
          <w:p w14:paraId="66DA67B8" w14:textId="77777777" w:rsidR="003C1D14" w:rsidRDefault="003C1D14" w:rsidP="00791082">
            <w:pPr>
              <w:contextualSpacing/>
              <w:jc w:val="center"/>
              <w:rPr>
                <w:rFonts w:eastAsia="Times New Roman"/>
              </w:rPr>
            </w:pPr>
          </w:p>
        </w:tc>
      </w:tr>
      <w:tr w:rsidR="003C1D14" w:rsidRPr="0070186D" w14:paraId="3DBC9090" w14:textId="77777777" w:rsidTr="00791082">
        <w:tc>
          <w:tcPr>
            <w:tcW w:w="0" w:type="auto"/>
            <w:shd w:val="clear" w:color="auto" w:fill="D9D9D9" w:themeFill="background1" w:themeFillShade="D9"/>
          </w:tcPr>
          <w:p w14:paraId="56019118"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shd w:val="clear" w:color="auto" w:fill="D9D9D9" w:themeFill="background1" w:themeFillShade="D9"/>
          </w:tcPr>
          <w:p w14:paraId="15281957" w14:textId="77777777" w:rsidR="003C1D14" w:rsidRDefault="003C1D14" w:rsidP="00791082">
            <w:pPr>
              <w:contextualSpacing/>
              <w:jc w:val="center"/>
              <w:rPr>
                <w:rFonts w:eastAsia="Times New Roman"/>
              </w:rPr>
            </w:pPr>
            <w:r>
              <w:rPr>
                <w:rFonts w:eastAsia="Times New Roman"/>
              </w:rPr>
              <w:t>‒</w:t>
            </w:r>
            <w:r w:rsidRPr="0070186D">
              <w:rPr>
                <w:rFonts w:eastAsia="Times New Roman"/>
              </w:rPr>
              <w:t>0.020</w:t>
            </w:r>
          </w:p>
        </w:tc>
        <w:tc>
          <w:tcPr>
            <w:tcW w:w="0" w:type="auto"/>
            <w:shd w:val="clear" w:color="auto" w:fill="D9D9D9" w:themeFill="background1" w:themeFillShade="D9"/>
          </w:tcPr>
          <w:p w14:paraId="3E60ED5B" w14:textId="77777777" w:rsidR="003C1D14" w:rsidRDefault="003C1D14" w:rsidP="00791082">
            <w:pPr>
              <w:contextualSpacing/>
              <w:jc w:val="center"/>
              <w:rPr>
                <w:rFonts w:eastAsia="Times New Roman"/>
              </w:rPr>
            </w:pPr>
            <w:r>
              <w:rPr>
                <w:rFonts w:eastAsia="Times New Roman"/>
              </w:rPr>
              <w:t>‒</w:t>
            </w:r>
            <w:r w:rsidRPr="0070186D">
              <w:rPr>
                <w:rFonts w:eastAsia="Times New Roman"/>
              </w:rPr>
              <w:t>0.012</w:t>
            </w:r>
          </w:p>
        </w:tc>
        <w:tc>
          <w:tcPr>
            <w:tcW w:w="0" w:type="auto"/>
            <w:shd w:val="clear" w:color="auto" w:fill="D9D9D9" w:themeFill="background1" w:themeFillShade="D9"/>
          </w:tcPr>
          <w:p w14:paraId="277E923A" w14:textId="77777777" w:rsidR="003C1D14" w:rsidRDefault="003C1D14" w:rsidP="00791082">
            <w:pPr>
              <w:contextualSpacing/>
              <w:jc w:val="center"/>
              <w:rPr>
                <w:rFonts w:eastAsia="Times New Roman"/>
              </w:rPr>
            </w:pPr>
            <w:r>
              <w:rPr>
                <w:rFonts w:eastAsia="Times New Roman"/>
              </w:rPr>
              <w:t>‒</w:t>
            </w:r>
            <w:r w:rsidRPr="0070186D">
              <w:rPr>
                <w:rFonts w:eastAsia="Times New Roman"/>
              </w:rPr>
              <w:t>0.046</w:t>
            </w:r>
          </w:p>
        </w:tc>
      </w:tr>
      <w:tr w:rsidR="003C1D14" w:rsidRPr="0070186D" w14:paraId="7A7FC423" w14:textId="77777777" w:rsidTr="00791082">
        <w:tc>
          <w:tcPr>
            <w:tcW w:w="0" w:type="auto"/>
            <w:hideMark/>
          </w:tcPr>
          <w:p w14:paraId="0602C7D2" w14:textId="77777777" w:rsidR="003C1D14" w:rsidRPr="0070186D" w:rsidRDefault="003C1D14" w:rsidP="00791082">
            <w:pPr>
              <w:ind w:left="288"/>
              <w:contextualSpacing/>
              <w:rPr>
                <w:rFonts w:eastAsia="Times New Roman"/>
              </w:rPr>
            </w:pPr>
            <w:r w:rsidRPr="0070186D">
              <w:rPr>
                <w:rFonts w:eastAsia="Times New Roman"/>
              </w:rPr>
              <w:t>W</w:t>
            </w:r>
            <w:r>
              <w:rPr>
                <w:rFonts w:eastAsia="Times New Roman"/>
              </w:rPr>
              <w:t>eighted</w:t>
            </w:r>
          </w:p>
        </w:tc>
        <w:tc>
          <w:tcPr>
            <w:tcW w:w="0" w:type="auto"/>
            <w:hideMark/>
          </w:tcPr>
          <w:p w14:paraId="33B87F28"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0.001</w:t>
            </w:r>
          </w:p>
        </w:tc>
        <w:tc>
          <w:tcPr>
            <w:tcW w:w="0" w:type="auto"/>
            <w:hideMark/>
          </w:tcPr>
          <w:p w14:paraId="47F30064" w14:textId="77777777" w:rsidR="003C1D14" w:rsidRPr="0070186D" w:rsidRDefault="003C1D14" w:rsidP="00791082">
            <w:pPr>
              <w:contextualSpacing/>
              <w:jc w:val="center"/>
              <w:rPr>
                <w:rFonts w:eastAsia="Times New Roman"/>
              </w:rPr>
            </w:pPr>
            <w:r w:rsidRPr="0070186D">
              <w:rPr>
                <w:rFonts w:eastAsia="Times New Roman"/>
              </w:rPr>
              <w:t>0.001</w:t>
            </w:r>
          </w:p>
        </w:tc>
        <w:tc>
          <w:tcPr>
            <w:tcW w:w="0" w:type="auto"/>
            <w:hideMark/>
          </w:tcPr>
          <w:p w14:paraId="5062D485"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0.001</w:t>
            </w:r>
          </w:p>
        </w:tc>
      </w:tr>
      <w:tr w:rsidR="003C1D14" w:rsidRPr="0070186D" w14:paraId="4B57AF40" w14:textId="77777777" w:rsidTr="00791082">
        <w:tc>
          <w:tcPr>
            <w:tcW w:w="0" w:type="auto"/>
            <w:shd w:val="clear" w:color="auto" w:fill="D9D9D9" w:themeFill="background1" w:themeFillShade="D9"/>
          </w:tcPr>
          <w:p w14:paraId="12945A0B" w14:textId="77777777" w:rsidR="003C1D14" w:rsidRPr="0070186D" w:rsidRDefault="003C1D14" w:rsidP="00791082">
            <w:pPr>
              <w:contextualSpacing/>
              <w:rPr>
                <w:rFonts w:eastAsia="Times New Roman"/>
              </w:rPr>
            </w:pPr>
            <w:r w:rsidRPr="0070186D">
              <w:rPr>
                <w:rFonts w:eastAsia="Times New Roman"/>
              </w:rPr>
              <w:t>Native American</w:t>
            </w:r>
          </w:p>
        </w:tc>
        <w:tc>
          <w:tcPr>
            <w:tcW w:w="0" w:type="auto"/>
            <w:shd w:val="clear" w:color="auto" w:fill="D9D9D9" w:themeFill="background1" w:themeFillShade="D9"/>
          </w:tcPr>
          <w:p w14:paraId="604F1E0D" w14:textId="77777777" w:rsidR="003C1D14" w:rsidRPr="0070186D" w:rsidRDefault="003C1D14" w:rsidP="00791082">
            <w:pPr>
              <w:contextualSpacing/>
              <w:jc w:val="center"/>
              <w:rPr>
                <w:rFonts w:eastAsia="Times New Roman"/>
              </w:rPr>
            </w:pPr>
          </w:p>
        </w:tc>
        <w:tc>
          <w:tcPr>
            <w:tcW w:w="0" w:type="auto"/>
            <w:shd w:val="clear" w:color="auto" w:fill="D9D9D9" w:themeFill="background1" w:themeFillShade="D9"/>
          </w:tcPr>
          <w:p w14:paraId="5640D28E" w14:textId="77777777" w:rsidR="003C1D14" w:rsidRDefault="003C1D14" w:rsidP="00791082">
            <w:pPr>
              <w:contextualSpacing/>
              <w:jc w:val="center"/>
              <w:rPr>
                <w:rFonts w:eastAsia="Times New Roman"/>
              </w:rPr>
            </w:pPr>
          </w:p>
        </w:tc>
        <w:tc>
          <w:tcPr>
            <w:tcW w:w="0" w:type="auto"/>
            <w:shd w:val="clear" w:color="auto" w:fill="D9D9D9" w:themeFill="background1" w:themeFillShade="D9"/>
          </w:tcPr>
          <w:p w14:paraId="0FDA78C4" w14:textId="77777777" w:rsidR="003C1D14" w:rsidRDefault="003C1D14" w:rsidP="00791082">
            <w:pPr>
              <w:contextualSpacing/>
              <w:jc w:val="center"/>
              <w:rPr>
                <w:rFonts w:eastAsia="Times New Roman"/>
              </w:rPr>
            </w:pPr>
          </w:p>
        </w:tc>
      </w:tr>
      <w:tr w:rsidR="003C1D14" w:rsidRPr="0070186D" w14:paraId="4C0B8550" w14:textId="77777777" w:rsidTr="00791082">
        <w:tc>
          <w:tcPr>
            <w:tcW w:w="0" w:type="auto"/>
          </w:tcPr>
          <w:p w14:paraId="7DEAFEFE"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tcPr>
          <w:p w14:paraId="3B4540D2" w14:textId="77777777" w:rsidR="003C1D14" w:rsidRPr="0070186D" w:rsidRDefault="003C1D14" w:rsidP="00791082">
            <w:pPr>
              <w:contextualSpacing/>
              <w:jc w:val="center"/>
              <w:rPr>
                <w:rFonts w:eastAsia="Times New Roman"/>
              </w:rPr>
            </w:pPr>
            <w:r w:rsidRPr="0070186D">
              <w:rPr>
                <w:rFonts w:eastAsia="Times New Roman"/>
              </w:rPr>
              <w:t>0.035</w:t>
            </w:r>
          </w:p>
        </w:tc>
        <w:tc>
          <w:tcPr>
            <w:tcW w:w="0" w:type="auto"/>
          </w:tcPr>
          <w:p w14:paraId="6AD49D84" w14:textId="77777777" w:rsidR="003C1D14" w:rsidRDefault="003C1D14" w:rsidP="00791082">
            <w:pPr>
              <w:contextualSpacing/>
              <w:jc w:val="center"/>
              <w:rPr>
                <w:rFonts w:eastAsia="Times New Roman"/>
              </w:rPr>
            </w:pPr>
            <w:r>
              <w:rPr>
                <w:rFonts w:eastAsia="Times New Roman"/>
              </w:rPr>
              <w:t>‒</w:t>
            </w:r>
            <w:r w:rsidRPr="0070186D">
              <w:rPr>
                <w:rFonts w:eastAsia="Times New Roman"/>
              </w:rPr>
              <w:t>0.115</w:t>
            </w:r>
          </w:p>
        </w:tc>
        <w:tc>
          <w:tcPr>
            <w:tcW w:w="0" w:type="auto"/>
          </w:tcPr>
          <w:p w14:paraId="79ABBA00" w14:textId="77777777" w:rsidR="003C1D14" w:rsidRDefault="003C1D14" w:rsidP="00791082">
            <w:pPr>
              <w:contextualSpacing/>
              <w:jc w:val="center"/>
              <w:rPr>
                <w:rFonts w:eastAsia="Times New Roman"/>
              </w:rPr>
            </w:pPr>
            <w:r>
              <w:rPr>
                <w:rFonts w:eastAsia="Times New Roman"/>
              </w:rPr>
              <w:t>‒</w:t>
            </w:r>
            <w:r w:rsidRPr="0070186D">
              <w:rPr>
                <w:rFonts w:eastAsia="Times New Roman"/>
              </w:rPr>
              <w:t>0.130</w:t>
            </w:r>
          </w:p>
        </w:tc>
      </w:tr>
      <w:tr w:rsidR="003C1D14" w:rsidRPr="0070186D" w14:paraId="15413664" w14:textId="77777777" w:rsidTr="00791082">
        <w:tc>
          <w:tcPr>
            <w:tcW w:w="0" w:type="auto"/>
            <w:shd w:val="clear" w:color="auto" w:fill="D9D9D9" w:themeFill="background1" w:themeFillShade="D9"/>
            <w:hideMark/>
          </w:tcPr>
          <w:p w14:paraId="71063CE1" w14:textId="77777777" w:rsidR="003C1D14" w:rsidRPr="0070186D" w:rsidRDefault="003C1D14" w:rsidP="00791082">
            <w:pPr>
              <w:ind w:left="288"/>
              <w:contextualSpacing/>
              <w:rPr>
                <w:rFonts w:eastAsia="Times New Roman"/>
              </w:rPr>
            </w:pPr>
            <w:r w:rsidRPr="0070186D">
              <w:rPr>
                <w:rFonts w:eastAsia="Times New Roman"/>
              </w:rPr>
              <w:t>W</w:t>
            </w:r>
            <w:r>
              <w:rPr>
                <w:rFonts w:eastAsia="Times New Roman"/>
              </w:rPr>
              <w:t>eighted</w:t>
            </w:r>
          </w:p>
        </w:tc>
        <w:tc>
          <w:tcPr>
            <w:tcW w:w="0" w:type="auto"/>
            <w:shd w:val="clear" w:color="auto" w:fill="D9D9D9" w:themeFill="background1" w:themeFillShade="D9"/>
            <w:hideMark/>
          </w:tcPr>
          <w:p w14:paraId="175A7662"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0.001</w:t>
            </w:r>
          </w:p>
        </w:tc>
        <w:tc>
          <w:tcPr>
            <w:tcW w:w="0" w:type="auto"/>
            <w:shd w:val="clear" w:color="auto" w:fill="D9D9D9" w:themeFill="background1" w:themeFillShade="D9"/>
            <w:hideMark/>
          </w:tcPr>
          <w:p w14:paraId="047C3DC9"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0.000</w:t>
            </w:r>
          </w:p>
        </w:tc>
        <w:tc>
          <w:tcPr>
            <w:tcW w:w="0" w:type="auto"/>
            <w:shd w:val="clear" w:color="auto" w:fill="D9D9D9" w:themeFill="background1" w:themeFillShade="D9"/>
            <w:hideMark/>
          </w:tcPr>
          <w:p w14:paraId="2D5AF3A1" w14:textId="77777777" w:rsidR="003C1D14" w:rsidRPr="0070186D" w:rsidRDefault="003C1D14" w:rsidP="00791082">
            <w:pPr>
              <w:contextualSpacing/>
              <w:jc w:val="center"/>
              <w:rPr>
                <w:rFonts w:eastAsia="Times New Roman"/>
              </w:rPr>
            </w:pPr>
            <w:r w:rsidRPr="0070186D">
              <w:rPr>
                <w:rFonts w:eastAsia="Times New Roman"/>
              </w:rPr>
              <w:t>0.001</w:t>
            </w:r>
          </w:p>
        </w:tc>
      </w:tr>
      <w:tr w:rsidR="003C1D14" w:rsidRPr="0070186D" w14:paraId="6AF76FB9" w14:textId="77777777" w:rsidTr="00791082">
        <w:tc>
          <w:tcPr>
            <w:tcW w:w="0" w:type="auto"/>
          </w:tcPr>
          <w:p w14:paraId="01D05813" w14:textId="77777777" w:rsidR="003C1D14" w:rsidRPr="0070186D" w:rsidRDefault="003C1D14" w:rsidP="00791082">
            <w:pPr>
              <w:contextualSpacing/>
              <w:rPr>
                <w:rFonts w:eastAsia="Times New Roman"/>
              </w:rPr>
            </w:pPr>
            <w:r w:rsidRPr="0070186D">
              <w:rPr>
                <w:rFonts w:eastAsia="Times New Roman"/>
              </w:rPr>
              <w:t>Other</w:t>
            </w:r>
          </w:p>
        </w:tc>
        <w:tc>
          <w:tcPr>
            <w:tcW w:w="0" w:type="auto"/>
          </w:tcPr>
          <w:p w14:paraId="30CF77CB" w14:textId="77777777" w:rsidR="003C1D14" w:rsidRPr="0070186D" w:rsidRDefault="003C1D14" w:rsidP="00791082">
            <w:pPr>
              <w:contextualSpacing/>
              <w:jc w:val="center"/>
              <w:rPr>
                <w:rFonts w:eastAsia="Times New Roman"/>
              </w:rPr>
            </w:pPr>
          </w:p>
        </w:tc>
        <w:tc>
          <w:tcPr>
            <w:tcW w:w="0" w:type="auto"/>
          </w:tcPr>
          <w:p w14:paraId="223364A4" w14:textId="77777777" w:rsidR="003C1D14" w:rsidRDefault="003C1D14" w:rsidP="00791082">
            <w:pPr>
              <w:contextualSpacing/>
              <w:jc w:val="center"/>
              <w:rPr>
                <w:rFonts w:eastAsia="Times New Roman"/>
              </w:rPr>
            </w:pPr>
          </w:p>
        </w:tc>
        <w:tc>
          <w:tcPr>
            <w:tcW w:w="0" w:type="auto"/>
          </w:tcPr>
          <w:p w14:paraId="28A8B368" w14:textId="77777777" w:rsidR="003C1D14" w:rsidRDefault="003C1D14" w:rsidP="00791082">
            <w:pPr>
              <w:contextualSpacing/>
              <w:jc w:val="center"/>
              <w:rPr>
                <w:rFonts w:eastAsia="Times New Roman"/>
              </w:rPr>
            </w:pPr>
          </w:p>
        </w:tc>
      </w:tr>
      <w:tr w:rsidR="003C1D14" w:rsidRPr="0070186D" w14:paraId="2081DEF6" w14:textId="77777777" w:rsidTr="00791082">
        <w:tc>
          <w:tcPr>
            <w:tcW w:w="0" w:type="auto"/>
            <w:shd w:val="clear" w:color="auto" w:fill="D9D9D9" w:themeFill="background1" w:themeFillShade="D9"/>
          </w:tcPr>
          <w:p w14:paraId="31860F55"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shd w:val="clear" w:color="auto" w:fill="D9D9D9" w:themeFill="background1" w:themeFillShade="D9"/>
          </w:tcPr>
          <w:p w14:paraId="7F0704EB" w14:textId="77777777" w:rsidR="003C1D14" w:rsidRPr="0070186D" w:rsidRDefault="003C1D14" w:rsidP="00791082">
            <w:pPr>
              <w:contextualSpacing/>
              <w:jc w:val="center"/>
              <w:rPr>
                <w:rFonts w:eastAsia="Times New Roman"/>
              </w:rPr>
            </w:pPr>
            <w:r w:rsidRPr="0070186D">
              <w:rPr>
                <w:rFonts w:eastAsia="Times New Roman"/>
              </w:rPr>
              <w:t>0.028</w:t>
            </w:r>
          </w:p>
        </w:tc>
        <w:tc>
          <w:tcPr>
            <w:tcW w:w="0" w:type="auto"/>
            <w:shd w:val="clear" w:color="auto" w:fill="D9D9D9" w:themeFill="background1" w:themeFillShade="D9"/>
          </w:tcPr>
          <w:p w14:paraId="4B54B1CB" w14:textId="77777777" w:rsidR="003C1D14" w:rsidRDefault="003C1D14" w:rsidP="00791082">
            <w:pPr>
              <w:contextualSpacing/>
              <w:jc w:val="center"/>
              <w:rPr>
                <w:rFonts w:eastAsia="Times New Roman"/>
              </w:rPr>
            </w:pPr>
            <w:r>
              <w:rPr>
                <w:rFonts w:eastAsia="Times New Roman"/>
              </w:rPr>
              <w:t>‒</w:t>
            </w:r>
            <w:r w:rsidRPr="0070186D">
              <w:rPr>
                <w:rFonts w:eastAsia="Times New Roman"/>
              </w:rPr>
              <w:t>0.018</w:t>
            </w:r>
          </w:p>
        </w:tc>
        <w:tc>
          <w:tcPr>
            <w:tcW w:w="0" w:type="auto"/>
            <w:shd w:val="clear" w:color="auto" w:fill="D9D9D9" w:themeFill="background1" w:themeFillShade="D9"/>
          </w:tcPr>
          <w:p w14:paraId="0B358D7E" w14:textId="77777777" w:rsidR="003C1D14" w:rsidRDefault="003C1D14" w:rsidP="00791082">
            <w:pPr>
              <w:contextualSpacing/>
              <w:jc w:val="center"/>
              <w:rPr>
                <w:rFonts w:eastAsia="Times New Roman"/>
              </w:rPr>
            </w:pPr>
            <w:r>
              <w:rPr>
                <w:rFonts w:eastAsia="Times New Roman"/>
              </w:rPr>
              <w:t>‒</w:t>
            </w:r>
            <w:r w:rsidRPr="0070186D">
              <w:rPr>
                <w:rFonts w:eastAsia="Times New Roman"/>
              </w:rPr>
              <w:t>0.045</w:t>
            </w:r>
          </w:p>
        </w:tc>
      </w:tr>
      <w:tr w:rsidR="003C1D14" w:rsidRPr="0070186D" w14:paraId="49932E64" w14:textId="77777777" w:rsidTr="00791082">
        <w:tc>
          <w:tcPr>
            <w:tcW w:w="0" w:type="auto"/>
            <w:hideMark/>
          </w:tcPr>
          <w:p w14:paraId="31534215" w14:textId="77777777" w:rsidR="003C1D14" w:rsidRPr="0070186D" w:rsidRDefault="003C1D14" w:rsidP="00791082">
            <w:pPr>
              <w:ind w:left="288"/>
              <w:contextualSpacing/>
              <w:rPr>
                <w:rFonts w:eastAsia="Times New Roman"/>
              </w:rPr>
            </w:pPr>
            <w:r w:rsidRPr="0070186D">
              <w:rPr>
                <w:rFonts w:eastAsia="Times New Roman"/>
              </w:rPr>
              <w:t>W</w:t>
            </w:r>
            <w:r>
              <w:rPr>
                <w:rFonts w:eastAsia="Times New Roman"/>
              </w:rPr>
              <w:t>eighted</w:t>
            </w:r>
          </w:p>
        </w:tc>
        <w:tc>
          <w:tcPr>
            <w:tcW w:w="0" w:type="auto"/>
            <w:hideMark/>
          </w:tcPr>
          <w:p w14:paraId="621AFABD" w14:textId="77777777" w:rsidR="003C1D14" w:rsidRPr="0070186D" w:rsidRDefault="003C1D14" w:rsidP="00791082">
            <w:pPr>
              <w:contextualSpacing/>
              <w:jc w:val="center"/>
              <w:rPr>
                <w:rFonts w:eastAsia="Times New Roman"/>
              </w:rPr>
            </w:pPr>
            <w:r w:rsidRPr="0070186D">
              <w:rPr>
                <w:rFonts w:eastAsia="Times New Roman"/>
              </w:rPr>
              <w:t>0.002</w:t>
            </w:r>
          </w:p>
        </w:tc>
        <w:tc>
          <w:tcPr>
            <w:tcW w:w="0" w:type="auto"/>
            <w:hideMark/>
          </w:tcPr>
          <w:p w14:paraId="40122011"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0.000</w:t>
            </w:r>
          </w:p>
        </w:tc>
        <w:tc>
          <w:tcPr>
            <w:tcW w:w="0" w:type="auto"/>
            <w:hideMark/>
          </w:tcPr>
          <w:p w14:paraId="12650C3D" w14:textId="77777777" w:rsidR="003C1D14" w:rsidRPr="0070186D" w:rsidRDefault="003C1D14" w:rsidP="00791082">
            <w:pPr>
              <w:contextualSpacing/>
              <w:jc w:val="center"/>
              <w:rPr>
                <w:rFonts w:eastAsia="Times New Roman"/>
              </w:rPr>
            </w:pPr>
            <w:r w:rsidRPr="0070186D">
              <w:rPr>
                <w:rFonts w:eastAsia="Times New Roman"/>
              </w:rPr>
              <w:t>0.003</w:t>
            </w:r>
          </w:p>
        </w:tc>
      </w:tr>
      <w:tr w:rsidR="003C1D14" w:rsidRPr="0070186D" w14:paraId="44622B75" w14:textId="77777777" w:rsidTr="00791082">
        <w:tc>
          <w:tcPr>
            <w:tcW w:w="0" w:type="auto"/>
            <w:shd w:val="clear" w:color="auto" w:fill="D9D9D9" w:themeFill="background1" w:themeFillShade="D9"/>
          </w:tcPr>
          <w:p w14:paraId="2E678EF1" w14:textId="77777777" w:rsidR="003C1D14" w:rsidRPr="0070186D" w:rsidRDefault="003C1D14" w:rsidP="00791082">
            <w:pPr>
              <w:contextualSpacing/>
              <w:rPr>
                <w:rFonts w:eastAsia="Times New Roman"/>
              </w:rPr>
            </w:pPr>
            <w:r w:rsidRPr="0070186D">
              <w:rPr>
                <w:rFonts w:eastAsia="Times New Roman"/>
              </w:rPr>
              <w:t>Medicare</w:t>
            </w:r>
          </w:p>
        </w:tc>
        <w:tc>
          <w:tcPr>
            <w:tcW w:w="0" w:type="auto"/>
            <w:shd w:val="clear" w:color="auto" w:fill="D9D9D9" w:themeFill="background1" w:themeFillShade="D9"/>
          </w:tcPr>
          <w:p w14:paraId="55E37A82" w14:textId="77777777" w:rsidR="003C1D14" w:rsidRPr="0070186D" w:rsidRDefault="003C1D14" w:rsidP="00791082">
            <w:pPr>
              <w:contextualSpacing/>
              <w:jc w:val="center"/>
              <w:rPr>
                <w:rFonts w:eastAsia="Times New Roman"/>
              </w:rPr>
            </w:pPr>
          </w:p>
        </w:tc>
        <w:tc>
          <w:tcPr>
            <w:tcW w:w="0" w:type="auto"/>
            <w:shd w:val="clear" w:color="auto" w:fill="D9D9D9" w:themeFill="background1" w:themeFillShade="D9"/>
          </w:tcPr>
          <w:p w14:paraId="12DFA798" w14:textId="77777777" w:rsidR="003C1D14" w:rsidRPr="0070186D" w:rsidRDefault="003C1D14" w:rsidP="00791082">
            <w:pPr>
              <w:contextualSpacing/>
              <w:jc w:val="center"/>
              <w:rPr>
                <w:rFonts w:eastAsia="Times New Roman"/>
              </w:rPr>
            </w:pPr>
          </w:p>
        </w:tc>
        <w:tc>
          <w:tcPr>
            <w:tcW w:w="0" w:type="auto"/>
            <w:shd w:val="clear" w:color="auto" w:fill="D9D9D9" w:themeFill="background1" w:themeFillShade="D9"/>
          </w:tcPr>
          <w:p w14:paraId="292D27F2" w14:textId="77777777" w:rsidR="003C1D14" w:rsidRPr="0070186D" w:rsidRDefault="003C1D14" w:rsidP="00791082">
            <w:pPr>
              <w:contextualSpacing/>
              <w:jc w:val="center"/>
              <w:rPr>
                <w:rFonts w:eastAsia="Times New Roman"/>
              </w:rPr>
            </w:pPr>
          </w:p>
        </w:tc>
      </w:tr>
      <w:tr w:rsidR="003C1D14" w:rsidRPr="0070186D" w14:paraId="39C4DB43" w14:textId="77777777" w:rsidTr="00791082">
        <w:tc>
          <w:tcPr>
            <w:tcW w:w="0" w:type="auto"/>
          </w:tcPr>
          <w:p w14:paraId="0529F85B"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tcPr>
          <w:p w14:paraId="36296E29" w14:textId="77777777" w:rsidR="003C1D14" w:rsidRPr="0070186D" w:rsidRDefault="003C1D14" w:rsidP="00791082">
            <w:pPr>
              <w:contextualSpacing/>
              <w:jc w:val="center"/>
              <w:rPr>
                <w:rFonts w:eastAsia="Times New Roman"/>
              </w:rPr>
            </w:pPr>
            <w:r w:rsidRPr="0070186D">
              <w:rPr>
                <w:rFonts w:eastAsia="Times New Roman"/>
              </w:rPr>
              <w:t>0.014</w:t>
            </w:r>
          </w:p>
        </w:tc>
        <w:tc>
          <w:tcPr>
            <w:tcW w:w="0" w:type="auto"/>
          </w:tcPr>
          <w:p w14:paraId="6E73F016" w14:textId="77777777" w:rsidR="003C1D14" w:rsidRPr="0070186D" w:rsidRDefault="003C1D14" w:rsidP="00791082">
            <w:pPr>
              <w:contextualSpacing/>
              <w:jc w:val="center"/>
              <w:rPr>
                <w:rFonts w:eastAsia="Times New Roman"/>
              </w:rPr>
            </w:pPr>
            <w:r w:rsidRPr="0070186D">
              <w:rPr>
                <w:rFonts w:eastAsia="Times New Roman"/>
              </w:rPr>
              <w:t>0.114</w:t>
            </w:r>
          </w:p>
        </w:tc>
        <w:tc>
          <w:tcPr>
            <w:tcW w:w="0" w:type="auto"/>
          </w:tcPr>
          <w:p w14:paraId="70CE69FC" w14:textId="77777777" w:rsidR="003C1D14" w:rsidRPr="0070186D" w:rsidRDefault="003C1D14" w:rsidP="00791082">
            <w:pPr>
              <w:contextualSpacing/>
              <w:jc w:val="center"/>
              <w:rPr>
                <w:rFonts w:eastAsia="Times New Roman"/>
              </w:rPr>
            </w:pPr>
            <w:r w:rsidRPr="0070186D">
              <w:rPr>
                <w:rFonts w:eastAsia="Times New Roman"/>
              </w:rPr>
              <w:t>0.107</w:t>
            </w:r>
          </w:p>
        </w:tc>
      </w:tr>
      <w:tr w:rsidR="003C1D14" w:rsidRPr="0070186D" w14:paraId="04D11AD7" w14:textId="77777777" w:rsidTr="00791082">
        <w:tc>
          <w:tcPr>
            <w:tcW w:w="0" w:type="auto"/>
            <w:shd w:val="clear" w:color="auto" w:fill="D9D9D9" w:themeFill="background1" w:themeFillShade="D9"/>
            <w:hideMark/>
          </w:tcPr>
          <w:p w14:paraId="501C76C6" w14:textId="77777777" w:rsidR="003C1D14" w:rsidRPr="0070186D" w:rsidRDefault="003C1D14" w:rsidP="00791082">
            <w:pPr>
              <w:ind w:left="288"/>
              <w:contextualSpacing/>
              <w:rPr>
                <w:rFonts w:eastAsia="Times New Roman"/>
              </w:rPr>
            </w:pPr>
            <w:r w:rsidRPr="0070186D">
              <w:rPr>
                <w:rFonts w:eastAsia="Times New Roman"/>
              </w:rPr>
              <w:t>W</w:t>
            </w:r>
            <w:r>
              <w:rPr>
                <w:rFonts w:eastAsia="Times New Roman"/>
              </w:rPr>
              <w:t>eighted</w:t>
            </w:r>
          </w:p>
        </w:tc>
        <w:tc>
          <w:tcPr>
            <w:tcW w:w="0" w:type="auto"/>
            <w:shd w:val="clear" w:color="auto" w:fill="D9D9D9" w:themeFill="background1" w:themeFillShade="D9"/>
            <w:hideMark/>
          </w:tcPr>
          <w:p w14:paraId="6F05772C"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0.000</w:t>
            </w:r>
          </w:p>
        </w:tc>
        <w:tc>
          <w:tcPr>
            <w:tcW w:w="0" w:type="auto"/>
            <w:shd w:val="clear" w:color="auto" w:fill="D9D9D9" w:themeFill="background1" w:themeFillShade="D9"/>
            <w:hideMark/>
          </w:tcPr>
          <w:p w14:paraId="3FB9CCBE" w14:textId="77777777" w:rsidR="003C1D14" w:rsidRPr="0070186D" w:rsidRDefault="003C1D14" w:rsidP="00791082">
            <w:pPr>
              <w:contextualSpacing/>
              <w:jc w:val="center"/>
              <w:rPr>
                <w:rFonts w:eastAsia="Times New Roman"/>
              </w:rPr>
            </w:pPr>
            <w:r w:rsidRPr="0070186D">
              <w:rPr>
                <w:rFonts w:eastAsia="Times New Roman"/>
              </w:rPr>
              <w:t>0.004</w:t>
            </w:r>
          </w:p>
        </w:tc>
        <w:tc>
          <w:tcPr>
            <w:tcW w:w="0" w:type="auto"/>
            <w:shd w:val="clear" w:color="auto" w:fill="D9D9D9" w:themeFill="background1" w:themeFillShade="D9"/>
            <w:hideMark/>
          </w:tcPr>
          <w:p w14:paraId="55F0754E" w14:textId="77777777" w:rsidR="003C1D14" w:rsidRPr="0070186D" w:rsidRDefault="003C1D14" w:rsidP="00791082">
            <w:pPr>
              <w:contextualSpacing/>
              <w:jc w:val="center"/>
              <w:rPr>
                <w:rFonts w:eastAsia="Times New Roman"/>
              </w:rPr>
            </w:pPr>
            <w:r w:rsidRPr="0070186D">
              <w:rPr>
                <w:rFonts w:eastAsia="Times New Roman"/>
              </w:rPr>
              <w:t>0.004</w:t>
            </w:r>
          </w:p>
        </w:tc>
      </w:tr>
      <w:tr w:rsidR="003C1D14" w:rsidRPr="0070186D" w14:paraId="782AF91C" w14:textId="77777777" w:rsidTr="00791082">
        <w:tc>
          <w:tcPr>
            <w:tcW w:w="0" w:type="auto"/>
          </w:tcPr>
          <w:p w14:paraId="64FF53FD" w14:textId="77777777" w:rsidR="003C1D14" w:rsidRPr="0070186D" w:rsidRDefault="003C1D14" w:rsidP="00791082">
            <w:pPr>
              <w:contextualSpacing/>
              <w:rPr>
                <w:rFonts w:eastAsia="Times New Roman"/>
              </w:rPr>
            </w:pPr>
            <w:r w:rsidRPr="0070186D">
              <w:rPr>
                <w:rFonts w:eastAsia="Times New Roman"/>
              </w:rPr>
              <w:t>Medicaid</w:t>
            </w:r>
          </w:p>
        </w:tc>
        <w:tc>
          <w:tcPr>
            <w:tcW w:w="0" w:type="auto"/>
          </w:tcPr>
          <w:p w14:paraId="3245FF5B" w14:textId="77777777" w:rsidR="003C1D14" w:rsidRPr="0070186D" w:rsidRDefault="003C1D14" w:rsidP="00791082">
            <w:pPr>
              <w:contextualSpacing/>
              <w:jc w:val="center"/>
              <w:rPr>
                <w:rFonts w:eastAsia="Times New Roman"/>
              </w:rPr>
            </w:pPr>
          </w:p>
        </w:tc>
        <w:tc>
          <w:tcPr>
            <w:tcW w:w="0" w:type="auto"/>
          </w:tcPr>
          <w:p w14:paraId="426215DB" w14:textId="77777777" w:rsidR="003C1D14" w:rsidRPr="0070186D" w:rsidRDefault="003C1D14" w:rsidP="00791082">
            <w:pPr>
              <w:contextualSpacing/>
              <w:jc w:val="center"/>
              <w:rPr>
                <w:rFonts w:eastAsia="Times New Roman"/>
              </w:rPr>
            </w:pPr>
          </w:p>
        </w:tc>
        <w:tc>
          <w:tcPr>
            <w:tcW w:w="0" w:type="auto"/>
          </w:tcPr>
          <w:p w14:paraId="47ED5D8E" w14:textId="77777777" w:rsidR="003C1D14" w:rsidRPr="0070186D" w:rsidRDefault="003C1D14" w:rsidP="00791082">
            <w:pPr>
              <w:contextualSpacing/>
              <w:jc w:val="center"/>
              <w:rPr>
                <w:rFonts w:eastAsia="Times New Roman"/>
              </w:rPr>
            </w:pPr>
          </w:p>
        </w:tc>
      </w:tr>
      <w:tr w:rsidR="003C1D14" w:rsidRPr="0070186D" w14:paraId="1938E1FC" w14:textId="77777777" w:rsidTr="00791082">
        <w:tc>
          <w:tcPr>
            <w:tcW w:w="0" w:type="auto"/>
            <w:shd w:val="clear" w:color="auto" w:fill="D9D9D9" w:themeFill="background1" w:themeFillShade="D9"/>
          </w:tcPr>
          <w:p w14:paraId="23A38FEC"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shd w:val="clear" w:color="auto" w:fill="D9D9D9" w:themeFill="background1" w:themeFillShade="D9"/>
          </w:tcPr>
          <w:p w14:paraId="54D5282D"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0.082</w:t>
            </w:r>
          </w:p>
        </w:tc>
        <w:tc>
          <w:tcPr>
            <w:tcW w:w="0" w:type="auto"/>
            <w:shd w:val="clear" w:color="auto" w:fill="D9D9D9" w:themeFill="background1" w:themeFillShade="D9"/>
          </w:tcPr>
          <w:p w14:paraId="10731F37"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0.007</w:t>
            </w:r>
          </w:p>
        </w:tc>
        <w:tc>
          <w:tcPr>
            <w:tcW w:w="0" w:type="auto"/>
            <w:shd w:val="clear" w:color="auto" w:fill="D9D9D9" w:themeFill="background1" w:themeFillShade="D9"/>
          </w:tcPr>
          <w:p w14:paraId="2B8144CB"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0.071</w:t>
            </w:r>
          </w:p>
        </w:tc>
      </w:tr>
      <w:tr w:rsidR="003C1D14" w:rsidRPr="0070186D" w14:paraId="3284D958" w14:textId="77777777" w:rsidTr="00791082">
        <w:tc>
          <w:tcPr>
            <w:tcW w:w="0" w:type="auto"/>
            <w:hideMark/>
          </w:tcPr>
          <w:p w14:paraId="364249E7" w14:textId="77777777" w:rsidR="003C1D14" w:rsidRPr="0070186D" w:rsidRDefault="003C1D14" w:rsidP="00791082">
            <w:pPr>
              <w:ind w:left="288"/>
              <w:contextualSpacing/>
              <w:rPr>
                <w:rFonts w:eastAsia="Times New Roman"/>
              </w:rPr>
            </w:pPr>
            <w:r w:rsidRPr="0070186D">
              <w:rPr>
                <w:rFonts w:eastAsia="Times New Roman"/>
              </w:rPr>
              <w:lastRenderedPageBreak/>
              <w:t>W</w:t>
            </w:r>
            <w:r>
              <w:rPr>
                <w:rFonts w:eastAsia="Times New Roman"/>
              </w:rPr>
              <w:t>eighted</w:t>
            </w:r>
          </w:p>
        </w:tc>
        <w:tc>
          <w:tcPr>
            <w:tcW w:w="0" w:type="auto"/>
            <w:hideMark/>
          </w:tcPr>
          <w:p w14:paraId="2819F617"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0.000</w:t>
            </w:r>
          </w:p>
        </w:tc>
        <w:tc>
          <w:tcPr>
            <w:tcW w:w="0" w:type="auto"/>
            <w:hideMark/>
          </w:tcPr>
          <w:p w14:paraId="07029BAA"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0.004</w:t>
            </w:r>
          </w:p>
        </w:tc>
        <w:tc>
          <w:tcPr>
            <w:tcW w:w="0" w:type="auto"/>
            <w:hideMark/>
          </w:tcPr>
          <w:p w14:paraId="0A1A6AEE"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0.005</w:t>
            </w:r>
          </w:p>
        </w:tc>
      </w:tr>
      <w:tr w:rsidR="003C1D14" w:rsidRPr="0070186D" w14:paraId="78CC866C" w14:textId="77777777" w:rsidTr="00791082">
        <w:tc>
          <w:tcPr>
            <w:tcW w:w="0" w:type="auto"/>
            <w:shd w:val="clear" w:color="auto" w:fill="D9D9D9" w:themeFill="background1" w:themeFillShade="D9"/>
          </w:tcPr>
          <w:p w14:paraId="2D92D73E" w14:textId="77777777" w:rsidR="003C1D14" w:rsidRPr="0070186D" w:rsidRDefault="003C1D14" w:rsidP="00791082">
            <w:pPr>
              <w:contextualSpacing/>
              <w:rPr>
                <w:rFonts w:eastAsia="Times New Roman"/>
              </w:rPr>
            </w:pPr>
            <w:r w:rsidRPr="0070186D">
              <w:rPr>
                <w:rFonts w:eastAsia="Times New Roman"/>
              </w:rPr>
              <w:t>Private insurance</w:t>
            </w:r>
          </w:p>
        </w:tc>
        <w:tc>
          <w:tcPr>
            <w:tcW w:w="0" w:type="auto"/>
            <w:shd w:val="clear" w:color="auto" w:fill="D9D9D9" w:themeFill="background1" w:themeFillShade="D9"/>
          </w:tcPr>
          <w:p w14:paraId="755829EE" w14:textId="77777777" w:rsidR="003C1D14" w:rsidRPr="0070186D" w:rsidRDefault="003C1D14" w:rsidP="00791082">
            <w:pPr>
              <w:contextualSpacing/>
              <w:jc w:val="center"/>
              <w:rPr>
                <w:rFonts w:eastAsia="Times New Roman"/>
              </w:rPr>
            </w:pPr>
          </w:p>
        </w:tc>
        <w:tc>
          <w:tcPr>
            <w:tcW w:w="0" w:type="auto"/>
            <w:shd w:val="clear" w:color="auto" w:fill="D9D9D9" w:themeFill="background1" w:themeFillShade="D9"/>
          </w:tcPr>
          <w:p w14:paraId="524D8972" w14:textId="77777777" w:rsidR="003C1D14" w:rsidRPr="0070186D" w:rsidRDefault="003C1D14" w:rsidP="00791082">
            <w:pPr>
              <w:contextualSpacing/>
              <w:jc w:val="center"/>
              <w:rPr>
                <w:rFonts w:eastAsia="Times New Roman"/>
              </w:rPr>
            </w:pPr>
          </w:p>
        </w:tc>
        <w:tc>
          <w:tcPr>
            <w:tcW w:w="0" w:type="auto"/>
            <w:shd w:val="clear" w:color="auto" w:fill="D9D9D9" w:themeFill="background1" w:themeFillShade="D9"/>
          </w:tcPr>
          <w:p w14:paraId="039EA92B" w14:textId="77777777" w:rsidR="003C1D14" w:rsidRPr="0070186D" w:rsidRDefault="003C1D14" w:rsidP="00791082">
            <w:pPr>
              <w:contextualSpacing/>
              <w:jc w:val="center"/>
              <w:rPr>
                <w:rFonts w:eastAsia="Times New Roman"/>
              </w:rPr>
            </w:pPr>
          </w:p>
        </w:tc>
      </w:tr>
      <w:tr w:rsidR="003C1D14" w:rsidRPr="0070186D" w14:paraId="45D9ABF0" w14:textId="77777777" w:rsidTr="00791082">
        <w:tc>
          <w:tcPr>
            <w:tcW w:w="0" w:type="auto"/>
          </w:tcPr>
          <w:p w14:paraId="594DD917"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tcPr>
          <w:p w14:paraId="1A8E2AF0" w14:textId="77777777" w:rsidR="003C1D14" w:rsidRPr="0070186D" w:rsidRDefault="003C1D14" w:rsidP="00791082">
            <w:pPr>
              <w:contextualSpacing/>
              <w:jc w:val="center"/>
              <w:rPr>
                <w:rFonts w:eastAsia="Times New Roman"/>
              </w:rPr>
            </w:pPr>
            <w:r w:rsidRPr="0070186D">
              <w:rPr>
                <w:rFonts w:eastAsia="Times New Roman"/>
              </w:rPr>
              <w:t>0.004</w:t>
            </w:r>
          </w:p>
        </w:tc>
        <w:tc>
          <w:tcPr>
            <w:tcW w:w="0" w:type="auto"/>
          </w:tcPr>
          <w:p w14:paraId="5B11FC06"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0.046</w:t>
            </w:r>
          </w:p>
        </w:tc>
        <w:tc>
          <w:tcPr>
            <w:tcW w:w="0" w:type="auto"/>
          </w:tcPr>
          <w:p w14:paraId="5BFE4CEB"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0.027</w:t>
            </w:r>
          </w:p>
        </w:tc>
      </w:tr>
      <w:tr w:rsidR="003C1D14" w:rsidRPr="0070186D" w14:paraId="04FE8697" w14:textId="77777777" w:rsidTr="00791082">
        <w:tc>
          <w:tcPr>
            <w:tcW w:w="0" w:type="auto"/>
            <w:shd w:val="clear" w:color="auto" w:fill="D9D9D9" w:themeFill="background1" w:themeFillShade="D9"/>
            <w:hideMark/>
          </w:tcPr>
          <w:p w14:paraId="4AA5E47D" w14:textId="77777777" w:rsidR="003C1D14" w:rsidRPr="0070186D" w:rsidRDefault="003C1D14" w:rsidP="00791082">
            <w:pPr>
              <w:ind w:left="288"/>
              <w:contextualSpacing/>
              <w:rPr>
                <w:rFonts w:eastAsia="Times New Roman"/>
              </w:rPr>
            </w:pPr>
            <w:r w:rsidRPr="0070186D">
              <w:rPr>
                <w:rFonts w:eastAsia="Times New Roman"/>
              </w:rPr>
              <w:t>W</w:t>
            </w:r>
            <w:r>
              <w:rPr>
                <w:rFonts w:eastAsia="Times New Roman"/>
              </w:rPr>
              <w:t>eighted</w:t>
            </w:r>
          </w:p>
        </w:tc>
        <w:tc>
          <w:tcPr>
            <w:tcW w:w="0" w:type="auto"/>
            <w:shd w:val="clear" w:color="auto" w:fill="D9D9D9" w:themeFill="background1" w:themeFillShade="D9"/>
            <w:hideMark/>
          </w:tcPr>
          <w:p w14:paraId="593B6221"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0.002</w:t>
            </w:r>
          </w:p>
        </w:tc>
        <w:tc>
          <w:tcPr>
            <w:tcW w:w="0" w:type="auto"/>
            <w:shd w:val="clear" w:color="auto" w:fill="D9D9D9" w:themeFill="background1" w:themeFillShade="D9"/>
            <w:hideMark/>
          </w:tcPr>
          <w:p w14:paraId="56307A35"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0.001</w:t>
            </w:r>
          </w:p>
        </w:tc>
        <w:tc>
          <w:tcPr>
            <w:tcW w:w="0" w:type="auto"/>
            <w:shd w:val="clear" w:color="auto" w:fill="D9D9D9" w:themeFill="background1" w:themeFillShade="D9"/>
            <w:hideMark/>
          </w:tcPr>
          <w:p w14:paraId="1CCD2483" w14:textId="77777777" w:rsidR="003C1D14" w:rsidRPr="0070186D" w:rsidRDefault="003C1D14" w:rsidP="00791082">
            <w:pPr>
              <w:contextualSpacing/>
              <w:jc w:val="center"/>
              <w:rPr>
                <w:rFonts w:eastAsia="Times New Roman"/>
              </w:rPr>
            </w:pPr>
            <w:r w:rsidRPr="0070186D">
              <w:rPr>
                <w:rFonts w:eastAsia="Times New Roman"/>
              </w:rPr>
              <w:t>0.001</w:t>
            </w:r>
          </w:p>
        </w:tc>
      </w:tr>
      <w:tr w:rsidR="003C1D14" w:rsidRPr="0070186D" w14:paraId="79FCAEE1" w14:textId="77777777" w:rsidTr="00791082">
        <w:tc>
          <w:tcPr>
            <w:tcW w:w="0" w:type="auto"/>
          </w:tcPr>
          <w:p w14:paraId="337E0FE5" w14:textId="77777777" w:rsidR="003C1D14" w:rsidRPr="0070186D" w:rsidRDefault="003C1D14" w:rsidP="00791082">
            <w:pPr>
              <w:contextualSpacing/>
              <w:rPr>
                <w:rFonts w:eastAsia="Times New Roman"/>
              </w:rPr>
            </w:pPr>
            <w:r w:rsidRPr="0070186D">
              <w:rPr>
                <w:rFonts w:eastAsia="Times New Roman"/>
              </w:rPr>
              <w:t>Self-pay</w:t>
            </w:r>
          </w:p>
        </w:tc>
        <w:tc>
          <w:tcPr>
            <w:tcW w:w="0" w:type="auto"/>
          </w:tcPr>
          <w:p w14:paraId="06349126" w14:textId="77777777" w:rsidR="003C1D14" w:rsidRPr="0070186D" w:rsidRDefault="003C1D14" w:rsidP="00791082">
            <w:pPr>
              <w:contextualSpacing/>
              <w:jc w:val="center"/>
              <w:rPr>
                <w:rFonts w:eastAsia="Times New Roman"/>
              </w:rPr>
            </w:pPr>
          </w:p>
        </w:tc>
        <w:tc>
          <w:tcPr>
            <w:tcW w:w="0" w:type="auto"/>
          </w:tcPr>
          <w:p w14:paraId="29B100D3" w14:textId="77777777" w:rsidR="003C1D14" w:rsidRPr="0070186D" w:rsidRDefault="003C1D14" w:rsidP="00791082">
            <w:pPr>
              <w:contextualSpacing/>
              <w:jc w:val="center"/>
              <w:rPr>
                <w:rFonts w:eastAsia="Times New Roman"/>
              </w:rPr>
            </w:pPr>
          </w:p>
        </w:tc>
        <w:tc>
          <w:tcPr>
            <w:tcW w:w="0" w:type="auto"/>
          </w:tcPr>
          <w:p w14:paraId="067963F7" w14:textId="77777777" w:rsidR="003C1D14" w:rsidRPr="0070186D" w:rsidRDefault="003C1D14" w:rsidP="00791082">
            <w:pPr>
              <w:contextualSpacing/>
              <w:jc w:val="center"/>
              <w:rPr>
                <w:rFonts w:eastAsia="Times New Roman"/>
              </w:rPr>
            </w:pPr>
          </w:p>
        </w:tc>
      </w:tr>
      <w:tr w:rsidR="003C1D14" w:rsidRPr="0070186D" w14:paraId="36693C53" w14:textId="77777777" w:rsidTr="00791082">
        <w:tc>
          <w:tcPr>
            <w:tcW w:w="0" w:type="auto"/>
            <w:shd w:val="clear" w:color="auto" w:fill="D9D9D9" w:themeFill="background1" w:themeFillShade="D9"/>
          </w:tcPr>
          <w:p w14:paraId="6DCDD7C2"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shd w:val="clear" w:color="auto" w:fill="D9D9D9" w:themeFill="background1" w:themeFillShade="D9"/>
          </w:tcPr>
          <w:p w14:paraId="0CDB2E95" w14:textId="77777777" w:rsidR="003C1D14" w:rsidRPr="0070186D" w:rsidRDefault="003C1D14" w:rsidP="00791082">
            <w:pPr>
              <w:contextualSpacing/>
              <w:jc w:val="center"/>
              <w:rPr>
                <w:rFonts w:eastAsia="Times New Roman"/>
              </w:rPr>
            </w:pPr>
            <w:r w:rsidRPr="0070186D">
              <w:rPr>
                <w:rFonts w:eastAsia="Times New Roman"/>
              </w:rPr>
              <w:t>0.099</w:t>
            </w:r>
          </w:p>
        </w:tc>
        <w:tc>
          <w:tcPr>
            <w:tcW w:w="0" w:type="auto"/>
            <w:shd w:val="clear" w:color="auto" w:fill="D9D9D9" w:themeFill="background1" w:themeFillShade="D9"/>
          </w:tcPr>
          <w:p w14:paraId="4F96BC68"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0.183</w:t>
            </w:r>
          </w:p>
        </w:tc>
        <w:tc>
          <w:tcPr>
            <w:tcW w:w="0" w:type="auto"/>
            <w:shd w:val="clear" w:color="auto" w:fill="D9D9D9" w:themeFill="background1" w:themeFillShade="D9"/>
          </w:tcPr>
          <w:p w14:paraId="64C6B70C"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0.092</w:t>
            </w:r>
          </w:p>
        </w:tc>
      </w:tr>
      <w:tr w:rsidR="003C1D14" w:rsidRPr="0070186D" w14:paraId="439C2B64" w14:textId="77777777" w:rsidTr="00791082">
        <w:tc>
          <w:tcPr>
            <w:tcW w:w="0" w:type="auto"/>
            <w:hideMark/>
          </w:tcPr>
          <w:p w14:paraId="7E3C0461" w14:textId="77777777" w:rsidR="003C1D14" w:rsidRPr="0070186D" w:rsidRDefault="003C1D14" w:rsidP="00791082">
            <w:pPr>
              <w:ind w:left="288"/>
              <w:contextualSpacing/>
              <w:rPr>
                <w:rFonts w:eastAsia="Times New Roman"/>
              </w:rPr>
            </w:pPr>
            <w:r w:rsidRPr="0070186D">
              <w:rPr>
                <w:rFonts w:eastAsia="Times New Roman"/>
              </w:rPr>
              <w:t>W</w:t>
            </w:r>
            <w:r>
              <w:rPr>
                <w:rFonts w:eastAsia="Times New Roman"/>
              </w:rPr>
              <w:t>eighted</w:t>
            </w:r>
          </w:p>
        </w:tc>
        <w:tc>
          <w:tcPr>
            <w:tcW w:w="0" w:type="auto"/>
            <w:hideMark/>
          </w:tcPr>
          <w:p w14:paraId="5F810156" w14:textId="77777777" w:rsidR="003C1D14" w:rsidRPr="0070186D" w:rsidRDefault="003C1D14" w:rsidP="00791082">
            <w:pPr>
              <w:contextualSpacing/>
              <w:jc w:val="center"/>
              <w:rPr>
                <w:rFonts w:eastAsia="Times New Roman"/>
              </w:rPr>
            </w:pPr>
            <w:r w:rsidRPr="0070186D">
              <w:rPr>
                <w:rFonts w:eastAsia="Times New Roman"/>
              </w:rPr>
              <w:t>0.002</w:t>
            </w:r>
          </w:p>
        </w:tc>
        <w:tc>
          <w:tcPr>
            <w:tcW w:w="0" w:type="auto"/>
            <w:hideMark/>
          </w:tcPr>
          <w:p w14:paraId="731D2312" w14:textId="77777777" w:rsidR="003C1D14" w:rsidRPr="0070186D" w:rsidRDefault="003C1D14" w:rsidP="00791082">
            <w:pPr>
              <w:contextualSpacing/>
              <w:jc w:val="center"/>
              <w:rPr>
                <w:rFonts w:eastAsia="Times New Roman"/>
              </w:rPr>
            </w:pPr>
            <w:r w:rsidRPr="0070186D">
              <w:rPr>
                <w:rFonts w:eastAsia="Times New Roman"/>
              </w:rPr>
              <w:t>0.000</w:t>
            </w:r>
          </w:p>
        </w:tc>
        <w:tc>
          <w:tcPr>
            <w:tcW w:w="0" w:type="auto"/>
            <w:hideMark/>
          </w:tcPr>
          <w:p w14:paraId="3FD759C8"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0.000</w:t>
            </w:r>
          </w:p>
        </w:tc>
      </w:tr>
      <w:tr w:rsidR="003C1D14" w:rsidRPr="0070186D" w14:paraId="6E0560B6" w14:textId="77777777" w:rsidTr="00791082">
        <w:tc>
          <w:tcPr>
            <w:tcW w:w="0" w:type="auto"/>
            <w:shd w:val="clear" w:color="auto" w:fill="D9D9D9" w:themeFill="background1" w:themeFillShade="D9"/>
          </w:tcPr>
          <w:p w14:paraId="59397E15" w14:textId="77777777" w:rsidR="003C1D14" w:rsidRPr="0070186D" w:rsidRDefault="003C1D14" w:rsidP="00791082">
            <w:pPr>
              <w:contextualSpacing/>
              <w:rPr>
                <w:rFonts w:eastAsia="Times New Roman"/>
              </w:rPr>
            </w:pPr>
            <w:r w:rsidRPr="0070186D">
              <w:rPr>
                <w:rFonts w:eastAsia="Times New Roman"/>
              </w:rPr>
              <w:t>No charge</w:t>
            </w:r>
          </w:p>
        </w:tc>
        <w:tc>
          <w:tcPr>
            <w:tcW w:w="0" w:type="auto"/>
            <w:shd w:val="clear" w:color="auto" w:fill="D9D9D9" w:themeFill="background1" w:themeFillShade="D9"/>
          </w:tcPr>
          <w:p w14:paraId="0DA6D4E8" w14:textId="77777777" w:rsidR="003C1D14" w:rsidRPr="0070186D" w:rsidRDefault="003C1D14" w:rsidP="00791082">
            <w:pPr>
              <w:contextualSpacing/>
              <w:jc w:val="center"/>
              <w:rPr>
                <w:rFonts w:eastAsia="Times New Roman"/>
              </w:rPr>
            </w:pPr>
          </w:p>
        </w:tc>
        <w:tc>
          <w:tcPr>
            <w:tcW w:w="0" w:type="auto"/>
            <w:shd w:val="clear" w:color="auto" w:fill="D9D9D9" w:themeFill="background1" w:themeFillShade="D9"/>
          </w:tcPr>
          <w:p w14:paraId="544283A0" w14:textId="77777777" w:rsidR="003C1D14" w:rsidRPr="0070186D" w:rsidRDefault="003C1D14" w:rsidP="00791082">
            <w:pPr>
              <w:contextualSpacing/>
              <w:jc w:val="center"/>
              <w:rPr>
                <w:rFonts w:eastAsia="Times New Roman"/>
              </w:rPr>
            </w:pPr>
          </w:p>
        </w:tc>
        <w:tc>
          <w:tcPr>
            <w:tcW w:w="0" w:type="auto"/>
            <w:shd w:val="clear" w:color="auto" w:fill="D9D9D9" w:themeFill="background1" w:themeFillShade="D9"/>
          </w:tcPr>
          <w:p w14:paraId="16C06592" w14:textId="77777777" w:rsidR="003C1D14" w:rsidRPr="0070186D" w:rsidRDefault="003C1D14" w:rsidP="00791082">
            <w:pPr>
              <w:contextualSpacing/>
              <w:jc w:val="center"/>
              <w:rPr>
                <w:rFonts w:eastAsia="Times New Roman"/>
              </w:rPr>
            </w:pPr>
          </w:p>
        </w:tc>
      </w:tr>
      <w:tr w:rsidR="003C1D14" w:rsidRPr="0070186D" w14:paraId="074F6F74" w14:textId="77777777" w:rsidTr="00791082">
        <w:tc>
          <w:tcPr>
            <w:tcW w:w="0" w:type="auto"/>
          </w:tcPr>
          <w:p w14:paraId="5F5C1BAE"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tcPr>
          <w:p w14:paraId="6B9EBBE6" w14:textId="77777777" w:rsidR="003C1D14" w:rsidRPr="0070186D" w:rsidRDefault="003C1D14" w:rsidP="00791082">
            <w:pPr>
              <w:contextualSpacing/>
              <w:jc w:val="center"/>
              <w:rPr>
                <w:rFonts w:eastAsia="Times New Roman"/>
              </w:rPr>
            </w:pPr>
            <w:r w:rsidRPr="0070186D">
              <w:rPr>
                <w:rFonts w:eastAsia="Times New Roman"/>
              </w:rPr>
              <w:t>0.054</w:t>
            </w:r>
          </w:p>
        </w:tc>
        <w:tc>
          <w:tcPr>
            <w:tcW w:w="0" w:type="auto"/>
          </w:tcPr>
          <w:p w14:paraId="439B50A7"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0.028</w:t>
            </w:r>
          </w:p>
        </w:tc>
        <w:tc>
          <w:tcPr>
            <w:tcW w:w="0" w:type="auto"/>
          </w:tcPr>
          <w:p w14:paraId="3871F84D"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0.089</w:t>
            </w:r>
          </w:p>
        </w:tc>
      </w:tr>
      <w:tr w:rsidR="003C1D14" w:rsidRPr="0070186D" w14:paraId="4E553501" w14:textId="77777777" w:rsidTr="00791082">
        <w:tc>
          <w:tcPr>
            <w:tcW w:w="0" w:type="auto"/>
            <w:shd w:val="clear" w:color="auto" w:fill="D9D9D9" w:themeFill="background1" w:themeFillShade="D9"/>
            <w:hideMark/>
          </w:tcPr>
          <w:p w14:paraId="0D736194" w14:textId="77777777" w:rsidR="003C1D14" w:rsidRPr="0070186D" w:rsidRDefault="003C1D14" w:rsidP="00791082">
            <w:pPr>
              <w:ind w:left="288"/>
              <w:contextualSpacing/>
              <w:rPr>
                <w:rFonts w:eastAsia="Times New Roman"/>
              </w:rPr>
            </w:pPr>
            <w:r w:rsidRPr="0070186D">
              <w:rPr>
                <w:rFonts w:eastAsia="Times New Roman"/>
              </w:rPr>
              <w:t>W</w:t>
            </w:r>
            <w:r>
              <w:rPr>
                <w:rFonts w:eastAsia="Times New Roman"/>
              </w:rPr>
              <w:t>eighted</w:t>
            </w:r>
          </w:p>
        </w:tc>
        <w:tc>
          <w:tcPr>
            <w:tcW w:w="0" w:type="auto"/>
            <w:shd w:val="clear" w:color="auto" w:fill="D9D9D9" w:themeFill="background1" w:themeFillShade="D9"/>
            <w:hideMark/>
          </w:tcPr>
          <w:p w14:paraId="1E73133B" w14:textId="77777777" w:rsidR="003C1D14" w:rsidRPr="0070186D" w:rsidRDefault="003C1D14" w:rsidP="00791082">
            <w:pPr>
              <w:contextualSpacing/>
              <w:jc w:val="center"/>
              <w:rPr>
                <w:rFonts w:eastAsia="Times New Roman"/>
              </w:rPr>
            </w:pPr>
            <w:r w:rsidRPr="0070186D">
              <w:rPr>
                <w:rFonts w:eastAsia="Times New Roman"/>
              </w:rPr>
              <w:t>0.002</w:t>
            </w:r>
          </w:p>
        </w:tc>
        <w:tc>
          <w:tcPr>
            <w:tcW w:w="0" w:type="auto"/>
            <w:shd w:val="clear" w:color="auto" w:fill="D9D9D9" w:themeFill="background1" w:themeFillShade="D9"/>
            <w:hideMark/>
          </w:tcPr>
          <w:p w14:paraId="3FB57535" w14:textId="77777777" w:rsidR="003C1D14" w:rsidRPr="0070186D" w:rsidRDefault="003C1D14" w:rsidP="00791082">
            <w:pPr>
              <w:contextualSpacing/>
              <w:jc w:val="center"/>
              <w:rPr>
                <w:rFonts w:eastAsia="Times New Roman"/>
              </w:rPr>
            </w:pPr>
            <w:r w:rsidRPr="0070186D">
              <w:rPr>
                <w:rFonts w:eastAsia="Times New Roman"/>
              </w:rPr>
              <w:t>0.000</w:t>
            </w:r>
          </w:p>
        </w:tc>
        <w:tc>
          <w:tcPr>
            <w:tcW w:w="0" w:type="auto"/>
            <w:shd w:val="clear" w:color="auto" w:fill="D9D9D9" w:themeFill="background1" w:themeFillShade="D9"/>
            <w:hideMark/>
          </w:tcPr>
          <w:p w14:paraId="2F5E43A1" w14:textId="77777777" w:rsidR="003C1D14" w:rsidRPr="0070186D" w:rsidRDefault="003C1D14" w:rsidP="00791082">
            <w:pPr>
              <w:contextualSpacing/>
              <w:jc w:val="center"/>
              <w:rPr>
                <w:rFonts w:eastAsia="Times New Roman"/>
              </w:rPr>
            </w:pPr>
            <w:r w:rsidRPr="0070186D">
              <w:rPr>
                <w:rFonts w:eastAsia="Times New Roman"/>
              </w:rPr>
              <w:t>0.001</w:t>
            </w:r>
          </w:p>
        </w:tc>
      </w:tr>
      <w:tr w:rsidR="003C1D14" w:rsidRPr="0070186D" w14:paraId="3E2B2523" w14:textId="77777777" w:rsidTr="00791082">
        <w:tc>
          <w:tcPr>
            <w:tcW w:w="0" w:type="auto"/>
          </w:tcPr>
          <w:p w14:paraId="35DF4613" w14:textId="77777777" w:rsidR="003C1D14" w:rsidRPr="0070186D" w:rsidRDefault="003C1D14" w:rsidP="00791082">
            <w:pPr>
              <w:contextualSpacing/>
              <w:rPr>
                <w:rFonts w:eastAsia="Times New Roman"/>
              </w:rPr>
            </w:pPr>
            <w:r w:rsidRPr="0070186D">
              <w:rPr>
                <w:rFonts w:eastAsia="Times New Roman"/>
              </w:rPr>
              <w:t>Other</w:t>
            </w:r>
          </w:p>
        </w:tc>
        <w:tc>
          <w:tcPr>
            <w:tcW w:w="0" w:type="auto"/>
          </w:tcPr>
          <w:p w14:paraId="51901128" w14:textId="77777777" w:rsidR="003C1D14" w:rsidRPr="0070186D" w:rsidRDefault="003C1D14" w:rsidP="00791082">
            <w:pPr>
              <w:contextualSpacing/>
              <w:jc w:val="center"/>
              <w:rPr>
                <w:rFonts w:eastAsia="Times New Roman"/>
              </w:rPr>
            </w:pPr>
          </w:p>
        </w:tc>
        <w:tc>
          <w:tcPr>
            <w:tcW w:w="0" w:type="auto"/>
          </w:tcPr>
          <w:p w14:paraId="1EEF0599" w14:textId="77777777" w:rsidR="003C1D14" w:rsidRPr="0070186D" w:rsidRDefault="003C1D14" w:rsidP="00791082">
            <w:pPr>
              <w:contextualSpacing/>
              <w:jc w:val="center"/>
              <w:rPr>
                <w:rFonts w:eastAsia="Times New Roman"/>
              </w:rPr>
            </w:pPr>
          </w:p>
        </w:tc>
        <w:tc>
          <w:tcPr>
            <w:tcW w:w="0" w:type="auto"/>
          </w:tcPr>
          <w:p w14:paraId="52B67ECB" w14:textId="77777777" w:rsidR="003C1D14" w:rsidRPr="0070186D" w:rsidRDefault="003C1D14" w:rsidP="00791082">
            <w:pPr>
              <w:contextualSpacing/>
              <w:jc w:val="center"/>
              <w:rPr>
                <w:rFonts w:eastAsia="Times New Roman"/>
              </w:rPr>
            </w:pPr>
          </w:p>
        </w:tc>
      </w:tr>
      <w:tr w:rsidR="003C1D14" w:rsidRPr="0070186D" w14:paraId="6DE2F5F7" w14:textId="77777777" w:rsidTr="00791082">
        <w:tc>
          <w:tcPr>
            <w:tcW w:w="0" w:type="auto"/>
            <w:shd w:val="clear" w:color="auto" w:fill="D9D9D9" w:themeFill="background1" w:themeFillShade="D9"/>
          </w:tcPr>
          <w:p w14:paraId="183C7F11"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shd w:val="clear" w:color="auto" w:fill="D9D9D9" w:themeFill="background1" w:themeFillShade="D9"/>
          </w:tcPr>
          <w:p w14:paraId="63E3705D" w14:textId="77777777" w:rsidR="003C1D14" w:rsidRPr="0070186D" w:rsidRDefault="003C1D14" w:rsidP="00791082">
            <w:pPr>
              <w:contextualSpacing/>
              <w:jc w:val="center"/>
              <w:rPr>
                <w:rFonts w:eastAsia="Times New Roman"/>
              </w:rPr>
            </w:pPr>
            <w:r w:rsidRPr="0070186D">
              <w:rPr>
                <w:rFonts w:eastAsia="Times New Roman"/>
              </w:rPr>
              <w:t>0.009</w:t>
            </w:r>
          </w:p>
        </w:tc>
        <w:tc>
          <w:tcPr>
            <w:tcW w:w="0" w:type="auto"/>
            <w:shd w:val="clear" w:color="auto" w:fill="D9D9D9" w:themeFill="background1" w:themeFillShade="D9"/>
          </w:tcPr>
          <w:p w14:paraId="275A7AAD" w14:textId="77777777" w:rsidR="003C1D14" w:rsidRPr="0070186D" w:rsidRDefault="003C1D14" w:rsidP="00791082">
            <w:pPr>
              <w:contextualSpacing/>
              <w:jc w:val="center"/>
              <w:rPr>
                <w:rFonts w:eastAsia="Times New Roman"/>
              </w:rPr>
            </w:pPr>
            <w:r w:rsidRPr="0070186D">
              <w:rPr>
                <w:rFonts w:eastAsia="Times New Roman"/>
              </w:rPr>
              <w:t>0.022</w:t>
            </w:r>
          </w:p>
        </w:tc>
        <w:tc>
          <w:tcPr>
            <w:tcW w:w="0" w:type="auto"/>
            <w:shd w:val="clear" w:color="auto" w:fill="D9D9D9" w:themeFill="background1" w:themeFillShade="D9"/>
          </w:tcPr>
          <w:p w14:paraId="5520FEFC" w14:textId="77777777" w:rsidR="003C1D14" w:rsidRPr="0070186D" w:rsidRDefault="003C1D14" w:rsidP="00791082">
            <w:pPr>
              <w:contextualSpacing/>
              <w:jc w:val="center"/>
              <w:rPr>
                <w:rFonts w:eastAsia="Times New Roman"/>
              </w:rPr>
            </w:pPr>
            <w:r w:rsidRPr="0070186D">
              <w:rPr>
                <w:rFonts w:eastAsia="Times New Roman"/>
              </w:rPr>
              <w:t>0.027</w:t>
            </w:r>
          </w:p>
        </w:tc>
      </w:tr>
      <w:tr w:rsidR="003C1D14" w:rsidRPr="0070186D" w14:paraId="11589CF0" w14:textId="77777777" w:rsidTr="00791082">
        <w:tc>
          <w:tcPr>
            <w:tcW w:w="0" w:type="auto"/>
            <w:hideMark/>
          </w:tcPr>
          <w:p w14:paraId="3702FE91" w14:textId="77777777" w:rsidR="003C1D14" w:rsidRPr="0070186D" w:rsidRDefault="003C1D14" w:rsidP="00791082">
            <w:pPr>
              <w:ind w:left="288"/>
              <w:contextualSpacing/>
              <w:rPr>
                <w:rFonts w:eastAsia="Times New Roman"/>
              </w:rPr>
            </w:pPr>
            <w:r w:rsidRPr="0070186D">
              <w:rPr>
                <w:rFonts w:eastAsia="Times New Roman"/>
              </w:rPr>
              <w:t>W</w:t>
            </w:r>
            <w:r>
              <w:rPr>
                <w:rFonts w:eastAsia="Times New Roman"/>
              </w:rPr>
              <w:t>eighted</w:t>
            </w:r>
          </w:p>
        </w:tc>
        <w:tc>
          <w:tcPr>
            <w:tcW w:w="0" w:type="auto"/>
            <w:hideMark/>
          </w:tcPr>
          <w:p w14:paraId="08ECC1A4" w14:textId="77777777" w:rsidR="003C1D14" w:rsidRPr="0070186D" w:rsidRDefault="003C1D14" w:rsidP="00791082">
            <w:pPr>
              <w:contextualSpacing/>
              <w:jc w:val="center"/>
              <w:rPr>
                <w:rFonts w:eastAsia="Times New Roman"/>
              </w:rPr>
            </w:pPr>
            <w:r w:rsidRPr="0070186D">
              <w:rPr>
                <w:rFonts w:eastAsia="Times New Roman"/>
              </w:rPr>
              <w:t>0.003</w:t>
            </w:r>
          </w:p>
        </w:tc>
        <w:tc>
          <w:tcPr>
            <w:tcW w:w="0" w:type="auto"/>
            <w:hideMark/>
          </w:tcPr>
          <w:p w14:paraId="7DCD768F"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0.001</w:t>
            </w:r>
          </w:p>
        </w:tc>
        <w:tc>
          <w:tcPr>
            <w:tcW w:w="0" w:type="auto"/>
            <w:hideMark/>
          </w:tcPr>
          <w:p w14:paraId="4E4A3ED0"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0.006</w:t>
            </w:r>
          </w:p>
        </w:tc>
      </w:tr>
      <w:tr w:rsidR="003C1D14" w:rsidRPr="0070186D" w14:paraId="41196B22" w14:textId="77777777" w:rsidTr="00791082">
        <w:tc>
          <w:tcPr>
            <w:tcW w:w="0" w:type="auto"/>
            <w:gridSpan w:val="2"/>
            <w:shd w:val="clear" w:color="auto" w:fill="D9D9D9" w:themeFill="background1" w:themeFillShade="D9"/>
          </w:tcPr>
          <w:p w14:paraId="0F8961D5" w14:textId="77777777" w:rsidR="003C1D14" w:rsidRPr="0070186D" w:rsidRDefault="003C1D14" w:rsidP="00791082">
            <w:pPr>
              <w:contextualSpacing/>
              <w:rPr>
                <w:rFonts w:eastAsia="Times New Roman"/>
              </w:rPr>
            </w:pPr>
            <w:r w:rsidRPr="0070186D">
              <w:rPr>
                <w:rFonts w:eastAsia="Times New Roman"/>
              </w:rPr>
              <w:t>Psychiatric admission</w:t>
            </w:r>
          </w:p>
        </w:tc>
        <w:tc>
          <w:tcPr>
            <w:tcW w:w="0" w:type="auto"/>
            <w:shd w:val="clear" w:color="auto" w:fill="D9D9D9" w:themeFill="background1" w:themeFillShade="D9"/>
          </w:tcPr>
          <w:p w14:paraId="247AD629" w14:textId="77777777" w:rsidR="003C1D14" w:rsidRPr="0070186D" w:rsidRDefault="003C1D14" w:rsidP="00791082">
            <w:pPr>
              <w:contextualSpacing/>
              <w:jc w:val="center"/>
              <w:rPr>
                <w:rFonts w:eastAsia="Times New Roman"/>
              </w:rPr>
            </w:pPr>
          </w:p>
        </w:tc>
        <w:tc>
          <w:tcPr>
            <w:tcW w:w="0" w:type="auto"/>
            <w:shd w:val="clear" w:color="auto" w:fill="D9D9D9" w:themeFill="background1" w:themeFillShade="D9"/>
          </w:tcPr>
          <w:p w14:paraId="1776BC10" w14:textId="77777777" w:rsidR="003C1D14" w:rsidRPr="0070186D" w:rsidRDefault="003C1D14" w:rsidP="00791082">
            <w:pPr>
              <w:contextualSpacing/>
              <w:jc w:val="center"/>
              <w:rPr>
                <w:rFonts w:eastAsia="Times New Roman"/>
              </w:rPr>
            </w:pPr>
          </w:p>
        </w:tc>
      </w:tr>
      <w:tr w:rsidR="003C1D14" w:rsidRPr="0070186D" w14:paraId="79B57536" w14:textId="77777777" w:rsidTr="00791082">
        <w:tc>
          <w:tcPr>
            <w:tcW w:w="0" w:type="auto"/>
          </w:tcPr>
          <w:p w14:paraId="072FCF79"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tcPr>
          <w:p w14:paraId="5036F972"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0.013</w:t>
            </w:r>
          </w:p>
        </w:tc>
        <w:tc>
          <w:tcPr>
            <w:tcW w:w="0" w:type="auto"/>
          </w:tcPr>
          <w:p w14:paraId="680C75DC" w14:textId="77777777" w:rsidR="003C1D14" w:rsidRPr="0070186D" w:rsidRDefault="003C1D14" w:rsidP="00791082">
            <w:pPr>
              <w:contextualSpacing/>
              <w:jc w:val="center"/>
              <w:rPr>
                <w:rFonts w:eastAsia="Times New Roman"/>
              </w:rPr>
            </w:pPr>
            <w:r w:rsidRPr="0070186D">
              <w:rPr>
                <w:rFonts w:eastAsia="Times New Roman"/>
              </w:rPr>
              <w:t>0.070</w:t>
            </w:r>
          </w:p>
        </w:tc>
        <w:tc>
          <w:tcPr>
            <w:tcW w:w="0" w:type="auto"/>
          </w:tcPr>
          <w:p w14:paraId="411264E5" w14:textId="77777777" w:rsidR="003C1D14" w:rsidRPr="0070186D" w:rsidRDefault="003C1D14" w:rsidP="00791082">
            <w:pPr>
              <w:contextualSpacing/>
              <w:jc w:val="center"/>
              <w:rPr>
                <w:rFonts w:eastAsia="Times New Roman"/>
              </w:rPr>
            </w:pPr>
            <w:r w:rsidRPr="0070186D">
              <w:rPr>
                <w:rFonts w:eastAsia="Times New Roman"/>
              </w:rPr>
              <w:t>0.069</w:t>
            </w:r>
          </w:p>
        </w:tc>
      </w:tr>
      <w:tr w:rsidR="003C1D14" w:rsidRPr="0070186D" w14:paraId="2A1482DF" w14:textId="77777777" w:rsidTr="00791082">
        <w:tc>
          <w:tcPr>
            <w:tcW w:w="0" w:type="auto"/>
            <w:shd w:val="clear" w:color="auto" w:fill="D9D9D9" w:themeFill="background1" w:themeFillShade="D9"/>
            <w:hideMark/>
          </w:tcPr>
          <w:p w14:paraId="415E9885" w14:textId="77777777" w:rsidR="003C1D14" w:rsidRPr="0070186D" w:rsidRDefault="003C1D14" w:rsidP="00791082">
            <w:pPr>
              <w:ind w:left="288"/>
              <w:contextualSpacing/>
              <w:rPr>
                <w:rFonts w:eastAsia="Times New Roman"/>
              </w:rPr>
            </w:pPr>
            <w:r w:rsidRPr="0070186D">
              <w:rPr>
                <w:rFonts w:eastAsia="Times New Roman"/>
              </w:rPr>
              <w:t>W</w:t>
            </w:r>
            <w:r>
              <w:rPr>
                <w:rFonts w:eastAsia="Times New Roman"/>
              </w:rPr>
              <w:t>eighted</w:t>
            </w:r>
          </w:p>
        </w:tc>
        <w:tc>
          <w:tcPr>
            <w:tcW w:w="0" w:type="auto"/>
            <w:shd w:val="clear" w:color="auto" w:fill="D9D9D9" w:themeFill="background1" w:themeFillShade="D9"/>
            <w:hideMark/>
          </w:tcPr>
          <w:p w14:paraId="650E028D" w14:textId="77777777" w:rsidR="003C1D14" w:rsidRPr="0070186D" w:rsidRDefault="003C1D14" w:rsidP="00791082">
            <w:pPr>
              <w:contextualSpacing/>
              <w:jc w:val="center"/>
              <w:rPr>
                <w:rFonts w:eastAsia="Times New Roman"/>
              </w:rPr>
            </w:pPr>
            <w:r w:rsidRPr="0070186D">
              <w:rPr>
                <w:rFonts w:eastAsia="Times New Roman"/>
              </w:rPr>
              <w:t>0.001</w:t>
            </w:r>
          </w:p>
        </w:tc>
        <w:tc>
          <w:tcPr>
            <w:tcW w:w="0" w:type="auto"/>
            <w:shd w:val="clear" w:color="auto" w:fill="D9D9D9" w:themeFill="background1" w:themeFillShade="D9"/>
            <w:hideMark/>
          </w:tcPr>
          <w:p w14:paraId="6584CC10" w14:textId="77777777" w:rsidR="003C1D14" w:rsidRPr="0070186D" w:rsidRDefault="003C1D14" w:rsidP="00791082">
            <w:pPr>
              <w:contextualSpacing/>
              <w:jc w:val="center"/>
              <w:rPr>
                <w:rFonts w:eastAsia="Times New Roman"/>
              </w:rPr>
            </w:pPr>
            <w:r w:rsidRPr="0070186D">
              <w:rPr>
                <w:rFonts w:eastAsia="Times New Roman"/>
              </w:rPr>
              <w:t>0.000</w:t>
            </w:r>
          </w:p>
        </w:tc>
        <w:tc>
          <w:tcPr>
            <w:tcW w:w="0" w:type="auto"/>
            <w:shd w:val="clear" w:color="auto" w:fill="D9D9D9" w:themeFill="background1" w:themeFillShade="D9"/>
            <w:hideMark/>
          </w:tcPr>
          <w:p w14:paraId="329570C8" w14:textId="77777777" w:rsidR="003C1D14" w:rsidRPr="0070186D" w:rsidRDefault="003C1D14" w:rsidP="00791082">
            <w:pPr>
              <w:contextualSpacing/>
              <w:jc w:val="center"/>
              <w:rPr>
                <w:rFonts w:eastAsia="Times New Roman"/>
              </w:rPr>
            </w:pPr>
            <w:r w:rsidRPr="0070186D">
              <w:rPr>
                <w:rFonts w:eastAsia="Times New Roman"/>
              </w:rPr>
              <w:t>0.000</w:t>
            </w:r>
          </w:p>
        </w:tc>
      </w:tr>
      <w:tr w:rsidR="003C1D14" w:rsidRPr="0070186D" w14:paraId="541DE5F8" w14:textId="77777777" w:rsidTr="00791082">
        <w:tc>
          <w:tcPr>
            <w:tcW w:w="0" w:type="auto"/>
            <w:gridSpan w:val="2"/>
          </w:tcPr>
          <w:p w14:paraId="6FED7329" w14:textId="77777777" w:rsidR="003C1D14" w:rsidRPr="0070186D" w:rsidRDefault="003C1D14" w:rsidP="00791082">
            <w:pPr>
              <w:contextualSpacing/>
              <w:rPr>
                <w:rFonts w:eastAsia="Times New Roman"/>
              </w:rPr>
            </w:pPr>
            <w:r w:rsidRPr="0070186D">
              <w:rPr>
                <w:rFonts w:eastAsia="Times New Roman"/>
              </w:rPr>
              <w:t>Emergency department admission</w:t>
            </w:r>
          </w:p>
        </w:tc>
        <w:tc>
          <w:tcPr>
            <w:tcW w:w="0" w:type="auto"/>
          </w:tcPr>
          <w:p w14:paraId="0367D70C" w14:textId="77777777" w:rsidR="003C1D14" w:rsidRPr="0070186D" w:rsidRDefault="003C1D14" w:rsidP="00791082">
            <w:pPr>
              <w:contextualSpacing/>
              <w:jc w:val="center"/>
              <w:rPr>
                <w:rFonts w:eastAsia="Times New Roman"/>
              </w:rPr>
            </w:pPr>
          </w:p>
        </w:tc>
        <w:tc>
          <w:tcPr>
            <w:tcW w:w="0" w:type="auto"/>
          </w:tcPr>
          <w:p w14:paraId="41B1913F" w14:textId="77777777" w:rsidR="003C1D14" w:rsidRPr="0070186D" w:rsidRDefault="003C1D14" w:rsidP="00791082">
            <w:pPr>
              <w:contextualSpacing/>
              <w:jc w:val="center"/>
              <w:rPr>
                <w:rFonts w:eastAsia="Times New Roman"/>
              </w:rPr>
            </w:pPr>
          </w:p>
        </w:tc>
      </w:tr>
      <w:tr w:rsidR="003C1D14" w:rsidRPr="0070186D" w14:paraId="52C6F35F" w14:textId="77777777" w:rsidTr="00791082">
        <w:tc>
          <w:tcPr>
            <w:tcW w:w="0" w:type="auto"/>
            <w:shd w:val="clear" w:color="auto" w:fill="D9D9D9" w:themeFill="background1" w:themeFillShade="D9"/>
          </w:tcPr>
          <w:p w14:paraId="1A0C2AE5" w14:textId="77777777" w:rsidR="003C1D14" w:rsidRPr="0070186D" w:rsidRDefault="003C1D14" w:rsidP="00791082">
            <w:pPr>
              <w:ind w:left="288"/>
              <w:contextualSpacing/>
              <w:rPr>
                <w:rFonts w:eastAsia="Times New Roman"/>
              </w:rPr>
            </w:pPr>
            <w:r w:rsidRPr="0070186D">
              <w:rPr>
                <w:rFonts w:eastAsia="Times New Roman"/>
              </w:rPr>
              <w:t>U</w:t>
            </w:r>
            <w:r>
              <w:rPr>
                <w:rFonts w:eastAsia="Times New Roman"/>
              </w:rPr>
              <w:t>nweighted</w:t>
            </w:r>
          </w:p>
        </w:tc>
        <w:tc>
          <w:tcPr>
            <w:tcW w:w="0" w:type="auto"/>
            <w:shd w:val="clear" w:color="auto" w:fill="D9D9D9" w:themeFill="background1" w:themeFillShade="D9"/>
          </w:tcPr>
          <w:p w14:paraId="5FD657D3"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0.040</w:t>
            </w:r>
          </w:p>
        </w:tc>
        <w:tc>
          <w:tcPr>
            <w:tcW w:w="0" w:type="auto"/>
            <w:shd w:val="clear" w:color="auto" w:fill="D9D9D9" w:themeFill="background1" w:themeFillShade="D9"/>
          </w:tcPr>
          <w:p w14:paraId="3CF4222E"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0.041</w:t>
            </w:r>
          </w:p>
        </w:tc>
        <w:tc>
          <w:tcPr>
            <w:tcW w:w="0" w:type="auto"/>
            <w:shd w:val="clear" w:color="auto" w:fill="D9D9D9" w:themeFill="background1" w:themeFillShade="D9"/>
          </w:tcPr>
          <w:p w14:paraId="7CD00118"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0.163</w:t>
            </w:r>
          </w:p>
        </w:tc>
      </w:tr>
      <w:tr w:rsidR="003C1D14" w:rsidRPr="0070186D" w14:paraId="179AE50B" w14:textId="77777777" w:rsidTr="00791082">
        <w:tc>
          <w:tcPr>
            <w:tcW w:w="0" w:type="auto"/>
            <w:hideMark/>
          </w:tcPr>
          <w:p w14:paraId="357374E1" w14:textId="77777777" w:rsidR="003C1D14" w:rsidRPr="0070186D" w:rsidRDefault="003C1D14" w:rsidP="00791082">
            <w:pPr>
              <w:ind w:left="288"/>
              <w:contextualSpacing/>
              <w:rPr>
                <w:rFonts w:eastAsia="Times New Roman"/>
              </w:rPr>
            </w:pPr>
            <w:r w:rsidRPr="0070186D">
              <w:rPr>
                <w:rFonts w:eastAsia="Times New Roman"/>
              </w:rPr>
              <w:t>W</w:t>
            </w:r>
            <w:r>
              <w:rPr>
                <w:rFonts w:eastAsia="Times New Roman"/>
              </w:rPr>
              <w:t>eighted</w:t>
            </w:r>
          </w:p>
        </w:tc>
        <w:tc>
          <w:tcPr>
            <w:tcW w:w="0" w:type="auto"/>
            <w:hideMark/>
          </w:tcPr>
          <w:p w14:paraId="2957AEC3" w14:textId="77777777" w:rsidR="003C1D14" w:rsidRPr="0070186D" w:rsidRDefault="003C1D14" w:rsidP="00791082">
            <w:pPr>
              <w:contextualSpacing/>
              <w:jc w:val="center"/>
              <w:rPr>
                <w:rFonts w:eastAsia="Times New Roman"/>
              </w:rPr>
            </w:pPr>
            <w:r w:rsidRPr="0070186D">
              <w:rPr>
                <w:rFonts w:eastAsia="Times New Roman"/>
              </w:rPr>
              <w:t>0.002</w:t>
            </w:r>
          </w:p>
        </w:tc>
        <w:tc>
          <w:tcPr>
            <w:tcW w:w="0" w:type="auto"/>
            <w:hideMark/>
          </w:tcPr>
          <w:p w14:paraId="23D82C35" w14:textId="77777777" w:rsidR="003C1D14" w:rsidRPr="0070186D" w:rsidRDefault="003C1D14" w:rsidP="00791082">
            <w:pPr>
              <w:contextualSpacing/>
              <w:jc w:val="center"/>
              <w:rPr>
                <w:rFonts w:eastAsia="Times New Roman"/>
              </w:rPr>
            </w:pPr>
            <w:r>
              <w:rPr>
                <w:rFonts w:eastAsia="Times New Roman"/>
              </w:rPr>
              <w:t>‒</w:t>
            </w:r>
            <w:r w:rsidRPr="0070186D">
              <w:rPr>
                <w:rFonts w:eastAsia="Times New Roman"/>
              </w:rPr>
              <w:t>0.003</w:t>
            </w:r>
          </w:p>
        </w:tc>
        <w:tc>
          <w:tcPr>
            <w:tcW w:w="0" w:type="auto"/>
            <w:hideMark/>
          </w:tcPr>
          <w:p w14:paraId="3724BE07" w14:textId="77777777" w:rsidR="003C1D14" w:rsidRPr="0070186D" w:rsidRDefault="003C1D14" w:rsidP="00791082">
            <w:pPr>
              <w:contextualSpacing/>
              <w:jc w:val="center"/>
              <w:rPr>
                <w:rFonts w:eastAsia="Times New Roman"/>
              </w:rPr>
            </w:pPr>
            <w:r w:rsidRPr="0070186D">
              <w:rPr>
                <w:rFonts w:eastAsia="Times New Roman"/>
              </w:rPr>
              <w:t>0.003</w:t>
            </w:r>
          </w:p>
        </w:tc>
      </w:tr>
    </w:tbl>
    <w:p w14:paraId="2C5189F3" w14:textId="77777777" w:rsidR="003C1D14" w:rsidRDefault="003C1D14" w:rsidP="003C1D14">
      <w:pPr>
        <w:contextualSpacing/>
        <w:rPr>
          <w:rFonts w:eastAsia="Times New Roman"/>
        </w:rPr>
      </w:pPr>
      <w:r w:rsidRPr="007C4E00">
        <w:rPr>
          <w:rFonts w:eastAsia="Times New Roman"/>
          <w:i/>
        </w:rPr>
        <w:t>Note:</w:t>
      </w:r>
      <w:r w:rsidRPr="0070186D">
        <w:rPr>
          <w:rFonts w:eastAsia="Times New Roman"/>
        </w:rPr>
        <w:t xml:space="preserve"> Standardized differences in means are in reference to means of SIM states, pre-SIM implementation.</w:t>
      </w:r>
    </w:p>
    <w:p w14:paraId="4F25F689" w14:textId="77777777" w:rsidR="003C1D14" w:rsidRDefault="003C1D14" w:rsidP="003C1D14">
      <w:pPr>
        <w:contextualSpacing/>
        <w:rPr>
          <w:rFonts w:eastAsia="Times New Roman"/>
        </w:rPr>
      </w:pPr>
    </w:p>
    <w:p w14:paraId="7E6FB5A4" w14:textId="77777777" w:rsidR="003C1D14" w:rsidRDefault="003C1D14" w:rsidP="003C1D14">
      <w:pPr>
        <w:contextualSpacing/>
        <w:rPr>
          <w:rFonts w:eastAsia="Times New Roman"/>
        </w:rPr>
      </w:pPr>
      <w:r w:rsidRPr="0070186D">
        <w:rPr>
          <w:rFonts w:eastAsia="Times New Roman"/>
          <w:i/>
          <w:iCs/>
        </w:rPr>
        <w:t>Source</w:t>
      </w:r>
      <w:r w:rsidRPr="007C4E00">
        <w:rPr>
          <w:rFonts w:eastAsia="Times New Roman"/>
          <w:iCs/>
        </w:rPr>
        <w:t>:</w:t>
      </w:r>
      <w:r w:rsidRPr="0070186D">
        <w:rPr>
          <w:rFonts w:eastAsia="Times New Roman"/>
        </w:rPr>
        <w:t xml:space="preserve"> A</w:t>
      </w:r>
      <w:r>
        <w:rPr>
          <w:rFonts w:eastAsia="Times New Roman"/>
        </w:rPr>
        <w:t xml:space="preserve">gency for </w:t>
      </w:r>
      <w:r w:rsidRPr="0070186D">
        <w:rPr>
          <w:rFonts w:eastAsia="Times New Roman"/>
        </w:rPr>
        <w:t>H</w:t>
      </w:r>
      <w:r>
        <w:rPr>
          <w:rFonts w:eastAsia="Times New Roman"/>
        </w:rPr>
        <w:t xml:space="preserve">ealthcare </w:t>
      </w:r>
      <w:r w:rsidRPr="0070186D">
        <w:rPr>
          <w:rFonts w:eastAsia="Times New Roman"/>
        </w:rPr>
        <w:t>R</w:t>
      </w:r>
      <w:r>
        <w:rPr>
          <w:rFonts w:eastAsia="Times New Roman"/>
        </w:rPr>
        <w:t xml:space="preserve">esearch and </w:t>
      </w:r>
      <w:r w:rsidRPr="0070186D">
        <w:rPr>
          <w:rFonts w:eastAsia="Times New Roman"/>
        </w:rPr>
        <w:t>Q</w:t>
      </w:r>
      <w:r>
        <w:rPr>
          <w:rFonts w:eastAsia="Times New Roman"/>
        </w:rPr>
        <w:t>uality</w:t>
      </w:r>
      <w:r w:rsidRPr="0070186D">
        <w:rPr>
          <w:rFonts w:eastAsia="Times New Roman"/>
        </w:rPr>
        <w:t xml:space="preserve"> Health Care Cost and Utilization Project (HCUP) </w:t>
      </w:r>
      <w:r>
        <w:rPr>
          <w:rFonts w:eastAsia="Times New Roman"/>
        </w:rPr>
        <w:t>S</w:t>
      </w:r>
      <w:r w:rsidRPr="0070186D">
        <w:rPr>
          <w:rFonts w:eastAsia="Times New Roman"/>
        </w:rPr>
        <w:t xml:space="preserve">tate </w:t>
      </w:r>
      <w:r>
        <w:rPr>
          <w:rFonts w:eastAsia="Times New Roman"/>
        </w:rPr>
        <w:t>I</w:t>
      </w:r>
      <w:r w:rsidRPr="0070186D">
        <w:rPr>
          <w:rFonts w:eastAsia="Times New Roman"/>
        </w:rPr>
        <w:t xml:space="preserve">npatient </w:t>
      </w:r>
      <w:r>
        <w:rPr>
          <w:rFonts w:eastAsia="Times New Roman"/>
        </w:rPr>
        <w:t>Databases</w:t>
      </w:r>
      <w:r w:rsidRPr="0070186D">
        <w:rPr>
          <w:rFonts w:eastAsia="Times New Roman"/>
        </w:rPr>
        <w:t xml:space="preserve"> 2010</w:t>
      </w:r>
      <w:r>
        <w:rPr>
          <w:rFonts w:eastAsia="Times New Roman"/>
        </w:rPr>
        <w:t>‒</w:t>
      </w:r>
      <w:r w:rsidRPr="0070186D">
        <w:rPr>
          <w:rFonts w:eastAsia="Times New Roman"/>
        </w:rPr>
        <w:t>2015</w:t>
      </w:r>
      <w:r>
        <w:rPr>
          <w:rFonts w:eastAsia="Times New Roman"/>
        </w:rPr>
        <w:t>.</w:t>
      </w:r>
    </w:p>
    <w:p w14:paraId="1E98468C" w14:textId="77777777" w:rsidR="003C1D14" w:rsidRDefault="003C1D14" w:rsidP="003C1D14">
      <w:pPr>
        <w:contextualSpacing/>
        <w:rPr>
          <w:rFonts w:eastAsia="Times New Roman"/>
        </w:rPr>
      </w:pPr>
    </w:p>
    <w:p w14:paraId="52D726F9" w14:textId="77777777" w:rsidR="003C1D14" w:rsidRPr="0070186D" w:rsidRDefault="003C1D14" w:rsidP="003C1D14">
      <w:pPr>
        <w:contextualSpacing/>
      </w:pPr>
      <w:r>
        <w:t xml:space="preserve">SIM, </w:t>
      </w:r>
      <w:r w:rsidRPr="0070186D">
        <w:rPr>
          <w:rFonts w:eastAsia="Calibri"/>
        </w:rPr>
        <w:t>State Innovation Models</w:t>
      </w:r>
      <w:r>
        <w:rPr>
          <w:rFonts w:eastAsia="Calibri"/>
        </w:rPr>
        <w:t>.</w:t>
      </w:r>
    </w:p>
    <w:p w14:paraId="22FF0E8D" w14:textId="77777777" w:rsidR="003C1D14" w:rsidRDefault="003C1D14" w:rsidP="003C1D14"/>
    <w:p w14:paraId="2D6AAB0C" w14:textId="77777777" w:rsidR="00CC055A" w:rsidRDefault="003C1D14"/>
    <w:sectPr w:rsidR="00CC055A" w:rsidSect="007C4E0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20B1"/>
    <w:multiLevelType w:val="hybridMultilevel"/>
    <w:tmpl w:val="6778F746"/>
    <w:lvl w:ilvl="0" w:tplc="047A263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14"/>
    <w:rsid w:val="00060A66"/>
    <w:rsid w:val="000734E5"/>
    <w:rsid w:val="001A0CBB"/>
    <w:rsid w:val="002B66D5"/>
    <w:rsid w:val="003C1D14"/>
    <w:rsid w:val="003C6F95"/>
    <w:rsid w:val="003E4108"/>
    <w:rsid w:val="00482639"/>
    <w:rsid w:val="004B5167"/>
    <w:rsid w:val="00524215"/>
    <w:rsid w:val="005B1EAE"/>
    <w:rsid w:val="00622959"/>
    <w:rsid w:val="006D31DB"/>
    <w:rsid w:val="00760493"/>
    <w:rsid w:val="00786F3B"/>
    <w:rsid w:val="007E15CC"/>
    <w:rsid w:val="00845153"/>
    <w:rsid w:val="009953FE"/>
    <w:rsid w:val="00A00784"/>
    <w:rsid w:val="00A45035"/>
    <w:rsid w:val="00B36225"/>
    <w:rsid w:val="00BB33DA"/>
    <w:rsid w:val="00C676F0"/>
    <w:rsid w:val="00D722E9"/>
    <w:rsid w:val="00DB62B9"/>
    <w:rsid w:val="00E739B7"/>
    <w:rsid w:val="00F31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6AAF4"/>
  <w14:defaultImageDpi w14:val="32767"/>
  <w15:chartTrackingRefBased/>
  <w15:docId w15:val="{0763D8EC-5509-E54D-93D6-C9DC532C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1D1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D14"/>
    <w:pPr>
      <w:ind w:left="720"/>
      <w:contextualSpacing/>
    </w:pPr>
    <w:rPr>
      <w:rFonts w:asciiTheme="minorHAnsi" w:hAnsiTheme="minorHAnsi" w:cstheme="minorBidi"/>
    </w:rPr>
  </w:style>
  <w:style w:type="character" w:styleId="Hyperlink">
    <w:name w:val="Hyperlink"/>
    <w:basedOn w:val="DefaultParagraphFont"/>
    <w:uiPriority w:val="99"/>
    <w:unhideWhenUsed/>
    <w:rsid w:val="003C1D14"/>
    <w:rPr>
      <w:color w:val="0000FF"/>
      <w:u w:val="single"/>
    </w:rPr>
  </w:style>
  <w:style w:type="table" w:styleId="TableGrid">
    <w:name w:val="Table Grid"/>
    <w:basedOn w:val="TableNormal"/>
    <w:uiPriority w:val="39"/>
    <w:rsid w:val="003C1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3/j.ajkd.2016.10.035" TargetMode="External"/><Relationship Id="rId13" Type="http://schemas.openxmlformats.org/officeDocument/2006/relationships/hyperlink" Target="https://doi.org/10.2196/13849" TargetMode="External"/><Relationship Id="rId18" Type="http://schemas.openxmlformats.org/officeDocument/2006/relationships/hyperlink" Target="https://doi.org/10.1016/j.amepre.2019.07.01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11/1475-6773.12670" TargetMode="External"/><Relationship Id="rId12" Type="http://schemas.openxmlformats.org/officeDocument/2006/relationships/hyperlink" Target="https://doi.org/10.1377/hblog20190311.823116" TargetMode="External"/><Relationship Id="rId17" Type="http://schemas.openxmlformats.org/officeDocument/2006/relationships/hyperlink" Target="https://doi.org/10.1177/1536867x1501500208" TargetMode="External"/><Relationship Id="rId2" Type="http://schemas.openxmlformats.org/officeDocument/2006/relationships/styles" Target="styles.xml"/><Relationship Id="rId16" Type="http://schemas.openxmlformats.org/officeDocument/2006/relationships/hyperlink" Target="https://doi.org/10.1111/j.1365-2753.2010.01504.x" TargetMode="External"/><Relationship Id="rId20" Type="http://schemas.openxmlformats.org/officeDocument/2006/relationships/hyperlink" Target="https://doi.org/10.1017/cbo9780511810725.030" TargetMode="External"/><Relationship Id="rId1" Type="http://schemas.openxmlformats.org/officeDocument/2006/relationships/numbering" Target="numbering.xml"/><Relationship Id="rId6" Type="http://schemas.openxmlformats.org/officeDocument/2006/relationships/hyperlink" Target="https://doi.org/10.1186/s12875-016-0526-8" TargetMode="External"/><Relationship Id="rId11" Type="http://schemas.openxmlformats.org/officeDocument/2006/relationships/hyperlink" Target="https://doi.org/10.1111/1468-0009.12386" TargetMode="External"/><Relationship Id="rId5" Type="http://schemas.openxmlformats.org/officeDocument/2006/relationships/hyperlink" Target="https://doi.org/10.1097/mlr.0000000000000764" TargetMode="External"/><Relationship Id="rId15" Type="http://schemas.openxmlformats.org/officeDocument/2006/relationships/hyperlink" Target="https://doi.org/10.1007/s10742-014-0123-z" TargetMode="External"/><Relationship Id="rId10" Type="http://schemas.openxmlformats.org/officeDocument/2006/relationships/hyperlink" Target="https://doi.org/10.1001/jama.2016.9282" TargetMode="External"/><Relationship Id="rId19" Type="http://schemas.openxmlformats.org/officeDocument/2006/relationships/hyperlink" Target="https://doi.org/10.1001/jamanetworkopen.2019.11514" TargetMode="External"/><Relationship Id="rId4" Type="http://schemas.openxmlformats.org/officeDocument/2006/relationships/webSettings" Target="webSettings.xml"/><Relationship Id="rId9" Type="http://schemas.openxmlformats.org/officeDocument/2006/relationships/hyperlink" Target="https://doi.org/10.1136/bmjqs-2015-004521" TargetMode="External"/><Relationship Id="rId14" Type="http://schemas.openxmlformats.org/officeDocument/2006/relationships/hyperlink" Target="https://doi.org/10.1111/1468-0009.1238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7076</Words>
  <Characters>40335</Characters>
  <Application>Microsoft Office Word</Application>
  <DocSecurity>0</DocSecurity>
  <Lines>336</Lines>
  <Paragraphs>94</Paragraphs>
  <ScaleCrop>false</ScaleCrop>
  <Company/>
  <LinksUpToDate>false</LinksUpToDate>
  <CharactersWithSpaces>47317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Meaghan Olson</dc:creator>
  <cp:keywords/>
  <dc:description/>
  <cp:lastModifiedBy>Meaghan Olson</cp:lastModifiedBy>
  <cp:revision>1</cp:revision>
  <dcterms:created xsi:type="dcterms:W3CDTF">2020-05-12T17:59:00Z</dcterms:created>
  <dcterms:modified xsi:type="dcterms:W3CDTF">2020-05-12T18:00:00Z</dcterms:modified>
</cp:coreProperties>
</file>