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05" w:rsidRDefault="00875C05" w:rsidP="00875C05">
      <w:pPr>
        <w:spacing w:after="0" w:line="276" w:lineRule="auto"/>
        <w:rPr>
          <w:rFonts w:ascii="Helvetica" w:hAnsi="Helvetica" w:cs="Helvetica"/>
          <w:b/>
        </w:rPr>
      </w:pPr>
      <w:proofErr w:type="gramStart"/>
      <w:r w:rsidRPr="009A0C62">
        <w:rPr>
          <w:rFonts w:ascii="Helvetica" w:hAnsi="Helvetica" w:cs="Helvetica"/>
          <w:b/>
        </w:rPr>
        <w:t>Supplemental Table 1.</w:t>
      </w:r>
      <w:proofErr w:type="gramEnd"/>
      <w:r>
        <w:rPr>
          <w:rFonts w:ascii="Helvetica" w:hAnsi="Helvetica" w:cs="Helvetica"/>
          <w:b/>
        </w:rPr>
        <w:t xml:space="preserve"> </w:t>
      </w:r>
      <w:r w:rsidRPr="009A0C62">
        <w:rPr>
          <w:rFonts w:ascii="Helvetica" w:hAnsi="Helvetica" w:cs="Helvetica"/>
          <w:b/>
        </w:rPr>
        <w:t xml:space="preserve">Laboratory </w:t>
      </w:r>
      <w:r>
        <w:rPr>
          <w:rFonts w:ascii="Helvetica" w:hAnsi="Helvetica" w:cs="Helvetica"/>
          <w:b/>
        </w:rPr>
        <w:t xml:space="preserve">Test </w:t>
      </w:r>
      <w:r w:rsidRPr="009A0C62">
        <w:rPr>
          <w:rFonts w:ascii="Helvetica" w:hAnsi="Helvetica" w:cs="Helvetica"/>
          <w:b/>
        </w:rPr>
        <w:t>and Drug Name Identifiers Used in Electronic Queries to Identify Data Elements in Electronic Health Records</w:t>
      </w:r>
    </w:p>
    <w:p w:rsidR="00875C05" w:rsidRPr="009A0C62" w:rsidRDefault="00875C05" w:rsidP="00875C05">
      <w:pPr>
        <w:spacing w:after="0" w:line="276" w:lineRule="auto"/>
        <w:rPr>
          <w:rFonts w:ascii="Helvetica" w:hAnsi="Helvetica" w:cs="Helvetica"/>
          <w:b/>
        </w:rPr>
      </w:pPr>
    </w:p>
    <w:tbl>
      <w:tblPr>
        <w:tblW w:w="9900" w:type="dxa"/>
        <w:tblInd w:w="-5" w:type="dxa"/>
        <w:tblLook w:val="04A0" w:firstRow="1" w:lastRow="0" w:firstColumn="1" w:lastColumn="0" w:noHBand="0" w:noVBand="1"/>
      </w:tblPr>
      <w:tblGrid>
        <w:gridCol w:w="6210"/>
        <w:gridCol w:w="3690"/>
      </w:tblGrid>
      <w:tr w:rsidR="00875C05" w:rsidRPr="001C2FF6" w:rsidTr="00AF3105">
        <w:trPr>
          <w:trHeight w:val="259"/>
        </w:trPr>
        <w:tc>
          <w:tcPr>
            <w:tcW w:w="62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 xml:space="preserve">Laboratory </w:t>
            </w:r>
            <w:r>
              <w:rPr>
                <w:rFonts w:ascii="Arial" w:eastAsia="Times New Roman" w:hAnsi="Arial" w:cs="Arial"/>
                <w:b/>
                <w:bCs/>
                <w:color w:val="000000"/>
                <w:sz w:val="20"/>
                <w:szCs w:val="20"/>
              </w:rPr>
              <w:t xml:space="preserve">Test </w:t>
            </w:r>
            <w:r w:rsidRPr="001C2FF6">
              <w:rPr>
                <w:rFonts w:ascii="Arial" w:eastAsia="Times New Roman" w:hAnsi="Arial" w:cs="Arial"/>
                <w:b/>
                <w:bCs/>
                <w:color w:val="000000"/>
                <w:sz w:val="20"/>
                <w:szCs w:val="20"/>
              </w:rPr>
              <w:t>Name</w:t>
            </w:r>
          </w:p>
        </w:tc>
        <w:tc>
          <w:tcPr>
            <w:tcW w:w="3690" w:type="dxa"/>
            <w:tcBorders>
              <w:top w:val="single" w:sz="4" w:space="0" w:color="auto"/>
              <w:left w:val="nil"/>
              <w:bottom w:val="single" w:sz="4" w:space="0" w:color="auto"/>
              <w:right w:val="single" w:sz="4" w:space="0" w:color="auto"/>
            </w:tcBorders>
            <w:shd w:val="clear" w:color="000000" w:fill="A6A6A6"/>
            <w:vAlign w:val="center"/>
            <w:hideMark/>
          </w:tcPr>
          <w:p w:rsidR="00875C05" w:rsidRPr="001C2FF6" w:rsidRDefault="00875C05" w:rsidP="00AF3105">
            <w:pPr>
              <w:spacing w:after="0" w:line="240" w:lineRule="auto"/>
              <w:jc w:val="center"/>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LOINC*</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[Moles/volume] in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15074-8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[Mass/volume] in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2339-0</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[Mass/volume] in Blood by Test strip auto</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2340-8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[Moles/volume] in Arterial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39481-7</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[Mass/volume] in Arterial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41651-1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[Moles/volume] in Capillary blood by Glucometer</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14743-9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[Mass/volume] in Capillary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32016-8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[Mass/volume] in Capillary blood by Glucometer</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41653-7</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[Moles/volume] in Capillary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51596-5</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Fasting glucose [Mass/volume] in Capillary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1556-0</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Fasting glucose [Moles/volume] in Capillary blood by Glucometer</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14770-2</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Fasting glucose [Mass/volume] in Capillary blood by Glucometer</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41604-0</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[Moles/volume] in Venous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39480-9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[Mass/volume] in Venous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41652-9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Fasting glucose [Mass/volume] in Venous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1557-8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[Moles/volume] in Serum or Plasma</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14749-6</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Glucose [Mass/volume] in Serum or Plasma</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2345-7</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Fasting glucose [Moles/volume] in Serum or Plasma</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14771-0</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744990">
              <w:rPr>
                <w:rFonts w:ascii="Arial" w:eastAsia="Times New Roman" w:hAnsi="Arial" w:cs="Arial"/>
                <w:color w:val="000000"/>
                <w:sz w:val="20"/>
                <w:szCs w:val="20"/>
              </w:rPr>
              <w:t>Fasting glucose [Mass/volume] in Serum or Plasma</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744990">
              <w:rPr>
                <w:rFonts w:ascii="Arial" w:eastAsia="Times New Roman" w:hAnsi="Arial" w:cs="Arial"/>
                <w:color w:val="000000"/>
                <w:sz w:val="20"/>
                <w:szCs w:val="20"/>
              </w:rPr>
              <w:t>1558-6</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[Mass/volume] in Serum or Plasma --post meal</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16915-1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[Moles/volume] in Serum or Plasma --post meal</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53094-9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[Moles/volume] in Serum or Plasma --pre-meal</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40193-5</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Fasting glucose [Mass/volume] in Venous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1557-8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[Mass/volume] in Serum or Plasma --pre-meal</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53049-3</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[Mass/volume] in Serum or Plasma --12 hours fasting</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1554-5</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[Mass/volume] in Serum or Plasma --10 hours fasting</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10450-5</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[Mass/volume] in Serum or Plasma --8 hours fasting</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17865-7</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[Mass/volume] in Blood --post meal</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87422-2</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E54D68">
              <w:rPr>
                <w:rFonts w:ascii="Arial" w:eastAsia="Times New Roman" w:hAnsi="Arial" w:cs="Arial"/>
                <w:color w:val="000000"/>
                <w:sz w:val="20"/>
                <w:szCs w:val="20"/>
              </w:rPr>
              <w:t>Glucose [Moles/volume] in Serum, Plasma or Blood</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E54D68">
              <w:rPr>
                <w:rFonts w:ascii="Arial" w:eastAsia="Times New Roman" w:hAnsi="Arial" w:cs="Arial"/>
                <w:color w:val="000000"/>
                <w:sz w:val="20"/>
                <w:szCs w:val="20"/>
              </w:rPr>
              <w:t>77135-2</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000000" w:fill="A6A6A6"/>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Drug Name</w:t>
            </w:r>
            <w:r w:rsidR="00E16D05">
              <w:rPr>
                <w:rFonts w:ascii="Arial" w:eastAsia="Times New Roman" w:hAnsi="Arial" w:cs="Arial"/>
                <w:b/>
                <w:bCs/>
                <w:color w:val="000000"/>
                <w:sz w:val="20"/>
                <w:szCs w:val="20"/>
              </w:rPr>
              <w:t xml:space="preserve"> </w:t>
            </w:r>
            <w:r w:rsidR="00E16D05" w:rsidRPr="00E16D05">
              <w:rPr>
                <w:rFonts w:ascii="Arial" w:eastAsia="Times New Roman" w:hAnsi="Arial" w:cs="Arial"/>
                <w:b/>
                <w:bCs/>
                <w:color w:val="000000"/>
                <w:sz w:val="20"/>
                <w:szCs w:val="20"/>
              </w:rPr>
              <w:t>†</w:t>
            </w:r>
          </w:p>
        </w:tc>
        <w:tc>
          <w:tcPr>
            <w:tcW w:w="3690" w:type="dxa"/>
            <w:tcBorders>
              <w:top w:val="nil"/>
              <w:left w:val="nil"/>
              <w:bottom w:val="single" w:sz="4" w:space="0" w:color="auto"/>
              <w:right w:val="single" w:sz="4" w:space="0" w:color="auto"/>
            </w:tcBorders>
            <w:shd w:val="clear" w:color="000000" w:fill="A6A6A6"/>
            <w:vAlign w:val="center"/>
            <w:hideMark/>
          </w:tcPr>
          <w:p w:rsidR="00875C05" w:rsidRPr="001C2FF6" w:rsidRDefault="00875C05" w:rsidP="00AF3105">
            <w:pPr>
              <w:spacing w:after="0" w:line="240" w:lineRule="auto"/>
              <w:jc w:val="center"/>
              <w:rPr>
                <w:rFonts w:ascii="Arial" w:eastAsia="Times New Roman" w:hAnsi="Arial" w:cs="Arial"/>
                <w:b/>
                <w:bCs/>
                <w:color w:val="000000"/>
                <w:sz w:val="20"/>
                <w:szCs w:val="20"/>
              </w:rPr>
            </w:pPr>
            <w:proofErr w:type="spellStart"/>
            <w:r w:rsidRPr="001C2FF6">
              <w:rPr>
                <w:rFonts w:ascii="Arial" w:eastAsia="Times New Roman" w:hAnsi="Arial" w:cs="Arial"/>
                <w:b/>
                <w:bCs/>
                <w:color w:val="000000"/>
                <w:sz w:val="20"/>
                <w:szCs w:val="20"/>
              </w:rPr>
              <w:t>RxNorm</w:t>
            </w:r>
            <w:proofErr w:type="spellEnd"/>
            <w:r w:rsidRPr="001C2FF6">
              <w:rPr>
                <w:rFonts w:ascii="Arial" w:eastAsia="Times New Roman" w:hAnsi="Arial" w:cs="Arial"/>
                <w:b/>
                <w:bCs/>
                <w:color w:val="000000"/>
                <w:sz w:val="20"/>
                <w:szCs w:val="20"/>
              </w:rPr>
              <w:t xml:space="preserve"> Ingredient Code</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Alpha-Glucosidase Inhibitors</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Acarbose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16681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Miglitol</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300009</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Amylin Analogs</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Pramlintide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139953</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proofErr w:type="spellStart"/>
            <w:r w:rsidRPr="009A0C62">
              <w:rPr>
                <w:rFonts w:ascii="Arial" w:eastAsia="Times New Roman" w:hAnsi="Arial" w:cs="Arial"/>
                <w:b/>
                <w:bCs/>
                <w:color w:val="000000"/>
                <w:sz w:val="20"/>
                <w:szCs w:val="20"/>
              </w:rPr>
              <w:t>Biguanides</w:t>
            </w:r>
            <w:proofErr w:type="spellEnd"/>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Metformin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6809</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Dipeptidyl Peptidase 4 (DPP-4) Inhibitors</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Alogliptin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1368001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Linagliptin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1100699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Saxagliptin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857974</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Sitagliptin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593411</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Glucagon-Like Peptide-1 (GLP-1) Receptor Agonists</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lastRenderedPageBreak/>
              <w:t>Albiglutide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1534763</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Dulaglutide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1551291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Exenatide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60548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Liraglutide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475968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Lixisenatide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1440051</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Insulin (Short-Acting)</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Aspart</w:t>
            </w:r>
            <w:proofErr w:type="spellEnd"/>
            <w:r w:rsidRPr="001C2FF6">
              <w:rPr>
                <w:rFonts w:ascii="Arial" w:eastAsia="Times New Roman" w:hAnsi="Arial" w:cs="Arial"/>
                <w:color w:val="000000"/>
                <w:sz w:val="20"/>
                <w:szCs w:val="20"/>
              </w:rPr>
              <w:t>, Human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51428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Glulisine</w:t>
            </w:r>
            <w:proofErr w:type="spellEnd"/>
            <w:r w:rsidRPr="001C2FF6">
              <w:rPr>
                <w:rFonts w:ascii="Arial" w:eastAsia="Times New Roman" w:hAnsi="Arial" w:cs="Arial"/>
                <w:color w:val="000000"/>
                <w:sz w:val="20"/>
                <w:szCs w:val="20"/>
              </w:rPr>
              <w:t>, Human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400008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Lispro</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86009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Degludec</w:t>
            </w:r>
            <w:proofErr w:type="spellEnd"/>
            <w:r w:rsidRPr="001C2FF6">
              <w:rPr>
                <w:rFonts w:ascii="Arial" w:eastAsia="Times New Roman" w:hAnsi="Arial" w:cs="Arial"/>
                <w:color w:val="000000"/>
                <w:sz w:val="20"/>
                <w:szCs w:val="20"/>
              </w:rPr>
              <w:t xml:space="preserve"> / Insulin, </w:t>
            </w:r>
            <w:proofErr w:type="spellStart"/>
            <w:r w:rsidRPr="001C2FF6">
              <w:rPr>
                <w:rFonts w:ascii="Arial" w:eastAsia="Times New Roman" w:hAnsi="Arial" w:cs="Arial"/>
                <w:color w:val="000000"/>
                <w:sz w:val="20"/>
                <w:szCs w:val="20"/>
              </w:rPr>
              <w:t>Aspart</w:t>
            </w:r>
            <w:proofErr w:type="spellEnd"/>
            <w:r w:rsidRPr="001C2FF6">
              <w:rPr>
                <w:rFonts w:ascii="Arial" w:eastAsia="Times New Roman" w:hAnsi="Arial" w:cs="Arial"/>
                <w:color w:val="000000"/>
                <w:sz w:val="20"/>
                <w:szCs w:val="20"/>
              </w:rPr>
              <w:t>, Human</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1994310</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Isophane</w:t>
            </w:r>
            <w:proofErr w:type="spellEnd"/>
            <w:r w:rsidRPr="001C2FF6">
              <w:rPr>
                <w:rFonts w:ascii="Arial" w:eastAsia="Times New Roman" w:hAnsi="Arial" w:cs="Arial"/>
                <w:color w:val="000000"/>
                <w:sz w:val="20"/>
                <w:szCs w:val="20"/>
              </w:rPr>
              <w:t xml:space="preserve"> / Regular Insulin, Human</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1008501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Lispro</w:t>
            </w:r>
            <w:proofErr w:type="spellEnd"/>
            <w:r w:rsidRPr="001C2FF6">
              <w:rPr>
                <w:rFonts w:ascii="Arial" w:eastAsia="Times New Roman" w:hAnsi="Arial" w:cs="Arial"/>
                <w:color w:val="000000"/>
                <w:sz w:val="20"/>
                <w:szCs w:val="20"/>
              </w:rPr>
              <w:t xml:space="preserve"> / Insulin, Protamine </w:t>
            </w:r>
            <w:proofErr w:type="spellStart"/>
            <w:r w:rsidRPr="001C2FF6">
              <w:rPr>
                <w:rFonts w:ascii="Arial" w:eastAsia="Times New Roman" w:hAnsi="Arial" w:cs="Arial"/>
                <w:color w:val="000000"/>
                <w:sz w:val="20"/>
                <w:szCs w:val="20"/>
              </w:rPr>
              <w:t>Lispro</w:t>
            </w:r>
            <w:proofErr w:type="spellEnd"/>
            <w:r w:rsidRPr="001C2FF6">
              <w:rPr>
                <w:rFonts w:ascii="Arial" w:eastAsia="Times New Roman" w:hAnsi="Arial" w:cs="Arial"/>
                <w:color w:val="000000"/>
                <w:sz w:val="20"/>
                <w:szCs w:val="20"/>
              </w:rPr>
              <w:t>, Human</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816726</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Regular Insulin, Human</w:t>
            </w:r>
          </w:p>
        </w:tc>
        <w:tc>
          <w:tcPr>
            <w:tcW w:w="3690" w:type="dxa"/>
            <w:tcBorders>
              <w:top w:val="nil"/>
              <w:left w:val="nil"/>
              <w:bottom w:val="single" w:sz="4" w:space="0" w:color="auto"/>
              <w:right w:val="single" w:sz="4" w:space="0" w:color="auto"/>
            </w:tcBorders>
            <w:shd w:val="clear" w:color="auto" w:fill="auto"/>
            <w:vAlign w:val="center"/>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253182</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Insulin (Long-Acting and Other)</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Degludec</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1670007</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Detemir</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139825</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Insulin Glargine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274783</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Human, </w:t>
            </w:r>
            <w:proofErr w:type="spellStart"/>
            <w:r w:rsidRPr="001C2FF6">
              <w:rPr>
                <w:rFonts w:ascii="Arial" w:eastAsia="Times New Roman" w:hAnsi="Arial" w:cs="Arial"/>
                <w:color w:val="000000"/>
                <w:sz w:val="20"/>
                <w:szCs w:val="20"/>
              </w:rPr>
              <w:t>Isophane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1605101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Isophane</w:t>
            </w:r>
            <w:proofErr w:type="spellEnd"/>
            <w:r w:rsidRPr="001C2FF6">
              <w:rPr>
                <w:rFonts w:ascii="Arial" w:eastAsia="Times New Roman" w:hAnsi="Arial" w:cs="Arial"/>
                <w:color w:val="000000"/>
                <w:sz w:val="20"/>
                <w:szCs w:val="20"/>
              </w:rPr>
              <w:t xml:space="preserve"> / Regular Insulin, Human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1008501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w:t>
            </w:r>
            <w:proofErr w:type="spellStart"/>
            <w:r w:rsidRPr="001C2FF6">
              <w:rPr>
                <w:rFonts w:ascii="Arial" w:eastAsia="Times New Roman" w:hAnsi="Arial" w:cs="Arial"/>
                <w:color w:val="000000"/>
                <w:sz w:val="20"/>
                <w:szCs w:val="20"/>
              </w:rPr>
              <w:t>Degludec</w:t>
            </w:r>
            <w:proofErr w:type="spellEnd"/>
            <w:r w:rsidRPr="001C2FF6">
              <w:rPr>
                <w:rFonts w:ascii="Arial" w:eastAsia="Times New Roman" w:hAnsi="Arial" w:cs="Arial"/>
                <w:color w:val="000000"/>
                <w:sz w:val="20"/>
                <w:szCs w:val="20"/>
              </w:rPr>
              <w:t xml:space="preserve"> / </w:t>
            </w:r>
            <w:proofErr w:type="spellStart"/>
            <w:r w:rsidRPr="001C2FF6">
              <w:rPr>
                <w:rFonts w:ascii="Arial" w:eastAsia="Times New Roman" w:hAnsi="Arial" w:cs="Arial"/>
                <w:color w:val="000000"/>
                <w:sz w:val="20"/>
                <w:szCs w:val="20"/>
              </w:rPr>
              <w:t>Liraglutide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1727493</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Insulin Glargine / </w:t>
            </w:r>
            <w:proofErr w:type="spellStart"/>
            <w:r w:rsidRPr="001C2FF6">
              <w:rPr>
                <w:rFonts w:ascii="Arial" w:eastAsia="Times New Roman" w:hAnsi="Arial" w:cs="Arial"/>
                <w:color w:val="000000"/>
                <w:sz w:val="20"/>
                <w:szCs w:val="20"/>
              </w:rPr>
              <w:t>Lixisenatide</w:t>
            </w:r>
            <w:proofErr w:type="spellEnd"/>
            <w:r w:rsidRPr="001C2FF6">
              <w:rPr>
                <w:rFonts w:ascii="Arial" w:eastAsia="Times New Roman" w:hAnsi="Arial" w:cs="Arial"/>
                <w:color w:val="000000"/>
                <w:sz w:val="20"/>
                <w:szCs w:val="20"/>
              </w:rPr>
              <w:t xml:space="preserve"> </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1858994</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proofErr w:type="spellStart"/>
            <w:r w:rsidRPr="001C2FF6">
              <w:rPr>
                <w:rFonts w:ascii="Arial" w:eastAsia="Times New Roman" w:hAnsi="Arial" w:cs="Arial"/>
                <w:b/>
                <w:bCs/>
                <w:color w:val="000000"/>
                <w:sz w:val="20"/>
                <w:szCs w:val="20"/>
              </w:rPr>
              <w:t>Meglitinides</w:t>
            </w:r>
            <w:proofErr w:type="spellEnd"/>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Nateglinide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274332</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Repaglinide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73044</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Oral Combination Agents</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Alogliptin</w:t>
            </w:r>
            <w:proofErr w:type="spellEnd"/>
            <w:r w:rsidRPr="001C2FF6">
              <w:rPr>
                <w:rFonts w:ascii="Arial" w:eastAsia="Times New Roman" w:hAnsi="Arial" w:cs="Arial"/>
                <w:color w:val="000000"/>
                <w:sz w:val="20"/>
                <w:szCs w:val="20"/>
              </w:rPr>
              <w:t xml:space="preserve"> / Metformin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1368384</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Alogliptin</w:t>
            </w:r>
            <w:proofErr w:type="spellEnd"/>
            <w:r w:rsidRPr="001C2FF6">
              <w:rPr>
                <w:rFonts w:ascii="Arial" w:eastAsia="Times New Roman" w:hAnsi="Arial" w:cs="Arial"/>
                <w:color w:val="000000"/>
                <w:sz w:val="20"/>
                <w:szCs w:val="20"/>
              </w:rPr>
              <w:t xml:space="preserve"> / Pioglitazone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1368402</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Canagliflozin</w:t>
            </w:r>
            <w:proofErr w:type="spellEnd"/>
            <w:r w:rsidRPr="001C2FF6">
              <w:rPr>
                <w:rFonts w:ascii="Arial" w:eastAsia="Times New Roman" w:hAnsi="Arial" w:cs="Arial"/>
                <w:color w:val="000000"/>
                <w:sz w:val="20"/>
                <w:szCs w:val="20"/>
              </w:rPr>
              <w:t xml:space="preserve"> / Metformin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1545149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Dapagliflozin</w:t>
            </w:r>
            <w:proofErr w:type="spellEnd"/>
            <w:r w:rsidRPr="001C2FF6">
              <w:rPr>
                <w:rFonts w:ascii="Arial" w:eastAsia="Times New Roman" w:hAnsi="Arial" w:cs="Arial"/>
                <w:color w:val="000000"/>
                <w:sz w:val="20"/>
                <w:szCs w:val="20"/>
              </w:rPr>
              <w:t xml:space="preserve"> / Metformin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1486436</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Dapagliflozin</w:t>
            </w:r>
            <w:proofErr w:type="spellEnd"/>
            <w:r w:rsidRPr="001C2FF6">
              <w:rPr>
                <w:rFonts w:ascii="Arial" w:eastAsia="Times New Roman" w:hAnsi="Arial" w:cs="Arial"/>
                <w:color w:val="000000"/>
                <w:sz w:val="20"/>
                <w:szCs w:val="20"/>
              </w:rPr>
              <w:t xml:space="preserve"> / </w:t>
            </w:r>
            <w:proofErr w:type="spellStart"/>
            <w:r w:rsidRPr="001C2FF6">
              <w:rPr>
                <w:rFonts w:ascii="Arial" w:eastAsia="Times New Roman" w:hAnsi="Arial" w:cs="Arial"/>
                <w:color w:val="000000"/>
                <w:sz w:val="20"/>
                <w:szCs w:val="20"/>
              </w:rPr>
              <w:t>Saxagliptin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1727500</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Empagliflozin</w:t>
            </w:r>
            <w:proofErr w:type="spellEnd"/>
            <w:r w:rsidRPr="001C2FF6">
              <w:rPr>
                <w:rFonts w:ascii="Arial" w:eastAsia="Times New Roman" w:hAnsi="Arial" w:cs="Arial"/>
                <w:color w:val="000000"/>
                <w:sz w:val="20"/>
                <w:szCs w:val="20"/>
              </w:rPr>
              <w:t xml:space="preserve"> / </w:t>
            </w:r>
            <w:proofErr w:type="spellStart"/>
            <w:r w:rsidRPr="001C2FF6">
              <w:rPr>
                <w:rFonts w:ascii="Arial" w:eastAsia="Times New Roman" w:hAnsi="Arial" w:cs="Arial"/>
                <w:color w:val="000000"/>
                <w:sz w:val="20"/>
                <w:szCs w:val="20"/>
              </w:rPr>
              <w:t>Linagliptin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1598392</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Empagliflozin</w:t>
            </w:r>
            <w:proofErr w:type="spellEnd"/>
            <w:r w:rsidRPr="001C2FF6">
              <w:rPr>
                <w:rFonts w:ascii="Arial" w:eastAsia="Times New Roman" w:hAnsi="Arial" w:cs="Arial"/>
                <w:color w:val="000000"/>
                <w:sz w:val="20"/>
                <w:szCs w:val="20"/>
              </w:rPr>
              <w:t xml:space="preserve"> / Metformin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1664314</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Glipizide / Metformin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352381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Glyburide / Metformin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285129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Linagliptin</w:t>
            </w:r>
            <w:proofErr w:type="spellEnd"/>
            <w:r w:rsidRPr="001C2FF6">
              <w:rPr>
                <w:rFonts w:ascii="Arial" w:eastAsia="Times New Roman" w:hAnsi="Arial" w:cs="Arial"/>
                <w:color w:val="000000"/>
                <w:sz w:val="20"/>
                <w:szCs w:val="20"/>
              </w:rPr>
              <w:t xml:space="preserve"> / Metformin</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1243019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Glimepiride / Pioglitazone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647235</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Glimepiride / Rosiglitazone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606253</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Metformin / Pioglitazone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607999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Metformin / </w:t>
            </w:r>
            <w:proofErr w:type="spellStart"/>
            <w:r w:rsidRPr="001C2FF6">
              <w:rPr>
                <w:rFonts w:ascii="Arial" w:eastAsia="Times New Roman" w:hAnsi="Arial" w:cs="Arial"/>
                <w:color w:val="000000"/>
                <w:sz w:val="20"/>
                <w:szCs w:val="20"/>
              </w:rPr>
              <w:t>Repaglinide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802646</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Metformin / Rosiglitazone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614348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Metformin / </w:t>
            </w:r>
            <w:proofErr w:type="spellStart"/>
            <w:r w:rsidRPr="001C2FF6">
              <w:rPr>
                <w:rFonts w:ascii="Arial" w:eastAsia="Times New Roman" w:hAnsi="Arial" w:cs="Arial"/>
                <w:color w:val="000000"/>
                <w:sz w:val="20"/>
                <w:szCs w:val="20"/>
              </w:rPr>
              <w:t>Saxagliptin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1043562</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 xml:space="preserve">Metformin / </w:t>
            </w:r>
            <w:proofErr w:type="spellStart"/>
            <w:r w:rsidRPr="001C2FF6">
              <w:rPr>
                <w:rFonts w:ascii="Arial" w:eastAsia="Times New Roman" w:hAnsi="Arial" w:cs="Arial"/>
                <w:color w:val="000000"/>
                <w:sz w:val="20"/>
                <w:szCs w:val="20"/>
              </w:rPr>
              <w:t>Sitagliptin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729717</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Sodium-Glucose Cotransporter 2 (SGLT2) Inhibitors</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Canagliflozin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1373458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Dapagliflozin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1488564</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Empagliflozin</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1545653</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r w:rsidRPr="001C2FF6">
              <w:rPr>
                <w:rFonts w:ascii="Arial" w:eastAsia="Times New Roman" w:hAnsi="Arial" w:cs="Arial"/>
                <w:b/>
                <w:bCs/>
                <w:color w:val="000000"/>
                <w:sz w:val="20"/>
                <w:szCs w:val="20"/>
              </w:rPr>
              <w:t>Sulfonylureas</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Glimepiride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25789</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lastRenderedPageBreak/>
              <w:t>Glipizide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4821</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Glyburide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4815</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Chlorpropamide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2404</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Tolazamide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10633</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proofErr w:type="spellStart"/>
            <w:r w:rsidRPr="001C2FF6">
              <w:rPr>
                <w:rFonts w:ascii="Arial" w:eastAsia="Times New Roman" w:hAnsi="Arial" w:cs="Arial"/>
                <w:color w:val="000000"/>
                <w:sz w:val="20"/>
                <w:szCs w:val="20"/>
              </w:rPr>
              <w:t>Tolbutamide</w:t>
            </w:r>
            <w:proofErr w:type="spellEnd"/>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10635</w:t>
            </w:r>
          </w:p>
        </w:tc>
      </w:tr>
      <w:tr w:rsidR="00875C05" w:rsidRPr="001C2FF6" w:rsidTr="00AF3105">
        <w:trPr>
          <w:trHeight w:val="259"/>
        </w:trPr>
        <w:tc>
          <w:tcPr>
            <w:tcW w:w="990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875C05" w:rsidRPr="001C2FF6" w:rsidRDefault="00875C05" w:rsidP="00AF3105">
            <w:pPr>
              <w:spacing w:after="0" w:line="240" w:lineRule="auto"/>
              <w:rPr>
                <w:rFonts w:ascii="Arial" w:eastAsia="Times New Roman" w:hAnsi="Arial" w:cs="Arial"/>
                <w:b/>
                <w:bCs/>
                <w:color w:val="000000"/>
                <w:sz w:val="20"/>
                <w:szCs w:val="20"/>
              </w:rPr>
            </w:pPr>
            <w:proofErr w:type="spellStart"/>
            <w:r w:rsidRPr="001C2FF6">
              <w:rPr>
                <w:rFonts w:ascii="Arial" w:eastAsia="Times New Roman" w:hAnsi="Arial" w:cs="Arial"/>
                <w:b/>
                <w:bCs/>
                <w:color w:val="000000"/>
                <w:sz w:val="20"/>
                <w:szCs w:val="20"/>
              </w:rPr>
              <w:t>Thiazolidinediones</w:t>
            </w:r>
            <w:proofErr w:type="spellEnd"/>
            <w:r w:rsidRPr="001C2FF6">
              <w:rPr>
                <w:rFonts w:ascii="Arial" w:eastAsia="Times New Roman" w:hAnsi="Arial" w:cs="Arial"/>
                <w:b/>
                <w:bCs/>
                <w:color w:val="000000"/>
                <w:sz w:val="20"/>
                <w:szCs w:val="20"/>
              </w:rPr>
              <w:t xml:space="preserve"> </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Pioglitazone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33738</w:t>
            </w:r>
          </w:p>
        </w:tc>
      </w:tr>
      <w:tr w:rsidR="00875C05" w:rsidRPr="001C2FF6" w:rsidTr="00AF3105">
        <w:trPr>
          <w:trHeight w:val="259"/>
        </w:trPr>
        <w:tc>
          <w:tcPr>
            <w:tcW w:w="6210" w:type="dxa"/>
            <w:tcBorders>
              <w:top w:val="nil"/>
              <w:left w:val="single" w:sz="4" w:space="0" w:color="auto"/>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rPr>
                <w:rFonts w:ascii="Arial" w:eastAsia="Times New Roman" w:hAnsi="Arial" w:cs="Arial"/>
                <w:color w:val="000000"/>
                <w:sz w:val="20"/>
                <w:szCs w:val="20"/>
              </w:rPr>
            </w:pPr>
            <w:r w:rsidRPr="001C2FF6">
              <w:rPr>
                <w:rFonts w:ascii="Arial" w:eastAsia="Times New Roman" w:hAnsi="Arial" w:cs="Arial"/>
                <w:color w:val="000000"/>
                <w:sz w:val="20"/>
                <w:szCs w:val="20"/>
              </w:rPr>
              <w:t>Rosiglitazone</w:t>
            </w:r>
          </w:p>
        </w:tc>
        <w:tc>
          <w:tcPr>
            <w:tcW w:w="3690" w:type="dxa"/>
            <w:tcBorders>
              <w:top w:val="nil"/>
              <w:left w:val="nil"/>
              <w:bottom w:val="single" w:sz="4" w:space="0" w:color="auto"/>
              <w:right w:val="single" w:sz="4" w:space="0" w:color="auto"/>
            </w:tcBorders>
            <w:shd w:val="clear" w:color="auto" w:fill="auto"/>
            <w:vAlign w:val="center"/>
            <w:hideMark/>
          </w:tcPr>
          <w:p w:rsidR="00875C05" w:rsidRPr="001C2FF6" w:rsidRDefault="00875C05" w:rsidP="00AF3105">
            <w:pPr>
              <w:spacing w:after="0" w:line="240" w:lineRule="auto"/>
              <w:jc w:val="center"/>
              <w:rPr>
                <w:rFonts w:ascii="Arial" w:eastAsia="Times New Roman" w:hAnsi="Arial" w:cs="Arial"/>
                <w:color w:val="000000"/>
                <w:sz w:val="20"/>
                <w:szCs w:val="20"/>
              </w:rPr>
            </w:pPr>
            <w:r w:rsidRPr="001C2FF6">
              <w:rPr>
                <w:rFonts w:ascii="Arial" w:eastAsia="Times New Roman" w:hAnsi="Arial" w:cs="Arial"/>
                <w:color w:val="000000"/>
                <w:sz w:val="20"/>
                <w:szCs w:val="20"/>
              </w:rPr>
              <w:t>84108</w:t>
            </w:r>
          </w:p>
        </w:tc>
      </w:tr>
    </w:tbl>
    <w:p w:rsidR="00E16D05" w:rsidRPr="00E16D05" w:rsidRDefault="00E16D05" w:rsidP="00E16D05">
      <w:pPr>
        <w:spacing w:after="0" w:line="240" w:lineRule="auto"/>
        <w:rPr>
          <w:rFonts w:ascii="Helvetica" w:hAnsi="Helvetica" w:cs="Helvetica"/>
          <w:color w:val="171717"/>
          <w:sz w:val="20"/>
          <w:szCs w:val="20"/>
        </w:rPr>
      </w:pPr>
      <w:r>
        <w:rPr>
          <w:rFonts w:ascii="Helvetica" w:hAnsi="Helvetica" w:cs="Helvetica"/>
          <w:color w:val="171717"/>
          <w:sz w:val="20"/>
          <w:szCs w:val="20"/>
        </w:rPr>
        <w:t>*</w:t>
      </w:r>
      <w:r w:rsidRPr="00E16D05">
        <w:rPr>
          <w:rFonts w:ascii="Helvetica" w:hAnsi="Helvetica" w:cs="Helvetica"/>
          <w:color w:val="171717"/>
          <w:sz w:val="20"/>
          <w:szCs w:val="20"/>
        </w:rPr>
        <w:t>LOINC indicates Logical Observation Identifiers Names and Codes</w:t>
      </w:r>
      <w:r>
        <w:rPr>
          <w:rFonts w:ascii="Helvetica" w:hAnsi="Helvetica" w:cs="Helvetica"/>
          <w:color w:val="171717"/>
          <w:sz w:val="20"/>
          <w:szCs w:val="20"/>
        </w:rPr>
        <w:t>.</w:t>
      </w:r>
    </w:p>
    <w:p w:rsidR="00875C05" w:rsidRPr="001B21E4" w:rsidRDefault="00E16D05" w:rsidP="00875C05">
      <w:pPr>
        <w:spacing w:after="0" w:line="240" w:lineRule="auto"/>
        <w:rPr>
          <w:rFonts w:ascii="Helvetica" w:hAnsi="Helvetica" w:cs="Helvetica"/>
          <w:color w:val="171717"/>
          <w:sz w:val="20"/>
        </w:rPr>
      </w:pPr>
      <w:r w:rsidRPr="00E16D05">
        <w:rPr>
          <w:rFonts w:ascii="Helvetica" w:hAnsi="Helvetica" w:cs="Helvetica"/>
          <w:color w:val="171717"/>
          <w:sz w:val="20"/>
          <w:szCs w:val="20"/>
        </w:rPr>
        <w:t>†</w:t>
      </w:r>
      <w:r w:rsidR="00875C05">
        <w:rPr>
          <w:rFonts w:ascii="Helvetica" w:hAnsi="Helvetica" w:cs="Helvetica"/>
          <w:color w:val="171717"/>
          <w:sz w:val="20"/>
          <w:szCs w:val="20"/>
        </w:rPr>
        <w:t>Includes all</w:t>
      </w:r>
      <w:r w:rsidR="00875C05" w:rsidRPr="00DF5C66">
        <w:rPr>
          <w:rFonts w:ascii="Helvetica" w:hAnsi="Helvetica" w:cs="Helvetica"/>
          <w:color w:val="171717"/>
          <w:sz w:val="20"/>
          <w:szCs w:val="20"/>
        </w:rPr>
        <w:t xml:space="preserve"> Food and Drug Administration-</w:t>
      </w:r>
      <w:r w:rsidR="00875C05" w:rsidRPr="00DF5C66">
        <w:rPr>
          <w:rFonts w:ascii="Helvetica" w:hAnsi="Helvetica" w:cs="Helvetica"/>
          <w:color w:val="171717"/>
          <w:sz w:val="20"/>
        </w:rPr>
        <w:t>approved formulations</w:t>
      </w:r>
      <w:r w:rsidR="00875C05">
        <w:rPr>
          <w:rFonts w:ascii="Helvetica" w:hAnsi="Helvetica" w:cs="Helvetica"/>
          <w:color w:val="171717"/>
          <w:sz w:val="20"/>
        </w:rPr>
        <w:t xml:space="preserve"> of anti-diabetic drugs</w:t>
      </w:r>
      <w:r w:rsidR="00875C05" w:rsidRPr="00DF5C66">
        <w:rPr>
          <w:rFonts w:ascii="Helvetica" w:hAnsi="Helvetica" w:cs="Helvetica"/>
          <w:color w:val="171717"/>
          <w:sz w:val="20"/>
        </w:rPr>
        <w:t xml:space="preserve"> </w:t>
      </w:r>
      <w:r w:rsidR="00875C05">
        <w:rPr>
          <w:rFonts w:ascii="Helvetica" w:hAnsi="Helvetica" w:cs="Helvetica"/>
          <w:color w:val="171717"/>
          <w:sz w:val="20"/>
        </w:rPr>
        <w:t>that were commercially available at the time of the study.</w:t>
      </w:r>
    </w:p>
    <w:p w:rsidR="00875C05" w:rsidRPr="00E16D05" w:rsidRDefault="00E16D05" w:rsidP="00875C05">
      <w:pPr>
        <w:spacing w:after="0" w:line="240" w:lineRule="auto"/>
        <w:rPr>
          <w:rFonts w:ascii="Helvetica" w:hAnsi="Helvetica" w:cs="Helvetica"/>
          <w:b/>
          <w:sz w:val="20"/>
          <w:szCs w:val="20"/>
        </w:rPr>
      </w:pPr>
      <w:r w:rsidRPr="00E16D05">
        <w:rPr>
          <w:rFonts w:ascii="Helvetica" w:hAnsi="Helvetica" w:cs="Helvetica"/>
          <w:sz w:val="20"/>
          <w:szCs w:val="20"/>
          <w:vertAlign w:val="superscript"/>
        </w:rPr>
        <w:t>‡</w:t>
      </w:r>
      <w:r w:rsidRPr="00E16D05">
        <w:rPr>
          <w:rFonts w:ascii="Helvetica" w:hAnsi="Helvetica" w:cs="Helvetica"/>
          <w:b/>
          <w:sz w:val="20"/>
          <w:szCs w:val="20"/>
        </w:rPr>
        <w:t xml:space="preserve">To capture the quality measure electronically, three data elements were needed: inpatient blood glucose results with dates-times of collection mapped to LOINC codes, anti-diabetic drugs (ADDs) administered in the inpatient setting with dates-times of administration mapped to RXNORM ingredient-level codes, and inpatient admission-discharge-transfer bed information with start/end dates-times mapped to NHSN terms.  </w:t>
      </w:r>
      <w:proofErr w:type="spellStart"/>
      <w:r w:rsidRPr="00E16D05">
        <w:rPr>
          <w:rFonts w:ascii="Helvetica" w:hAnsi="Helvetica" w:cs="Helvetica"/>
          <w:b/>
          <w:sz w:val="20"/>
          <w:szCs w:val="20"/>
        </w:rPr>
        <w:t>PCORnet</w:t>
      </w:r>
      <w:proofErr w:type="spellEnd"/>
      <w:r w:rsidRPr="00E16D05">
        <w:rPr>
          <w:rFonts w:ascii="Helvetica" w:hAnsi="Helvetica" w:cs="Helvetica"/>
          <w:b/>
          <w:sz w:val="20"/>
          <w:szCs w:val="20"/>
        </w:rPr>
        <w:t xml:space="preserve"> Common Data Model version 5.1 has a laboratory results data table, which stores quantitative and qualitative measures from blood and other body specimens, and a medication administration table, which has records of medications administered to patients in inpatient settings.  These tables were used to gather data on inpatient blood glucose results and inpatient ADD administration respectively.  </w:t>
      </w:r>
      <w:proofErr w:type="spellStart"/>
      <w:r w:rsidRPr="00E16D05">
        <w:rPr>
          <w:rFonts w:ascii="Helvetica" w:hAnsi="Helvetica" w:cs="Helvetica"/>
          <w:b/>
          <w:sz w:val="20"/>
          <w:szCs w:val="20"/>
        </w:rPr>
        <w:t>PCORnet</w:t>
      </w:r>
      <w:proofErr w:type="spellEnd"/>
      <w:r w:rsidRPr="00E16D05">
        <w:rPr>
          <w:rFonts w:ascii="Helvetica" w:hAnsi="Helvetica" w:cs="Helvetica"/>
          <w:b/>
          <w:sz w:val="20"/>
          <w:szCs w:val="20"/>
        </w:rPr>
        <w:t xml:space="preserve"> Common Data Model version 5.1 does not currently have inpatient bed information.  This data element is needed to calculate the NQF 2363 denominator (an inpatient day with at least one ADD administered); thus, each participating site populated an ancillary table provisionally that tracked inpatient bed information within admission-discharge-transfer data.</w:t>
      </w:r>
      <w:bookmarkStart w:id="0" w:name="_GoBack"/>
      <w:bookmarkEnd w:id="0"/>
    </w:p>
    <w:sectPr w:rsidR="00875C05" w:rsidRPr="00E16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05"/>
    <w:rsid w:val="006E7DF6"/>
    <w:rsid w:val="00875C05"/>
    <w:rsid w:val="00E1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D4D4A763</Template>
  <TotalTime>8</TotalTime>
  <Pages>3</Pages>
  <Words>775</Words>
  <Characters>4424</Characters>
  <Application>Microsoft Office Word</Application>
  <DocSecurity>0</DocSecurity>
  <Lines>36</Lines>
  <Paragraphs>10</Paragraphs>
  <ScaleCrop>false</ScaleCrop>
  <Company>Rush University Medical Center</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 Q. Santos</dc:creator>
  <cp:keywords/>
  <dc:description/>
  <cp:lastModifiedBy>Rush</cp:lastModifiedBy>
  <cp:revision>2</cp:revision>
  <dcterms:created xsi:type="dcterms:W3CDTF">2019-07-08T21:59:00Z</dcterms:created>
  <dcterms:modified xsi:type="dcterms:W3CDTF">2019-11-22T17:46:00Z</dcterms:modified>
</cp:coreProperties>
</file>