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7837" w14:textId="77777777" w:rsidR="00F12070" w:rsidRDefault="00F12070"/>
    <w:p w14:paraId="376BDB81" w14:textId="77777777" w:rsidR="00F12070" w:rsidRPr="00AF2B32" w:rsidRDefault="00F12070" w:rsidP="00F12070">
      <w:pPr>
        <w:shd w:val="clear" w:color="auto" w:fill="FFFFFF"/>
        <w:rPr>
          <w:rFonts w:cstheme="minorHAnsi"/>
          <w:b/>
          <w:color w:val="000033"/>
        </w:rPr>
      </w:pPr>
      <w:r>
        <w:rPr>
          <w:b/>
        </w:rPr>
        <w:t>S</w:t>
      </w:r>
      <w:r w:rsidR="00073303">
        <w:rPr>
          <w:b/>
        </w:rPr>
        <w:t xml:space="preserve">1 </w:t>
      </w:r>
      <w:r>
        <w:rPr>
          <w:b/>
        </w:rPr>
        <w:t>Table</w:t>
      </w:r>
      <w:r>
        <w:t xml:space="preserve"> </w:t>
      </w:r>
      <w:r w:rsidR="00331157" w:rsidRPr="00DA3842">
        <w:rPr>
          <w:rFonts w:cs="Arial"/>
          <w:color w:val="333333"/>
          <w:lang w:val="en"/>
        </w:rPr>
        <w:t>Associations between schistosomiasis infection intensity and HIV-1 set point plasma viral load</w:t>
      </w:r>
    </w:p>
    <w:tbl>
      <w:tblPr>
        <w:tblStyle w:val="TableGrid"/>
        <w:tblW w:w="10298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98"/>
        <w:gridCol w:w="720"/>
        <w:gridCol w:w="900"/>
        <w:gridCol w:w="1620"/>
        <w:gridCol w:w="540"/>
        <w:gridCol w:w="1260"/>
        <w:gridCol w:w="540"/>
        <w:gridCol w:w="105"/>
        <w:gridCol w:w="7"/>
        <w:gridCol w:w="615"/>
        <w:gridCol w:w="1238"/>
        <w:gridCol w:w="555"/>
      </w:tblGrid>
      <w:tr w:rsidR="00F12070" w:rsidRPr="00AD4B4D" w14:paraId="12E3B61E" w14:textId="77777777" w:rsidTr="00FB2F2D"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3FD0B1B7" w14:textId="77777777" w:rsidR="00F12070" w:rsidRPr="00AD4B4D" w:rsidRDefault="00F12070" w:rsidP="00FB2F2D">
            <w:pPr>
              <w:rPr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3E88C1" w14:textId="77777777" w:rsidR="00F12070" w:rsidRPr="00AD4B4D" w:rsidRDefault="00F12070" w:rsidP="00FB2F2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1134B3" w14:textId="77777777" w:rsidR="00F12070" w:rsidRPr="00AD4B4D" w:rsidRDefault="00F12070" w:rsidP="00FB2F2D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1F6FAC" w14:textId="77777777" w:rsidR="00F12070" w:rsidRPr="009A43D9" w:rsidRDefault="00F12070" w:rsidP="00FB2F2D">
            <w:pPr>
              <w:jc w:val="center"/>
              <w:rPr>
                <w:b/>
                <w:vertAlign w:val="superscript"/>
              </w:rPr>
            </w:pPr>
            <w:r w:rsidRPr="00AD4B4D">
              <w:rPr>
                <w:b/>
              </w:rPr>
              <w:t>Bivariate</w:t>
            </w:r>
          </w:p>
        </w:tc>
        <w:tc>
          <w:tcPr>
            <w:tcW w:w="105" w:type="dxa"/>
            <w:tcBorders>
              <w:top w:val="single" w:sz="4" w:space="0" w:color="auto"/>
            </w:tcBorders>
          </w:tcPr>
          <w:p w14:paraId="020BFF9E" w14:textId="77777777" w:rsidR="00F12070" w:rsidRPr="00AD4B4D" w:rsidRDefault="00F12070" w:rsidP="00FB2F2D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59F39E" w14:textId="77777777" w:rsidR="00F12070" w:rsidRPr="00AD4B4D" w:rsidRDefault="00F12070" w:rsidP="00FB2F2D">
            <w:pPr>
              <w:jc w:val="center"/>
              <w:rPr>
                <w:b/>
                <w:vertAlign w:val="superscript"/>
              </w:rPr>
            </w:pPr>
            <w:r w:rsidRPr="00AD4B4D">
              <w:rPr>
                <w:b/>
              </w:rPr>
              <w:t>Adjusted model</w:t>
            </w:r>
            <w:r>
              <w:rPr>
                <w:b/>
                <w:vertAlign w:val="superscript"/>
              </w:rPr>
              <w:t>1</w:t>
            </w:r>
          </w:p>
        </w:tc>
      </w:tr>
      <w:tr w:rsidR="00F12070" w:rsidRPr="00AD4B4D" w14:paraId="1D10CCE2" w14:textId="77777777" w:rsidTr="00FB2F2D"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E4C7A" w14:textId="77777777" w:rsidR="00F12070" w:rsidRPr="003501ED" w:rsidRDefault="00F12070" w:rsidP="00FB2F2D">
            <w:pPr>
              <w:rPr>
                <w:b/>
                <w:sz w:val="21"/>
                <w:szCs w:val="21"/>
                <w:vertAlign w:val="superscript"/>
              </w:rPr>
            </w:pPr>
            <w:r w:rsidRPr="00E1696F">
              <w:rPr>
                <w:b/>
                <w:sz w:val="21"/>
                <w:szCs w:val="21"/>
              </w:rPr>
              <w:t>All participants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8CB46" w14:textId="77777777" w:rsidR="00F12070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 obs.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7B05F0" w14:textId="77777777" w:rsidR="00F12070" w:rsidRPr="00047A92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 w:rsidRPr="00047A92">
              <w:rPr>
                <w:b/>
                <w:sz w:val="21"/>
                <w:szCs w:val="21"/>
              </w:rPr>
              <w:t xml:space="preserve">(N </w:t>
            </w:r>
            <w:proofErr w:type="spellStart"/>
            <w:r w:rsidRPr="00047A92">
              <w:rPr>
                <w:b/>
                <w:sz w:val="21"/>
                <w:szCs w:val="21"/>
              </w:rPr>
              <w:t>indiv</w:t>
            </w:r>
            <w:proofErr w:type="spellEnd"/>
            <w:r w:rsidRPr="00047A92">
              <w:rPr>
                <w:b/>
                <w:sz w:val="21"/>
                <w:szCs w:val="21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F82EE" w14:textId="77777777" w:rsidR="00F12070" w:rsidRPr="00B04D31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Log</w:t>
            </w:r>
            <w:r w:rsidRPr="00572750">
              <w:rPr>
                <w:b/>
                <w:sz w:val="21"/>
                <w:szCs w:val="21"/>
                <w:vertAlign w:val="subscript"/>
              </w:rPr>
              <w:t>10</w:t>
            </w:r>
            <w:r>
              <w:rPr>
                <w:b/>
                <w:sz w:val="21"/>
                <w:szCs w:val="21"/>
              </w:rPr>
              <w:t xml:space="preserve"> copies/ml</w:t>
            </w:r>
            <w:r>
              <w:rPr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6ECDE3" w14:textId="77777777" w:rsidR="00F12070" w:rsidRPr="00AD4B4D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DD46D1" w14:textId="77777777" w:rsidR="00F12070" w:rsidRPr="00AD4B4D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 w:rsidRPr="00AD4B4D">
              <w:rPr>
                <w:b/>
                <w:sz w:val="21"/>
                <w:szCs w:val="21"/>
              </w:rPr>
              <w:t>95% CI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2B976" w14:textId="77777777" w:rsidR="00F12070" w:rsidRPr="00AD4B4D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 w:rsidRPr="00DA020B">
              <w:rPr>
                <w:b/>
                <w:i/>
                <w:sz w:val="21"/>
                <w:szCs w:val="21"/>
              </w:rPr>
              <w:t>P</w:t>
            </w:r>
          </w:p>
        </w:tc>
        <w:tc>
          <w:tcPr>
            <w:tcW w:w="1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1AF2B" w14:textId="77777777" w:rsidR="00F12070" w:rsidRDefault="00F12070" w:rsidP="00FB2F2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9F383" w14:textId="77777777" w:rsidR="00F12070" w:rsidRPr="00F12160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AFE233" w14:textId="77777777" w:rsidR="00F12070" w:rsidRPr="00AD4B4D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 w:rsidRPr="00AD4B4D">
              <w:rPr>
                <w:b/>
                <w:sz w:val="21"/>
                <w:szCs w:val="21"/>
              </w:rPr>
              <w:t>95% CI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8590CD" w14:textId="77777777" w:rsidR="00F12070" w:rsidRPr="00AD4B4D" w:rsidRDefault="00F12070" w:rsidP="00FB2F2D">
            <w:pPr>
              <w:jc w:val="center"/>
              <w:rPr>
                <w:b/>
                <w:sz w:val="21"/>
                <w:szCs w:val="21"/>
              </w:rPr>
            </w:pPr>
            <w:r w:rsidRPr="00DA020B">
              <w:rPr>
                <w:b/>
                <w:i/>
                <w:sz w:val="21"/>
                <w:szCs w:val="21"/>
              </w:rPr>
              <w:t>P</w:t>
            </w:r>
          </w:p>
        </w:tc>
      </w:tr>
      <w:tr w:rsidR="00F12070" w:rsidRPr="005C1ECA" w14:paraId="1F076DC2" w14:textId="77777777" w:rsidTr="00FB2F2D">
        <w:tc>
          <w:tcPr>
            <w:tcW w:w="2198" w:type="dxa"/>
            <w:tcBorders>
              <w:top w:val="single" w:sz="4" w:space="0" w:color="auto"/>
            </w:tcBorders>
          </w:tcPr>
          <w:p w14:paraId="2890CDB9" w14:textId="77777777" w:rsidR="00F12070" w:rsidRPr="002449E1" w:rsidRDefault="00F12070" w:rsidP="00FB2F2D">
            <w:pPr>
              <w:ind w:firstLine="15"/>
              <w:rPr>
                <w:sz w:val="21"/>
                <w:szCs w:val="21"/>
                <w:vertAlign w:val="superscript"/>
              </w:rPr>
            </w:pPr>
            <w:r w:rsidRPr="000708A7">
              <w:rPr>
                <w:sz w:val="21"/>
                <w:szCs w:val="21"/>
              </w:rPr>
              <w:t>No schistosomiasis</w:t>
            </w:r>
            <w:r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3100F5" w14:textId="77777777" w:rsidR="00F12070" w:rsidRPr="0023234D" w:rsidRDefault="00F12070" w:rsidP="00FB2F2D">
            <w:pPr>
              <w:tabs>
                <w:tab w:val="right" w:pos="0"/>
              </w:tabs>
              <w:ind w:right="15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FE8D2C" w14:textId="77777777" w:rsidR="00F12070" w:rsidRPr="00047A92" w:rsidRDefault="00F12070" w:rsidP="00FB2F2D">
            <w:pPr>
              <w:ind w:right="155"/>
              <w:jc w:val="right"/>
              <w:rPr>
                <w:color w:val="FF0000"/>
                <w:sz w:val="21"/>
                <w:szCs w:val="21"/>
              </w:rPr>
            </w:pPr>
            <w:r w:rsidRPr="00047A92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288</w:t>
            </w:r>
            <w:r w:rsidRPr="00047A92">
              <w:rPr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07AA67B" w14:textId="77777777" w:rsidR="00F12070" w:rsidRPr="000708A7" w:rsidRDefault="00F12070" w:rsidP="00FB2F2D">
            <w:pPr>
              <w:tabs>
                <w:tab w:val="right" w:pos="0"/>
                <w:tab w:val="left" w:pos="1055"/>
              </w:tabs>
              <w:ind w:right="519"/>
              <w:jc w:val="right"/>
              <w:rPr>
                <w:sz w:val="21"/>
                <w:szCs w:val="21"/>
              </w:rPr>
            </w:pPr>
            <w:r w:rsidRPr="000708A7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C5179D3" w14:textId="77777777" w:rsidR="00F12070" w:rsidRPr="000708A7" w:rsidRDefault="00F12070" w:rsidP="00FB2F2D">
            <w:pPr>
              <w:tabs>
                <w:tab w:val="decimal" w:pos="76"/>
              </w:tabs>
              <w:jc w:val="center"/>
              <w:rPr>
                <w:sz w:val="21"/>
                <w:szCs w:val="21"/>
              </w:rPr>
            </w:pPr>
            <w:r w:rsidRPr="000708A7">
              <w:rPr>
                <w:sz w:val="21"/>
                <w:szCs w:val="21"/>
              </w:rPr>
              <w:t>Ref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CBB75E3" w14:textId="77777777" w:rsidR="00F12070" w:rsidRPr="000708A7" w:rsidRDefault="00F12070" w:rsidP="00FB2F2D">
            <w:pPr>
              <w:jc w:val="center"/>
              <w:rPr>
                <w:sz w:val="21"/>
                <w:szCs w:val="21"/>
              </w:rPr>
            </w:pPr>
            <w:r w:rsidRPr="000708A7">
              <w:rPr>
                <w:sz w:val="21"/>
                <w:szCs w:val="21"/>
              </w:rPr>
              <w:t>—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EA63E0A" w14:textId="77777777" w:rsidR="00F12070" w:rsidRPr="000708A7" w:rsidRDefault="00F12070" w:rsidP="00FB2F2D">
            <w:pPr>
              <w:tabs>
                <w:tab w:val="decimal" w:pos="211"/>
              </w:tabs>
              <w:jc w:val="center"/>
              <w:rPr>
                <w:sz w:val="21"/>
                <w:szCs w:val="21"/>
              </w:rPr>
            </w:pPr>
            <w:r w:rsidRPr="000708A7">
              <w:rPr>
                <w:sz w:val="21"/>
                <w:szCs w:val="21"/>
              </w:rPr>
              <w:t>—</w:t>
            </w:r>
          </w:p>
        </w:tc>
        <w:tc>
          <w:tcPr>
            <w:tcW w:w="112" w:type="dxa"/>
            <w:gridSpan w:val="2"/>
            <w:tcBorders>
              <w:top w:val="single" w:sz="4" w:space="0" w:color="auto"/>
            </w:tcBorders>
          </w:tcPr>
          <w:p w14:paraId="1AA6BE6E" w14:textId="77777777" w:rsidR="00F12070" w:rsidRPr="00160B69" w:rsidRDefault="00F12070" w:rsidP="00FB2F2D">
            <w:pPr>
              <w:jc w:val="right"/>
              <w:rPr>
                <w:color w:val="FF000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09E44FAA" w14:textId="77777777" w:rsidR="00F12070" w:rsidRPr="005C1ECA" w:rsidRDefault="00F12070" w:rsidP="00FB2F2D">
            <w:pPr>
              <w:jc w:val="center"/>
              <w:rPr>
                <w:sz w:val="21"/>
                <w:szCs w:val="21"/>
              </w:rPr>
            </w:pPr>
            <w:r w:rsidRPr="005C1ECA">
              <w:rPr>
                <w:sz w:val="21"/>
                <w:szCs w:val="21"/>
              </w:rPr>
              <w:t>Ref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16D0EE19" w14:textId="77777777" w:rsidR="00F12070" w:rsidRPr="005C1ECA" w:rsidRDefault="00F12070" w:rsidP="00FB2F2D">
            <w:pPr>
              <w:jc w:val="center"/>
              <w:rPr>
                <w:sz w:val="21"/>
                <w:szCs w:val="21"/>
              </w:rPr>
            </w:pPr>
            <w:r w:rsidRPr="005C1ECA">
              <w:rPr>
                <w:sz w:val="21"/>
                <w:szCs w:val="21"/>
              </w:rPr>
              <w:t>—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684AF78B" w14:textId="77777777" w:rsidR="00F12070" w:rsidRPr="005C1ECA" w:rsidRDefault="00F12070" w:rsidP="00FB2F2D">
            <w:pPr>
              <w:tabs>
                <w:tab w:val="decimal" w:pos="166"/>
              </w:tabs>
              <w:jc w:val="center"/>
              <w:rPr>
                <w:sz w:val="21"/>
                <w:szCs w:val="21"/>
              </w:rPr>
            </w:pPr>
            <w:r w:rsidRPr="005C1ECA">
              <w:rPr>
                <w:sz w:val="21"/>
                <w:szCs w:val="21"/>
              </w:rPr>
              <w:t>—</w:t>
            </w:r>
          </w:p>
        </w:tc>
      </w:tr>
      <w:tr w:rsidR="00F12070" w:rsidRPr="005C1ECA" w14:paraId="42A47CE1" w14:textId="77777777" w:rsidTr="00FB2F2D">
        <w:tc>
          <w:tcPr>
            <w:tcW w:w="2198" w:type="dxa"/>
          </w:tcPr>
          <w:p w14:paraId="7B0A7248" w14:textId="77777777" w:rsidR="00F12070" w:rsidRPr="002449E1" w:rsidRDefault="00F12070" w:rsidP="00FB2F2D">
            <w:pPr>
              <w:ind w:firstLine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Low intensity</w:t>
            </w:r>
          </w:p>
        </w:tc>
        <w:tc>
          <w:tcPr>
            <w:tcW w:w="720" w:type="dxa"/>
          </w:tcPr>
          <w:p w14:paraId="5ACF26F2" w14:textId="77777777" w:rsidR="00F12070" w:rsidRPr="0023234D" w:rsidRDefault="00F12070" w:rsidP="00FB2F2D">
            <w:pPr>
              <w:tabs>
                <w:tab w:val="right" w:pos="0"/>
              </w:tabs>
              <w:ind w:right="15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900" w:type="dxa"/>
          </w:tcPr>
          <w:p w14:paraId="5815F63E" w14:textId="77777777" w:rsidR="00F12070" w:rsidRPr="00047A92" w:rsidRDefault="00F12070" w:rsidP="00FB2F2D">
            <w:pPr>
              <w:ind w:right="155" w:firstLine="15"/>
              <w:jc w:val="right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(21)</w:t>
            </w:r>
          </w:p>
        </w:tc>
        <w:tc>
          <w:tcPr>
            <w:tcW w:w="1620" w:type="dxa"/>
          </w:tcPr>
          <w:p w14:paraId="5D948AAE" w14:textId="77777777" w:rsidR="00F12070" w:rsidRPr="000708A7" w:rsidRDefault="00F12070" w:rsidP="00FB2F2D">
            <w:pPr>
              <w:tabs>
                <w:tab w:val="right" w:pos="0"/>
                <w:tab w:val="left" w:pos="1055"/>
              </w:tabs>
              <w:ind w:right="519"/>
              <w:jc w:val="right"/>
              <w:rPr>
                <w:sz w:val="21"/>
                <w:szCs w:val="21"/>
              </w:rPr>
            </w:pPr>
            <w:r w:rsidRPr="000708A7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.32</w:t>
            </w:r>
          </w:p>
        </w:tc>
        <w:tc>
          <w:tcPr>
            <w:tcW w:w="540" w:type="dxa"/>
          </w:tcPr>
          <w:p w14:paraId="26990D1B" w14:textId="77777777" w:rsidR="00F12070" w:rsidRPr="000708A7" w:rsidRDefault="00F12070" w:rsidP="00FB2F2D">
            <w:pPr>
              <w:tabs>
                <w:tab w:val="decimal" w:pos="76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-0.05</w:t>
            </w:r>
          </w:p>
        </w:tc>
        <w:tc>
          <w:tcPr>
            <w:tcW w:w="1260" w:type="dxa"/>
          </w:tcPr>
          <w:p w14:paraId="58987AC1" w14:textId="77777777" w:rsidR="00F12070" w:rsidRPr="000708A7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-0.42, 0.32</w:t>
            </w:r>
          </w:p>
        </w:tc>
        <w:tc>
          <w:tcPr>
            <w:tcW w:w="540" w:type="dxa"/>
          </w:tcPr>
          <w:p w14:paraId="6CAA35EC" w14:textId="77777777" w:rsidR="00F12070" w:rsidRPr="000708A7" w:rsidRDefault="00F12070" w:rsidP="00FB2F2D">
            <w:pPr>
              <w:tabs>
                <w:tab w:val="decimal" w:pos="21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0.793</w:t>
            </w:r>
          </w:p>
        </w:tc>
        <w:tc>
          <w:tcPr>
            <w:tcW w:w="112" w:type="dxa"/>
            <w:gridSpan w:val="2"/>
          </w:tcPr>
          <w:p w14:paraId="58E38995" w14:textId="77777777" w:rsidR="00F12070" w:rsidRPr="00160B69" w:rsidRDefault="00F12070" w:rsidP="00FB2F2D">
            <w:pPr>
              <w:jc w:val="right"/>
              <w:rPr>
                <w:color w:val="FF0000"/>
                <w:sz w:val="21"/>
                <w:szCs w:val="21"/>
              </w:rPr>
            </w:pPr>
          </w:p>
        </w:tc>
        <w:tc>
          <w:tcPr>
            <w:tcW w:w="615" w:type="dxa"/>
          </w:tcPr>
          <w:p w14:paraId="2C21F3DE" w14:textId="77777777" w:rsidR="00F12070" w:rsidRPr="005C1ECA" w:rsidRDefault="00F12070" w:rsidP="00FB2F2D">
            <w:pPr>
              <w:jc w:val="right"/>
              <w:rPr>
                <w:sz w:val="21"/>
                <w:szCs w:val="21"/>
              </w:rPr>
            </w:pPr>
            <w:r w:rsidRPr="005C1ECA">
              <w:rPr>
                <w:sz w:val="21"/>
                <w:szCs w:val="21"/>
              </w:rPr>
              <w:t>-0.</w:t>
            </w:r>
            <w:r>
              <w:rPr>
                <w:sz w:val="21"/>
                <w:szCs w:val="21"/>
              </w:rPr>
              <w:t>12</w:t>
            </w:r>
          </w:p>
        </w:tc>
        <w:tc>
          <w:tcPr>
            <w:tcW w:w="1238" w:type="dxa"/>
          </w:tcPr>
          <w:p w14:paraId="2D956437" w14:textId="77777777" w:rsidR="00F12070" w:rsidRPr="005C1ECA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 w:rsidRPr="005C1ECA">
              <w:rPr>
                <w:sz w:val="21"/>
                <w:szCs w:val="21"/>
              </w:rPr>
              <w:t>-0.</w:t>
            </w:r>
            <w:r>
              <w:rPr>
                <w:sz w:val="21"/>
                <w:szCs w:val="21"/>
              </w:rPr>
              <w:t>49,</w:t>
            </w:r>
            <w:r w:rsidRPr="005C1ECA">
              <w:rPr>
                <w:sz w:val="21"/>
                <w:szCs w:val="21"/>
              </w:rPr>
              <w:t xml:space="preserve"> 0.</w:t>
            </w:r>
            <w:r>
              <w:rPr>
                <w:sz w:val="21"/>
                <w:szCs w:val="21"/>
              </w:rPr>
              <w:t>24</w:t>
            </w:r>
          </w:p>
        </w:tc>
        <w:tc>
          <w:tcPr>
            <w:tcW w:w="555" w:type="dxa"/>
          </w:tcPr>
          <w:p w14:paraId="57326048" w14:textId="77777777" w:rsidR="00F12070" w:rsidRPr="005C1ECA" w:rsidRDefault="00F12070" w:rsidP="00FB2F2D">
            <w:pPr>
              <w:tabs>
                <w:tab w:val="decimal" w:pos="16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0.508</w:t>
            </w:r>
          </w:p>
        </w:tc>
      </w:tr>
      <w:tr w:rsidR="00F12070" w:rsidRPr="005C1ECA" w14:paraId="2A9A76C8" w14:textId="77777777" w:rsidTr="00FB2F2D">
        <w:tc>
          <w:tcPr>
            <w:tcW w:w="2198" w:type="dxa"/>
          </w:tcPr>
          <w:p w14:paraId="3B578B98" w14:textId="77777777" w:rsidR="00F12070" w:rsidRDefault="00F12070" w:rsidP="00FB2F2D">
            <w:pPr>
              <w:ind w:firstLine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Moderate intensity</w:t>
            </w:r>
          </w:p>
        </w:tc>
        <w:tc>
          <w:tcPr>
            <w:tcW w:w="720" w:type="dxa"/>
          </w:tcPr>
          <w:p w14:paraId="2893277A" w14:textId="77777777" w:rsidR="00F12070" w:rsidRDefault="00F12070" w:rsidP="00FB2F2D">
            <w:pPr>
              <w:tabs>
                <w:tab w:val="right" w:pos="0"/>
              </w:tabs>
              <w:ind w:right="15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900" w:type="dxa"/>
          </w:tcPr>
          <w:p w14:paraId="305E4452" w14:textId="77777777" w:rsidR="00F12070" w:rsidRPr="00047A92" w:rsidRDefault="00F12070" w:rsidP="00FB2F2D">
            <w:pPr>
              <w:ind w:right="155" w:firstLine="1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(32)</w:t>
            </w:r>
          </w:p>
        </w:tc>
        <w:tc>
          <w:tcPr>
            <w:tcW w:w="1620" w:type="dxa"/>
          </w:tcPr>
          <w:p w14:paraId="2B6FBED4" w14:textId="77777777" w:rsidR="00F12070" w:rsidRPr="000708A7" w:rsidRDefault="00F12070" w:rsidP="00FB2F2D">
            <w:pPr>
              <w:tabs>
                <w:tab w:val="right" w:pos="0"/>
                <w:tab w:val="left" w:pos="1055"/>
              </w:tabs>
              <w:ind w:right="51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4.48</w:t>
            </w:r>
          </w:p>
        </w:tc>
        <w:tc>
          <w:tcPr>
            <w:tcW w:w="540" w:type="dxa"/>
          </w:tcPr>
          <w:p w14:paraId="78F897F7" w14:textId="77777777" w:rsidR="00F12070" w:rsidRDefault="00F12070" w:rsidP="00FB2F2D">
            <w:pPr>
              <w:tabs>
                <w:tab w:val="decimal" w:pos="76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0.05</w:t>
            </w:r>
          </w:p>
        </w:tc>
        <w:tc>
          <w:tcPr>
            <w:tcW w:w="1260" w:type="dxa"/>
          </w:tcPr>
          <w:p w14:paraId="73EACD79" w14:textId="77777777" w:rsidR="00F12070" w:rsidRPr="000708A7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-0.25, 0.36</w:t>
            </w:r>
          </w:p>
        </w:tc>
        <w:tc>
          <w:tcPr>
            <w:tcW w:w="540" w:type="dxa"/>
          </w:tcPr>
          <w:p w14:paraId="11D986C8" w14:textId="77777777" w:rsidR="00F12070" w:rsidRDefault="00F12070" w:rsidP="00FB2F2D">
            <w:pPr>
              <w:tabs>
                <w:tab w:val="decimal" w:pos="21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0.731</w:t>
            </w:r>
          </w:p>
        </w:tc>
        <w:tc>
          <w:tcPr>
            <w:tcW w:w="112" w:type="dxa"/>
            <w:gridSpan w:val="2"/>
          </w:tcPr>
          <w:p w14:paraId="611468D1" w14:textId="77777777" w:rsidR="00F12070" w:rsidRPr="00160B69" w:rsidRDefault="00F12070" w:rsidP="00FB2F2D">
            <w:pPr>
              <w:jc w:val="right"/>
              <w:rPr>
                <w:color w:val="FF0000"/>
                <w:sz w:val="21"/>
                <w:szCs w:val="21"/>
              </w:rPr>
            </w:pPr>
          </w:p>
        </w:tc>
        <w:tc>
          <w:tcPr>
            <w:tcW w:w="615" w:type="dxa"/>
          </w:tcPr>
          <w:p w14:paraId="670602AC" w14:textId="77777777" w:rsidR="00F12070" w:rsidRPr="005C1ECA" w:rsidRDefault="00F12070" w:rsidP="00FB2F2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</w:t>
            </w:r>
          </w:p>
        </w:tc>
        <w:tc>
          <w:tcPr>
            <w:tcW w:w="1238" w:type="dxa"/>
          </w:tcPr>
          <w:p w14:paraId="6CA17E23" w14:textId="77777777" w:rsidR="00F12070" w:rsidRPr="005C1ECA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-0.26, 0.34</w:t>
            </w:r>
          </w:p>
        </w:tc>
        <w:tc>
          <w:tcPr>
            <w:tcW w:w="555" w:type="dxa"/>
          </w:tcPr>
          <w:p w14:paraId="0A70F603" w14:textId="77777777" w:rsidR="00F12070" w:rsidRDefault="00F12070" w:rsidP="00FB2F2D">
            <w:pPr>
              <w:tabs>
                <w:tab w:val="decimal" w:pos="16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0.801</w:t>
            </w:r>
          </w:p>
        </w:tc>
      </w:tr>
      <w:tr w:rsidR="00F12070" w:rsidRPr="005C1ECA" w14:paraId="6E68EA86" w14:textId="77777777" w:rsidTr="00FB2F2D">
        <w:tc>
          <w:tcPr>
            <w:tcW w:w="2198" w:type="dxa"/>
            <w:tcBorders>
              <w:bottom w:val="single" w:sz="4" w:space="0" w:color="auto"/>
            </w:tcBorders>
          </w:tcPr>
          <w:p w14:paraId="02CB9826" w14:textId="77777777" w:rsidR="00F12070" w:rsidRDefault="00F12070" w:rsidP="00FB2F2D">
            <w:pPr>
              <w:ind w:firstLine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intensity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893D7" w14:textId="77777777" w:rsidR="00F12070" w:rsidRDefault="00F12070" w:rsidP="00FB2F2D">
            <w:pPr>
              <w:tabs>
                <w:tab w:val="right" w:pos="0"/>
              </w:tabs>
              <w:ind w:right="15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6C7521" w14:textId="77777777" w:rsidR="00F12070" w:rsidRPr="00047A92" w:rsidRDefault="00F12070" w:rsidP="00FB2F2D">
            <w:pPr>
              <w:ind w:right="155" w:firstLine="1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D62B2F" w14:textId="77777777" w:rsidR="00F12070" w:rsidRPr="000708A7" w:rsidRDefault="00F12070" w:rsidP="00FB2F2D">
            <w:pPr>
              <w:tabs>
                <w:tab w:val="right" w:pos="0"/>
                <w:tab w:val="left" w:pos="1055"/>
              </w:tabs>
              <w:ind w:right="519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438CC2" w14:textId="77777777" w:rsidR="00F12070" w:rsidRDefault="00F12070" w:rsidP="00FB2F2D">
            <w:pPr>
              <w:tabs>
                <w:tab w:val="decimal" w:pos="76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37BAA6C" w14:textId="77777777" w:rsidR="00F12070" w:rsidRPr="000708A7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-0.73, -0.10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A45B0B4" w14:textId="77777777" w:rsidR="00F12070" w:rsidRDefault="00F12070" w:rsidP="00FB2F2D">
            <w:pPr>
              <w:tabs>
                <w:tab w:val="decimal" w:pos="21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0.010</w:t>
            </w:r>
          </w:p>
        </w:tc>
        <w:tc>
          <w:tcPr>
            <w:tcW w:w="112" w:type="dxa"/>
            <w:gridSpan w:val="2"/>
            <w:tcBorders>
              <w:bottom w:val="single" w:sz="4" w:space="0" w:color="auto"/>
            </w:tcBorders>
          </w:tcPr>
          <w:p w14:paraId="2E989719" w14:textId="77777777" w:rsidR="00F12070" w:rsidRPr="00160B69" w:rsidRDefault="00F12070" w:rsidP="00FB2F2D">
            <w:pPr>
              <w:jc w:val="right"/>
              <w:rPr>
                <w:color w:val="FF0000"/>
                <w:sz w:val="21"/>
                <w:szCs w:val="21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EE96C48" w14:textId="77777777" w:rsidR="00F12070" w:rsidRPr="005C1ECA" w:rsidRDefault="00F12070" w:rsidP="00FB2F2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-0.44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BEBC399" w14:textId="77777777" w:rsidR="00F12070" w:rsidRPr="005C1ECA" w:rsidRDefault="00F12070" w:rsidP="00FB2F2D">
            <w:pPr>
              <w:tabs>
                <w:tab w:val="decimal" w:pos="2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-0.75, -0.13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2EBB9C53" w14:textId="77777777" w:rsidR="00F12070" w:rsidRDefault="00F12070" w:rsidP="00FB2F2D">
            <w:pPr>
              <w:tabs>
                <w:tab w:val="decimal" w:pos="16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0.006</w:t>
            </w:r>
          </w:p>
        </w:tc>
      </w:tr>
    </w:tbl>
    <w:p w14:paraId="49FA16BB" w14:textId="77777777" w:rsidR="00F12070" w:rsidRPr="007C7E7B" w:rsidRDefault="00F12070" w:rsidP="00F12070">
      <w:pPr>
        <w:spacing w:after="0" w:line="276" w:lineRule="auto"/>
        <w:jc w:val="both"/>
        <w:rPr>
          <w:vertAlign w:val="superscript"/>
        </w:rPr>
      </w:pPr>
      <w:r w:rsidRPr="007C7E7B">
        <w:rPr>
          <w:vertAlign w:val="superscript"/>
        </w:rPr>
        <w:t>1</w:t>
      </w:r>
      <w:r w:rsidRPr="007C7E7B">
        <w:t xml:space="preserve"> </w:t>
      </w:r>
      <w:r>
        <w:t>Adjusted for age (16-24/25-34/</w:t>
      </w:r>
      <w:r w:rsidRPr="007A135E">
        <w:t>≥</w:t>
      </w:r>
      <w:r>
        <w:t xml:space="preserve">35), sex, and cohort, plus </w:t>
      </w:r>
      <w:r w:rsidRPr="007C7E7B">
        <w:t>year</w:t>
      </w:r>
      <w:r>
        <w:t xml:space="preserve"> </w:t>
      </w:r>
      <w:r w:rsidRPr="007C7E7B">
        <w:t>of HIV</w:t>
      </w:r>
      <w:r>
        <w:t>-1</w:t>
      </w:r>
      <w:r w:rsidRPr="007C7E7B">
        <w:t xml:space="preserve"> acquisition</w:t>
      </w:r>
      <w:r>
        <w:t xml:space="preserve"> for the Mombasa Cohort (4-year bands)</w:t>
      </w:r>
      <w:r w:rsidRPr="007C7E7B">
        <w:t>.</w:t>
      </w:r>
      <w:r>
        <w:t xml:space="preserve"> </w:t>
      </w:r>
    </w:p>
    <w:p w14:paraId="1A46EE1C" w14:textId="77777777" w:rsidR="00F12070" w:rsidRDefault="00F12070" w:rsidP="00F12070">
      <w:pPr>
        <w:spacing w:after="0" w:line="276" w:lineRule="auto"/>
        <w:jc w:val="both"/>
      </w:pPr>
      <w:r w:rsidRPr="007C7E7B">
        <w:rPr>
          <w:vertAlign w:val="superscript"/>
        </w:rPr>
        <w:t>2</w:t>
      </w:r>
      <w:r w:rsidRPr="007C7E7B">
        <w:t xml:space="preserve"> The mean log</w:t>
      </w:r>
      <w:r w:rsidRPr="008F4CB5">
        <w:rPr>
          <w:vertAlign w:val="subscript"/>
        </w:rPr>
        <w:t>10</w:t>
      </w:r>
      <w:r w:rsidRPr="007C7E7B">
        <w:t xml:space="preserve"> copies/ml </w:t>
      </w:r>
      <w:r>
        <w:t xml:space="preserve">plasma viral loads </w:t>
      </w:r>
      <w:r w:rsidRPr="007C7E7B">
        <w:t>for individuals with and without</w:t>
      </w:r>
      <w:r>
        <w:t xml:space="preserve"> schistosomiasis, it does not take into account multiple observations per individual</w:t>
      </w:r>
      <w:r w:rsidRPr="007C7E7B">
        <w:t>.</w:t>
      </w:r>
    </w:p>
    <w:p w14:paraId="05E40781" w14:textId="09229077" w:rsidR="00073303" w:rsidRDefault="00F12070" w:rsidP="006815A1">
      <w:pPr>
        <w:spacing w:after="0" w:line="240" w:lineRule="auto"/>
        <w:jc w:val="both"/>
      </w:pPr>
      <w:r w:rsidRPr="00950528">
        <w:rPr>
          <w:vertAlign w:val="superscript"/>
        </w:rPr>
        <w:t>3</w:t>
      </w:r>
      <w:r>
        <w:t xml:space="preserve"> Definition of infection intensity categories: No schistosomiasis (anti-SEA negative or CAA &lt;10 </w:t>
      </w:r>
      <w:proofErr w:type="spellStart"/>
      <w:r>
        <w:t>pg</w:t>
      </w:r>
      <w:proofErr w:type="spellEnd"/>
      <w:r>
        <w:t>/ml),</w:t>
      </w:r>
      <w:r w:rsidRPr="0014195C">
        <w:t xml:space="preserve"> </w:t>
      </w:r>
      <w:r>
        <w:t xml:space="preserve">low intensity (anti-SEA positive &amp; CAA 10-99 </w:t>
      </w:r>
      <w:proofErr w:type="spellStart"/>
      <w:r>
        <w:t>pg</w:t>
      </w:r>
      <w:proofErr w:type="spellEnd"/>
      <w:r>
        <w:t xml:space="preserve">/ml), medium intensity (anti-SEA positive &amp; CAA 100-999 </w:t>
      </w:r>
      <w:proofErr w:type="spellStart"/>
      <w:r>
        <w:t>pg</w:t>
      </w:r>
      <w:proofErr w:type="spellEnd"/>
      <w:r>
        <w:t xml:space="preserve">/ml), and high intensity (anti-SEA positive &amp; CAA </w:t>
      </w:r>
      <w:r>
        <w:rPr>
          <w:rFonts w:cstheme="minorHAnsi"/>
        </w:rPr>
        <w:t>≥</w:t>
      </w:r>
      <w:r>
        <w:t xml:space="preserve">1000 </w:t>
      </w:r>
      <w:proofErr w:type="spellStart"/>
      <w:r>
        <w:t>pg</w:t>
      </w:r>
      <w:proofErr w:type="spellEnd"/>
      <w:r>
        <w:t>/ml).</w:t>
      </w:r>
      <w:bookmarkStart w:id="0" w:name="_GoBack"/>
      <w:bookmarkEnd w:id="0"/>
    </w:p>
    <w:sectPr w:rsidR="0007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73"/>
    <w:rsid w:val="00073303"/>
    <w:rsid w:val="00100C73"/>
    <w:rsid w:val="00153193"/>
    <w:rsid w:val="0016131A"/>
    <w:rsid w:val="00331157"/>
    <w:rsid w:val="003A429E"/>
    <w:rsid w:val="006815A1"/>
    <w:rsid w:val="00F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C97D"/>
  <w15:chartTrackingRefBased/>
  <w15:docId w15:val="{CA7A6438-38F4-4919-9429-1D5928E7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070"/>
    <w:rPr>
      <w:sz w:val="20"/>
      <w:szCs w:val="20"/>
    </w:rPr>
  </w:style>
  <w:style w:type="table" w:styleId="TableGrid">
    <w:name w:val="Table Grid"/>
    <w:basedOn w:val="TableNormal"/>
    <w:uiPriority w:val="39"/>
    <w:rsid w:val="00F1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0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2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1150-4526-43A0-B669-16891850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Bailey Hanna</cp:lastModifiedBy>
  <cp:revision>2</cp:revision>
  <cp:lastPrinted>2019-08-18T17:37:00Z</cp:lastPrinted>
  <dcterms:created xsi:type="dcterms:W3CDTF">2019-11-04T17:35:00Z</dcterms:created>
  <dcterms:modified xsi:type="dcterms:W3CDTF">2019-11-04T17:35:00Z</dcterms:modified>
</cp:coreProperties>
</file>