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F6C" w14:textId="240E29C8" w:rsidR="002D575C" w:rsidRPr="00A800B7" w:rsidRDefault="00E546AF" w:rsidP="00FF052C">
      <w:pPr>
        <w:keepNext/>
        <w:adjustRightInd w:val="0"/>
        <w:ind w:left="180" w:right="-180"/>
        <w:rPr>
          <w:rFonts w:asciiTheme="minorHAnsi" w:hAnsiTheme="minorHAnsi" w:cstheme="minorHAnsi"/>
          <w:b/>
          <w:bCs/>
          <w:sz w:val="20"/>
          <w:szCs w:val="20"/>
        </w:rPr>
      </w:pPr>
      <w:bookmarkStart w:id="0" w:name="_GoBack"/>
      <w:bookmarkEnd w:id="0"/>
      <w:r w:rsidRPr="00A800B7">
        <w:rPr>
          <w:rFonts w:asciiTheme="minorHAnsi" w:hAnsiTheme="minorHAnsi" w:cstheme="minorHAnsi"/>
          <w:b/>
          <w:bCs/>
          <w:sz w:val="20"/>
          <w:szCs w:val="20"/>
        </w:rPr>
        <w:t xml:space="preserve">SUPPLEMENTARY </w:t>
      </w:r>
      <w:r w:rsidR="002D575C" w:rsidRPr="00A800B7">
        <w:rPr>
          <w:rFonts w:asciiTheme="minorHAnsi" w:hAnsiTheme="minorHAnsi" w:cstheme="minorHAnsi"/>
          <w:b/>
          <w:bCs/>
          <w:sz w:val="20"/>
          <w:szCs w:val="20"/>
        </w:rPr>
        <w:t>TABLE. Number, percentage,</w:t>
      </w:r>
      <w:r w:rsidR="00A709A3" w:rsidRPr="00A800B7">
        <w:rPr>
          <w:rFonts w:asciiTheme="minorHAnsi" w:hAnsiTheme="minorHAnsi" w:cstheme="minorHAnsi"/>
          <w:b/>
          <w:bCs/>
          <w:sz w:val="20"/>
          <w:szCs w:val="20"/>
        </w:rPr>
        <w:t>*</w:t>
      </w:r>
      <w:r w:rsidR="002D575C" w:rsidRPr="00A800B7">
        <w:rPr>
          <w:rFonts w:asciiTheme="minorHAnsi" w:hAnsiTheme="minorHAnsi" w:cstheme="minorHAnsi"/>
          <w:b/>
          <w:bCs/>
          <w:sz w:val="20"/>
          <w:szCs w:val="20"/>
        </w:rPr>
        <w:t xml:space="preserve"> and rate</w:t>
      </w:r>
      <w:r w:rsidR="003D2DD3" w:rsidRPr="00A800B7">
        <w:rPr>
          <w:rFonts w:asciiTheme="minorHAnsi" w:hAnsiTheme="minorHAnsi" w:cstheme="minorHAnsi"/>
          <w:b/>
          <w:sz w:val="20"/>
          <w:szCs w:val="20"/>
          <w:vertAlign w:val="superscript"/>
        </w:rPr>
        <w:t>†</w:t>
      </w:r>
      <w:r w:rsidR="002D575C" w:rsidRPr="00A800B7">
        <w:rPr>
          <w:rFonts w:asciiTheme="minorHAnsi" w:hAnsiTheme="minorHAnsi" w:cstheme="minorHAnsi"/>
          <w:sz w:val="20"/>
          <w:szCs w:val="20"/>
          <w:vertAlign w:val="superscript"/>
        </w:rPr>
        <w:t xml:space="preserve"> </w:t>
      </w:r>
      <w:r w:rsidR="002D575C" w:rsidRPr="00A800B7">
        <w:rPr>
          <w:rFonts w:asciiTheme="minorHAnsi" w:hAnsiTheme="minorHAnsi" w:cstheme="minorHAnsi"/>
          <w:b/>
          <w:bCs/>
          <w:sz w:val="20"/>
          <w:szCs w:val="20"/>
        </w:rPr>
        <w:t xml:space="preserve">of homicides </w:t>
      </w:r>
      <w:r w:rsidR="00857726" w:rsidRPr="00A800B7">
        <w:rPr>
          <w:rFonts w:asciiTheme="minorHAnsi" w:hAnsiTheme="minorHAnsi" w:cstheme="minorHAnsi"/>
          <w:b/>
          <w:bCs/>
          <w:sz w:val="20"/>
          <w:szCs w:val="20"/>
        </w:rPr>
        <w:t>for all</w:t>
      </w:r>
      <w:r w:rsidRPr="00A800B7">
        <w:rPr>
          <w:rFonts w:asciiTheme="minorHAnsi" w:hAnsiTheme="minorHAnsi" w:cstheme="minorHAnsi"/>
          <w:b/>
          <w:bCs/>
          <w:sz w:val="20"/>
          <w:szCs w:val="20"/>
        </w:rPr>
        <w:t xml:space="preserve"> </w:t>
      </w:r>
      <w:r w:rsidR="00AB21E4" w:rsidRPr="00A800B7">
        <w:rPr>
          <w:rFonts w:asciiTheme="minorHAnsi" w:hAnsiTheme="minorHAnsi" w:cstheme="minorHAnsi"/>
          <w:b/>
          <w:bCs/>
          <w:sz w:val="20"/>
          <w:szCs w:val="20"/>
        </w:rPr>
        <w:t>age group</w:t>
      </w:r>
      <w:r w:rsidR="00857726" w:rsidRPr="00A800B7">
        <w:rPr>
          <w:rFonts w:asciiTheme="minorHAnsi" w:hAnsiTheme="minorHAnsi" w:cstheme="minorHAnsi"/>
          <w:b/>
          <w:bCs/>
          <w:sz w:val="20"/>
          <w:szCs w:val="20"/>
        </w:rPr>
        <w:t>s</w:t>
      </w:r>
      <w:r w:rsidRPr="00A800B7">
        <w:rPr>
          <w:rFonts w:asciiTheme="minorHAnsi" w:hAnsiTheme="minorHAnsi" w:cstheme="minorHAnsi"/>
          <w:b/>
          <w:bCs/>
          <w:sz w:val="20"/>
          <w:szCs w:val="20"/>
        </w:rPr>
        <w:t xml:space="preserve">, per 100,000 person-years </w:t>
      </w:r>
      <w:r w:rsidR="00AB21E4" w:rsidRPr="00A800B7">
        <w:rPr>
          <w:rFonts w:asciiTheme="minorHAnsi" w:hAnsiTheme="minorHAnsi" w:cstheme="minorHAnsi"/>
          <w:b/>
          <w:bCs/>
          <w:sz w:val="20"/>
          <w:szCs w:val="20"/>
        </w:rPr>
        <w:t xml:space="preserve">— </w:t>
      </w:r>
      <w:r w:rsidR="002D575C" w:rsidRPr="00A800B7">
        <w:rPr>
          <w:rFonts w:asciiTheme="minorHAnsi" w:hAnsiTheme="minorHAnsi" w:cstheme="minorHAnsi"/>
          <w:b/>
          <w:bCs/>
          <w:sz w:val="20"/>
          <w:szCs w:val="20"/>
        </w:rPr>
        <w:t>United States,</w:t>
      </w:r>
      <w:r w:rsidR="00ED773D" w:rsidRPr="00A800B7">
        <w:rPr>
          <w:rFonts w:asciiTheme="minorHAnsi" w:hAnsiTheme="minorHAnsi" w:cstheme="minorHAnsi"/>
          <w:b/>
          <w:bCs/>
          <w:sz w:val="20"/>
          <w:szCs w:val="20"/>
          <w:vertAlign w:val="superscript"/>
        </w:rPr>
        <w:t>§</w:t>
      </w:r>
      <w:r w:rsidR="002D575C" w:rsidRPr="00A800B7">
        <w:rPr>
          <w:rFonts w:asciiTheme="minorHAnsi" w:hAnsiTheme="minorHAnsi" w:cstheme="minorHAnsi"/>
          <w:b/>
          <w:bCs/>
          <w:sz w:val="20"/>
          <w:szCs w:val="20"/>
        </w:rPr>
        <w:t xml:space="preserve"> 2008–2017</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5"/>
        <w:gridCol w:w="2070"/>
        <w:gridCol w:w="2250"/>
        <w:gridCol w:w="1710"/>
      </w:tblGrid>
      <w:tr w:rsidR="00FF052C" w:rsidRPr="00A800B7" w14:paraId="64CED45C" w14:textId="77777777" w:rsidTr="00AB21E4">
        <w:trPr>
          <w:cantSplit/>
          <w:trHeight w:val="20"/>
          <w:tblHeader/>
          <w:jc w:val="center"/>
        </w:trPr>
        <w:tc>
          <w:tcPr>
            <w:tcW w:w="3055" w:type="dxa"/>
            <w:shd w:val="clear" w:color="auto" w:fill="auto"/>
            <w:tcMar>
              <w:left w:w="60" w:type="dxa"/>
              <w:right w:w="60" w:type="dxa"/>
            </w:tcMar>
            <w:vAlign w:val="bottom"/>
          </w:tcPr>
          <w:p w14:paraId="2DBA3549" w14:textId="378690A6" w:rsidR="002D575C" w:rsidRPr="00A800B7" w:rsidRDefault="00AB21E4" w:rsidP="00AB21E4">
            <w:pPr>
              <w:keepNext/>
              <w:adjustRightInd w:val="0"/>
              <w:rPr>
                <w:rFonts w:asciiTheme="minorHAnsi" w:hAnsiTheme="minorHAnsi" w:cstheme="minorHAnsi"/>
                <w:b/>
                <w:bCs/>
                <w:sz w:val="20"/>
                <w:szCs w:val="20"/>
              </w:rPr>
            </w:pPr>
            <w:r w:rsidRPr="00A800B7">
              <w:rPr>
                <w:rFonts w:asciiTheme="minorHAnsi" w:hAnsiTheme="minorHAnsi" w:cstheme="minorHAnsi"/>
                <w:b/>
                <w:sz w:val="20"/>
                <w:szCs w:val="20"/>
              </w:rPr>
              <w:t>Age g</w:t>
            </w:r>
            <w:r w:rsidR="00E7010D" w:rsidRPr="00A800B7">
              <w:rPr>
                <w:rFonts w:asciiTheme="minorHAnsi" w:hAnsiTheme="minorHAnsi" w:cstheme="minorHAnsi"/>
                <w:b/>
                <w:sz w:val="20"/>
                <w:szCs w:val="20"/>
              </w:rPr>
              <w:t>roup (</w:t>
            </w:r>
            <w:r w:rsidRPr="00A800B7">
              <w:rPr>
                <w:rFonts w:asciiTheme="minorHAnsi" w:hAnsiTheme="minorHAnsi" w:cstheme="minorHAnsi"/>
                <w:b/>
                <w:sz w:val="20"/>
                <w:szCs w:val="20"/>
              </w:rPr>
              <w:t>y</w:t>
            </w:r>
            <w:r w:rsidR="00E7010D" w:rsidRPr="00A800B7">
              <w:rPr>
                <w:rFonts w:asciiTheme="minorHAnsi" w:hAnsiTheme="minorHAnsi" w:cstheme="minorHAnsi"/>
                <w:b/>
                <w:sz w:val="20"/>
                <w:szCs w:val="20"/>
              </w:rPr>
              <w:t>rs)</w:t>
            </w:r>
          </w:p>
        </w:tc>
        <w:tc>
          <w:tcPr>
            <w:tcW w:w="2070" w:type="dxa"/>
            <w:shd w:val="clear" w:color="auto" w:fill="auto"/>
            <w:tcMar>
              <w:left w:w="60" w:type="dxa"/>
              <w:right w:w="60" w:type="dxa"/>
            </w:tcMar>
            <w:vAlign w:val="bottom"/>
          </w:tcPr>
          <w:p w14:paraId="5B9AFF85" w14:textId="77777777" w:rsidR="002D575C" w:rsidRPr="00A800B7" w:rsidRDefault="002D575C" w:rsidP="002D575C">
            <w:pPr>
              <w:keepNext/>
              <w:adjustRightInd w:val="0"/>
              <w:jc w:val="center"/>
              <w:rPr>
                <w:rFonts w:asciiTheme="minorHAnsi" w:hAnsiTheme="minorHAnsi" w:cstheme="minorHAnsi"/>
                <w:b/>
                <w:bCs/>
                <w:sz w:val="20"/>
                <w:szCs w:val="20"/>
              </w:rPr>
            </w:pPr>
            <w:r w:rsidRPr="00A800B7">
              <w:rPr>
                <w:rFonts w:asciiTheme="minorHAnsi" w:hAnsiTheme="minorHAnsi" w:cstheme="minorHAnsi"/>
                <w:b/>
                <w:bCs/>
                <w:sz w:val="20"/>
                <w:szCs w:val="20"/>
              </w:rPr>
              <w:t>No. (%) of homicides*</w:t>
            </w:r>
          </w:p>
        </w:tc>
        <w:tc>
          <w:tcPr>
            <w:tcW w:w="2250" w:type="dxa"/>
            <w:shd w:val="clear" w:color="auto" w:fill="auto"/>
            <w:tcMar>
              <w:left w:w="60" w:type="dxa"/>
              <w:right w:w="60" w:type="dxa"/>
            </w:tcMar>
            <w:vAlign w:val="bottom"/>
          </w:tcPr>
          <w:p w14:paraId="64496E86" w14:textId="7D47805E" w:rsidR="002D575C" w:rsidRPr="00A800B7" w:rsidRDefault="002D575C" w:rsidP="002D575C">
            <w:pPr>
              <w:keepNext/>
              <w:adjustRightInd w:val="0"/>
              <w:jc w:val="center"/>
              <w:rPr>
                <w:rFonts w:asciiTheme="minorHAnsi" w:hAnsiTheme="minorHAnsi" w:cstheme="minorHAnsi"/>
                <w:b/>
                <w:bCs/>
                <w:sz w:val="20"/>
                <w:szCs w:val="20"/>
              </w:rPr>
            </w:pPr>
            <w:r w:rsidRPr="00A800B7">
              <w:rPr>
                <w:rFonts w:asciiTheme="minorHAnsi" w:hAnsiTheme="minorHAnsi" w:cstheme="minorHAnsi"/>
                <w:b/>
                <w:bCs/>
                <w:sz w:val="20"/>
                <w:szCs w:val="20"/>
              </w:rPr>
              <w:t>Rate</w:t>
            </w:r>
            <w:r w:rsidRPr="00A800B7">
              <w:rPr>
                <w:rFonts w:asciiTheme="minorHAnsi" w:hAnsiTheme="minorHAnsi" w:cstheme="minorHAnsi"/>
                <w:b/>
                <w:bCs/>
                <w:sz w:val="20"/>
                <w:szCs w:val="20"/>
                <w:vertAlign w:val="superscript"/>
              </w:rPr>
              <w:t>†</w:t>
            </w:r>
            <w:r w:rsidRPr="00A800B7">
              <w:rPr>
                <w:rFonts w:asciiTheme="minorHAnsi" w:hAnsiTheme="minorHAnsi" w:cstheme="minorHAnsi"/>
                <w:b/>
                <w:bCs/>
                <w:sz w:val="20"/>
                <w:szCs w:val="20"/>
              </w:rPr>
              <w:t xml:space="preserve"> (95% CI)</w:t>
            </w:r>
          </w:p>
        </w:tc>
        <w:tc>
          <w:tcPr>
            <w:tcW w:w="1710" w:type="dxa"/>
            <w:shd w:val="clear" w:color="auto" w:fill="auto"/>
            <w:vAlign w:val="bottom"/>
          </w:tcPr>
          <w:p w14:paraId="70220961" w14:textId="3A22FCD5" w:rsidR="002D575C" w:rsidRPr="00A800B7" w:rsidRDefault="00AB21E4" w:rsidP="002D575C">
            <w:pPr>
              <w:keepNext/>
              <w:adjustRightInd w:val="0"/>
              <w:jc w:val="center"/>
              <w:rPr>
                <w:rFonts w:asciiTheme="minorHAnsi" w:hAnsiTheme="minorHAnsi" w:cstheme="minorHAnsi"/>
                <w:b/>
                <w:bCs/>
                <w:sz w:val="20"/>
                <w:szCs w:val="20"/>
              </w:rPr>
            </w:pPr>
            <w:r w:rsidRPr="00A800B7">
              <w:rPr>
                <w:rFonts w:asciiTheme="minorHAnsi" w:hAnsiTheme="minorHAnsi" w:cstheme="minorHAnsi"/>
                <w:b/>
                <w:bCs/>
                <w:sz w:val="20"/>
                <w:szCs w:val="20"/>
              </w:rPr>
              <w:t>p-v</w:t>
            </w:r>
            <w:r w:rsidR="002D575C" w:rsidRPr="00A800B7">
              <w:rPr>
                <w:rFonts w:asciiTheme="minorHAnsi" w:hAnsiTheme="minorHAnsi" w:cstheme="minorHAnsi"/>
                <w:b/>
                <w:bCs/>
                <w:sz w:val="20"/>
                <w:szCs w:val="20"/>
              </w:rPr>
              <w:t>alue</w:t>
            </w:r>
          </w:p>
        </w:tc>
      </w:tr>
      <w:tr w:rsidR="00D12B86" w:rsidRPr="00A800B7" w14:paraId="72A9D7D9" w14:textId="77777777" w:rsidTr="00AB21E4">
        <w:trPr>
          <w:cantSplit/>
          <w:trHeight w:val="20"/>
          <w:jc w:val="center"/>
        </w:trPr>
        <w:tc>
          <w:tcPr>
            <w:tcW w:w="3055" w:type="dxa"/>
            <w:shd w:val="clear" w:color="auto" w:fill="auto"/>
            <w:tcMar>
              <w:left w:w="60" w:type="dxa"/>
              <w:right w:w="60" w:type="dxa"/>
            </w:tcMar>
          </w:tcPr>
          <w:p w14:paraId="33BC1FC2" w14:textId="76962971"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All aged &lt;1</w:t>
            </w:r>
            <w:r w:rsidRPr="00A800B7">
              <w:rPr>
                <w:rFonts w:asciiTheme="minorHAnsi" w:hAnsiTheme="minorHAnsi" w:cstheme="minorHAnsi"/>
                <w:b/>
                <w:bCs/>
                <w:sz w:val="20"/>
                <w:szCs w:val="20"/>
                <w:vertAlign w:val="superscript"/>
              </w:rPr>
              <w:t>¶</w:t>
            </w:r>
          </w:p>
        </w:tc>
        <w:tc>
          <w:tcPr>
            <w:tcW w:w="2070" w:type="dxa"/>
            <w:shd w:val="clear" w:color="auto" w:fill="auto"/>
            <w:tcMar>
              <w:left w:w="60" w:type="dxa"/>
              <w:right w:w="60" w:type="dxa"/>
            </w:tcMar>
          </w:tcPr>
          <w:p w14:paraId="531B2653" w14:textId="6205C218"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2,851 (1.7)</w:t>
            </w:r>
          </w:p>
        </w:tc>
        <w:tc>
          <w:tcPr>
            <w:tcW w:w="2250" w:type="dxa"/>
            <w:shd w:val="clear" w:color="auto" w:fill="auto"/>
            <w:tcMar>
              <w:left w:w="60" w:type="dxa"/>
              <w:right w:w="60" w:type="dxa"/>
            </w:tcMar>
          </w:tcPr>
          <w:p w14:paraId="539A179E" w14:textId="138C3123"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7.</w:t>
            </w:r>
            <w:r w:rsidR="001113F2" w:rsidRPr="00A800B7">
              <w:rPr>
                <w:rFonts w:asciiTheme="minorHAnsi" w:hAnsiTheme="minorHAnsi" w:cstheme="minorHAnsi"/>
                <w:sz w:val="20"/>
                <w:szCs w:val="20"/>
              </w:rPr>
              <w:t>2</w:t>
            </w:r>
            <w:r w:rsidRPr="00A800B7">
              <w:rPr>
                <w:rFonts w:asciiTheme="minorHAnsi" w:hAnsiTheme="minorHAnsi" w:cstheme="minorHAnsi"/>
                <w:sz w:val="20"/>
                <w:szCs w:val="20"/>
              </w:rPr>
              <w:t xml:space="preserve"> (6.9</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7.4)</w:t>
            </w:r>
          </w:p>
        </w:tc>
        <w:tc>
          <w:tcPr>
            <w:tcW w:w="1710" w:type="dxa"/>
            <w:shd w:val="clear" w:color="auto" w:fill="auto"/>
          </w:tcPr>
          <w:p w14:paraId="5988DD97" w14:textId="7A300A8B" w:rsidR="00D12B86" w:rsidRPr="00A800B7" w:rsidRDefault="004407C4"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Referent</w:t>
            </w:r>
          </w:p>
        </w:tc>
      </w:tr>
      <w:tr w:rsidR="00D12B86" w:rsidRPr="00A800B7" w14:paraId="60108225" w14:textId="77777777" w:rsidTr="00AB21E4">
        <w:trPr>
          <w:cantSplit/>
          <w:trHeight w:val="20"/>
          <w:jc w:val="center"/>
        </w:trPr>
        <w:tc>
          <w:tcPr>
            <w:tcW w:w="3055" w:type="dxa"/>
            <w:shd w:val="clear" w:color="auto" w:fill="auto"/>
            <w:tcMar>
              <w:left w:w="60" w:type="dxa"/>
              <w:right w:w="60" w:type="dxa"/>
            </w:tcMar>
          </w:tcPr>
          <w:p w14:paraId="113F0D49" w14:textId="68B1E2C8"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 xml:space="preserve">First </w:t>
            </w:r>
            <w:r w:rsidR="002B454B" w:rsidRPr="00A800B7">
              <w:rPr>
                <w:rFonts w:asciiTheme="minorHAnsi" w:hAnsiTheme="minorHAnsi" w:cstheme="minorHAnsi"/>
                <w:sz w:val="20"/>
                <w:szCs w:val="20"/>
              </w:rPr>
              <w:t>d</w:t>
            </w:r>
            <w:r w:rsidRPr="00A800B7">
              <w:rPr>
                <w:rFonts w:asciiTheme="minorHAnsi" w:hAnsiTheme="minorHAnsi" w:cstheme="minorHAnsi"/>
                <w:sz w:val="20"/>
                <w:szCs w:val="20"/>
              </w:rPr>
              <w:t xml:space="preserve">ay of </w:t>
            </w:r>
            <w:r w:rsidR="002B454B" w:rsidRPr="00A800B7">
              <w:rPr>
                <w:rFonts w:asciiTheme="minorHAnsi" w:hAnsiTheme="minorHAnsi" w:cstheme="minorHAnsi"/>
                <w:sz w:val="20"/>
                <w:szCs w:val="20"/>
              </w:rPr>
              <w:t>l</w:t>
            </w:r>
            <w:r w:rsidRPr="00A800B7">
              <w:rPr>
                <w:rFonts w:asciiTheme="minorHAnsi" w:hAnsiTheme="minorHAnsi" w:cstheme="minorHAnsi"/>
                <w:sz w:val="20"/>
                <w:szCs w:val="20"/>
              </w:rPr>
              <w:t>ife</w:t>
            </w:r>
            <w:r w:rsidRPr="00A800B7">
              <w:rPr>
                <w:rFonts w:asciiTheme="minorHAnsi" w:hAnsiTheme="minorHAnsi" w:cstheme="minorHAnsi"/>
                <w:b/>
                <w:bCs/>
                <w:sz w:val="20"/>
                <w:szCs w:val="20"/>
                <w:vertAlign w:val="superscript"/>
              </w:rPr>
              <w:t>¶</w:t>
            </w:r>
          </w:p>
        </w:tc>
        <w:tc>
          <w:tcPr>
            <w:tcW w:w="2070" w:type="dxa"/>
            <w:shd w:val="clear" w:color="auto" w:fill="auto"/>
            <w:tcMar>
              <w:left w:w="60" w:type="dxa"/>
              <w:right w:w="60" w:type="dxa"/>
            </w:tcMar>
          </w:tcPr>
          <w:p w14:paraId="3AED5C19" w14:textId="042F7CCB"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81 (0.0)</w:t>
            </w:r>
          </w:p>
        </w:tc>
        <w:tc>
          <w:tcPr>
            <w:tcW w:w="2250" w:type="dxa"/>
            <w:shd w:val="clear" w:color="auto" w:fill="auto"/>
            <w:tcMar>
              <w:left w:w="60" w:type="dxa"/>
              <w:right w:w="60" w:type="dxa"/>
            </w:tcMar>
          </w:tcPr>
          <w:p w14:paraId="3EF2F5DC" w14:textId="2DC2FC4B"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74.0 (58.8</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92.0)</w:t>
            </w:r>
          </w:p>
        </w:tc>
        <w:tc>
          <w:tcPr>
            <w:tcW w:w="1710" w:type="dxa"/>
            <w:shd w:val="clear" w:color="auto" w:fill="auto"/>
            <w:vAlign w:val="center"/>
          </w:tcPr>
          <w:p w14:paraId="09CEDD68" w14:textId="3CBDF785" w:rsidR="00D12B86" w:rsidRPr="00A800B7" w:rsidRDefault="00AB21E4" w:rsidP="00AB21E4">
            <w:pPr>
              <w:keepNext/>
              <w:adjustRightInd w:val="0"/>
              <w:jc w:val="center"/>
              <w:rPr>
                <w:rFonts w:asciiTheme="minorHAnsi" w:hAnsiTheme="minorHAnsi" w:cstheme="minorHAnsi"/>
                <w:sz w:val="20"/>
                <w:szCs w:val="20"/>
              </w:rPr>
            </w:pPr>
            <w:r w:rsidRPr="00A800B7">
              <w:rPr>
                <w:rFonts w:asciiTheme="minorHAnsi" w:hAnsiTheme="minorHAnsi" w:cstheme="minorHAnsi"/>
                <w:b/>
                <w:bCs/>
                <w:sz w:val="20"/>
                <w:szCs w:val="20"/>
                <w:vertAlign w:val="superscript"/>
              </w:rPr>
              <w:t>—</w:t>
            </w:r>
          </w:p>
        </w:tc>
      </w:tr>
      <w:tr w:rsidR="00D12B86" w:rsidRPr="00A800B7" w14:paraId="04CFB65B" w14:textId="77777777" w:rsidTr="00AB21E4">
        <w:trPr>
          <w:cantSplit/>
          <w:trHeight w:val="20"/>
          <w:jc w:val="center"/>
        </w:trPr>
        <w:tc>
          <w:tcPr>
            <w:tcW w:w="3055" w:type="dxa"/>
            <w:shd w:val="clear" w:color="auto" w:fill="auto"/>
            <w:tcMar>
              <w:left w:w="60" w:type="dxa"/>
              <w:right w:w="60" w:type="dxa"/>
            </w:tcMar>
          </w:tcPr>
          <w:p w14:paraId="48EF6161" w14:textId="6AF9E4B3"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1</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4</w:t>
            </w:r>
            <w:r w:rsidRPr="00A800B7">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2277A9D2" w14:textId="08EB7B87"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3,645 (2.1)</w:t>
            </w:r>
          </w:p>
        </w:tc>
        <w:tc>
          <w:tcPr>
            <w:tcW w:w="2250" w:type="dxa"/>
            <w:shd w:val="clear" w:color="auto" w:fill="auto"/>
            <w:tcMar>
              <w:left w:w="60" w:type="dxa"/>
              <w:right w:w="60" w:type="dxa"/>
            </w:tcMar>
          </w:tcPr>
          <w:p w14:paraId="63BAA020" w14:textId="54ED7F8F"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2.</w:t>
            </w:r>
            <w:r w:rsidR="009B11AD" w:rsidRPr="00DA783D">
              <w:rPr>
                <w:rFonts w:asciiTheme="minorHAnsi" w:hAnsiTheme="minorHAnsi" w:cstheme="minorHAnsi"/>
                <w:sz w:val="20"/>
                <w:szCs w:val="20"/>
              </w:rPr>
              <w:t>3</w:t>
            </w:r>
            <w:r w:rsidRPr="00DA783D">
              <w:rPr>
                <w:rFonts w:asciiTheme="minorHAnsi" w:hAnsiTheme="minorHAnsi" w:cstheme="minorHAnsi"/>
                <w:sz w:val="20"/>
                <w:szCs w:val="20"/>
              </w:rPr>
              <w:t xml:space="preserve"> (2.2</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2.3)</w:t>
            </w:r>
          </w:p>
        </w:tc>
        <w:tc>
          <w:tcPr>
            <w:tcW w:w="1710" w:type="dxa"/>
            <w:shd w:val="clear" w:color="auto" w:fill="auto"/>
          </w:tcPr>
          <w:p w14:paraId="099DC65E" w14:textId="01432342" w:rsidR="00D12B86" w:rsidRPr="00A800B7" w:rsidRDefault="00D12B86" w:rsidP="00AB21E4">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&lt;0.001</w:t>
            </w:r>
          </w:p>
        </w:tc>
      </w:tr>
      <w:tr w:rsidR="00D12B86" w:rsidRPr="00A800B7" w14:paraId="4C9D01C9" w14:textId="77777777" w:rsidTr="00AB21E4">
        <w:trPr>
          <w:cantSplit/>
          <w:trHeight w:val="20"/>
          <w:jc w:val="center"/>
        </w:trPr>
        <w:tc>
          <w:tcPr>
            <w:tcW w:w="3055" w:type="dxa"/>
            <w:shd w:val="clear" w:color="auto" w:fill="auto"/>
            <w:tcMar>
              <w:left w:w="60" w:type="dxa"/>
              <w:right w:w="60" w:type="dxa"/>
            </w:tcMar>
          </w:tcPr>
          <w:p w14:paraId="567F7E47" w14:textId="181A19DE"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5</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9</w:t>
            </w:r>
            <w:r w:rsidRPr="00A800B7">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741C4B0C" w14:textId="1853CA11"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1,291 (0.7)</w:t>
            </w:r>
          </w:p>
        </w:tc>
        <w:tc>
          <w:tcPr>
            <w:tcW w:w="2250" w:type="dxa"/>
            <w:shd w:val="clear" w:color="auto" w:fill="auto"/>
            <w:tcMar>
              <w:left w:w="60" w:type="dxa"/>
              <w:right w:w="60" w:type="dxa"/>
            </w:tcMar>
          </w:tcPr>
          <w:p w14:paraId="7C7802B7" w14:textId="26536D1E"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0.6 (0.6</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0.7)</w:t>
            </w:r>
          </w:p>
        </w:tc>
        <w:tc>
          <w:tcPr>
            <w:tcW w:w="1710" w:type="dxa"/>
            <w:shd w:val="clear" w:color="auto" w:fill="auto"/>
          </w:tcPr>
          <w:p w14:paraId="230D3452" w14:textId="7638690D" w:rsidR="00D12B86" w:rsidRPr="00A800B7" w:rsidRDefault="00AB21E4"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&lt;0.001</w:t>
            </w:r>
          </w:p>
        </w:tc>
      </w:tr>
      <w:tr w:rsidR="00D12B86" w:rsidRPr="00A800B7" w14:paraId="1D9BDE5B" w14:textId="77777777" w:rsidTr="00AB21E4">
        <w:trPr>
          <w:cantSplit/>
          <w:trHeight w:val="20"/>
          <w:jc w:val="center"/>
        </w:trPr>
        <w:tc>
          <w:tcPr>
            <w:tcW w:w="3055" w:type="dxa"/>
            <w:shd w:val="clear" w:color="auto" w:fill="auto"/>
            <w:tcMar>
              <w:left w:w="60" w:type="dxa"/>
              <w:right w:w="60" w:type="dxa"/>
            </w:tcMar>
          </w:tcPr>
          <w:p w14:paraId="3E5A473F" w14:textId="01D3BBA0"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10</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14</w:t>
            </w:r>
            <w:r w:rsidRPr="00A800B7">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286C23D0" w14:textId="70BE2CD9"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1,661 (1.0)</w:t>
            </w:r>
          </w:p>
        </w:tc>
        <w:tc>
          <w:tcPr>
            <w:tcW w:w="2250" w:type="dxa"/>
            <w:shd w:val="clear" w:color="auto" w:fill="auto"/>
            <w:tcMar>
              <w:left w:w="60" w:type="dxa"/>
              <w:right w:w="60" w:type="dxa"/>
            </w:tcMar>
          </w:tcPr>
          <w:p w14:paraId="57A6B9EE" w14:textId="2F1B29FE"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0.8 (0.8</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0.8)</w:t>
            </w:r>
          </w:p>
        </w:tc>
        <w:tc>
          <w:tcPr>
            <w:tcW w:w="1710" w:type="dxa"/>
            <w:shd w:val="clear" w:color="auto" w:fill="auto"/>
          </w:tcPr>
          <w:p w14:paraId="3237B15C" w14:textId="740F6227" w:rsidR="00D12B86" w:rsidRPr="00A800B7" w:rsidRDefault="00AB21E4"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&lt;0.001</w:t>
            </w:r>
          </w:p>
        </w:tc>
      </w:tr>
      <w:tr w:rsidR="00D12B86" w:rsidRPr="00A800B7" w14:paraId="60C8F42C" w14:textId="77777777" w:rsidTr="00AB21E4">
        <w:trPr>
          <w:cantSplit/>
          <w:trHeight w:val="20"/>
          <w:jc w:val="center"/>
        </w:trPr>
        <w:tc>
          <w:tcPr>
            <w:tcW w:w="3055" w:type="dxa"/>
            <w:shd w:val="clear" w:color="auto" w:fill="auto"/>
            <w:tcMar>
              <w:left w:w="60" w:type="dxa"/>
              <w:right w:w="60" w:type="dxa"/>
            </w:tcMar>
          </w:tcPr>
          <w:p w14:paraId="7FAE0AEB" w14:textId="27948EDF"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15</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17</w:t>
            </w:r>
            <w:r w:rsidRPr="00A800B7">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52E5CC9C" w14:textId="3869A359"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6,666 (3.9)</w:t>
            </w:r>
          </w:p>
        </w:tc>
        <w:tc>
          <w:tcPr>
            <w:tcW w:w="2250" w:type="dxa"/>
            <w:shd w:val="clear" w:color="auto" w:fill="auto"/>
            <w:tcMar>
              <w:left w:w="60" w:type="dxa"/>
              <w:right w:w="60" w:type="dxa"/>
            </w:tcMar>
          </w:tcPr>
          <w:p w14:paraId="54E76499" w14:textId="5A18CE81"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5.</w:t>
            </w:r>
            <w:r w:rsidR="009B11AD" w:rsidRPr="00DA783D">
              <w:rPr>
                <w:rFonts w:asciiTheme="minorHAnsi" w:hAnsiTheme="minorHAnsi" w:cstheme="minorHAnsi"/>
                <w:sz w:val="20"/>
                <w:szCs w:val="20"/>
              </w:rPr>
              <w:t>2</w:t>
            </w:r>
            <w:r w:rsidRPr="00DA783D">
              <w:rPr>
                <w:rFonts w:asciiTheme="minorHAnsi" w:hAnsiTheme="minorHAnsi" w:cstheme="minorHAnsi"/>
                <w:sz w:val="20"/>
                <w:szCs w:val="20"/>
              </w:rPr>
              <w:t xml:space="preserve"> (5.1</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5.4)</w:t>
            </w:r>
          </w:p>
        </w:tc>
        <w:tc>
          <w:tcPr>
            <w:tcW w:w="1710" w:type="dxa"/>
            <w:shd w:val="clear" w:color="auto" w:fill="auto"/>
          </w:tcPr>
          <w:p w14:paraId="4C0B18F3" w14:textId="5488CE3E" w:rsidR="00D12B86" w:rsidRPr="00A800B7" w:rsidRDefault="00AB21E4"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&lt;0.001</w:t>
            </w:r>
          </w:p>
        </w:tc>
      </w:tr>
      <w:tr w:rsidR="00D12B86" w:rsidRPr="00A800B7" w14:paraId="18BC8405" w14:textId="77777777" w:rsidTr="00AB21E4">
        <w:trPr>
          <w:cantSplit/>
          <w:trHeight w:val="20"/>
          <w:jc w:val="center"/>
        </w:trPr>
        <w:tc>
          <w:tcPr>
            <w:tcW w:w="3055" w:type="dxa"/>
            <w:shd w:val="clear" w:color="auto" w:fill="auto"/>
            <w:tcMar>
              <w:left w:w="60" w:type="dxa"/>
              <w:right w:w="60" w:type="dxa"/>
            </w:tcMar>
          </w:tcPr>
          <w:p w14:paraId="163262B2" w14:textId="4AB4A2C7"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18</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19</w:t>
            </w:r>
            <w:r w:rsidRPr="00A800B7">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26010814" w14:textId="0AB681DC"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10,525 (6.1)</w:t>
            </w:r>
          </w:p>
        </w:tc>
        <w:tc>
          <w:tcPr>
            <w:tcW w:w="2250" w:type="dxa"/>
            <w:shd w:val="clear" w:color="auto" w:fill="auto"/>
            <w:tcMar>
              <w:left w:w="60" w:type="dxa"/>
              <w:right w:w="60" w:type="dxa"/>
            </w:tcMar>
          </w:tcPr>
          <w:p w14:paraId="109FB0B3" w14:textId="7FF6941F"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12.</w:t>
            </w:r>
            <w:r w:rsidR="009B11AD" w:rsidRPr="00DA783D">
              <w:rPr>
                <w:rFonts w:asciiTheme="minorHAnsi" w:hAnsiTheme="minorHAnsi" w:cstheme="minorHAnsi"/>
                <w:sz w:val="20"/>
                <w:szCs w:val="20"/>
              </w:rPr>
              <w:t>0</w:t>
            </w:r>
            <w:r w:rsidRPr="00DA783D">
              <w:rPr>
                <w:rFonts w:asciiTheme="minorHAnsi" w:hAnsiTheme="minorHAnsi" w:cstheme="minorHAnsi"/>
                <w:sz w:val="20"/>
                <w:szCs w:val="20"/>
              </w:rPr>
              <w:t xml:space="preserve"> (11.8</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12.3)</w:t>
            </w:r>
          </w:p>
        </w:tc>
        <w:tc>
          <w:tcPr>
            <w:tcW w:w="1710" w:type="dxa"/>
            <w:shd w:val="clear" w:color="auto" w:fill="auto"/>
          </w:tcPr>
          <w:p w14:paraId="594A76CD" w14:textId="4F78D6E0" w:rsidR="00D12B86" w:rsidRPr="00A800B7" w:rsidRDefault="00AB21E4"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&lt;0.001</w:t>
            </w:r>
          </w:p>
        </w:tc>
      </w:tr>
      <w:tr w:rsidR="00D12B86" w:rsidRPr="00A800B7" w14:paraId="2DB96B76" w14:textId="77777777" w:rsidTr="00AB21E4">
        <w:trPr>
          <w:cantSplit/>
          <w:trHeight w:val="20"/>
          <w:jc w:val="center"/>
        </w:trPr>
        <w:tc>
          <w:tcPr>
            <w:tcW w:w="3055" w:type="dxa"/>
            <w:shd w:val="clear" w:color="auto" w:fill="auto"/>
            <w:tcMar>
              <w:left w:w="60" w:type="dxa"/>
              <w:right w:w="60" w:type="dxa"/>
            </w:tcMar>
          </w:tcPr>
          <w:p w14:paraId="13217CBA" w14:textId="7356F747"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20</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24</w:t>
            </w:r>
            <w:r w:rsidRPr="00A800B7">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06BA94EF" w14:textId="46966D68"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30,102 (17.5)</w:t>
            </w:r>
          </w:p>
        </w:tc>
        <w:tc>
          <w:tcPr>
            <w:tcW w:w="2250" w:type="dxa"/>
            <w:shd w:val="clear" w:color="auto" w:fill="auto"/>
            <w:tcMar>
              <w:left w:w="60" w:type="dxa"/>
              <w:right w:w="60" w:type="dxa"/>
            </w:tcMar>
          </w:tcPr>
          <w:p w14:paraId="3EF0527E" w14:textId="64191F2B"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13.</w:t>
            </w:r>
            <w:r w:rsidR="00A800B7" w:rsidRPr="00DA783D">
              <w:rPr>
                <w:rFonts w:asciiTheme="minorHAnsi" w:hAnsiTheme="minorHAnsi" w:cstheme="minorHAnsi"/>
                <w:sz w:val="20"/>
                <w:szCs w:val="20"/>
              </w:rPr>
              <w:t>6</w:t>
            </w:r>
            <w:r w:rsidRPr="00DA783D">
              <w:rPr>
                <w:rFonts w:asciiTheme="minorHAnsi" w:hAnsiTheme="minorHAnsi" w:cstheme="minorHAnsi"/>
                <w:sz w:val="20"/>
                <w:szCs w:val="20"/>
              </w:rPr>
              <w:t xml:space="preserve"> (13.4</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13.7)</w:t>
            </w:r>
          </w:p>
        </w:tc>
        <w:tc>
          <w:tcPr>
            <w:tcW w:w="1710" w:type="dxa"/>
            <w:shd w:val="clear" w:color="auto" w:fill="auto"/>
          </w:tcPr>
          <w:p w14:paraId="2499720F" w14:textId="261F043B" w:rsidR="00D12B86" w:rsidRPr="00A800B7" w:rsidRDefault="00AB21E4"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&lt;0.001</w:t>
            </w:r>
          </w:p>
        </w:tc>
      </w:tr>
      <w:tr w:rsidR="00D12B86" w:rsidRPr="00D12B86" w14:paraId="05C9BC45" w14:textId="77777777" w:rsidTr="00AB21E4">
        <w:trPr>
          <w:cantSplit/>
          <w:trHeight w:val="20"/>
          <w:jc w:val="center"/>
        </w:trPr>
        <w:tc>
          <w:tcPr>
            <w:tcW w:w="3055" w:type="dxa"/>
            <w:shd w:val="clear" w:color="auto" w:fill="auto"/>
            <w:tcMar>
              <w:left w:w="60" w:type="dxa"/>
              <w:right w:w="60" w:type="dxa"/>
            </w:tcMar>
          </w:tcPr>
          <w:p w14:paraId="3D5C68AE" w14:textId="054FAB93" w:rsidR="00D12B86" w:rsidRPr="00A800B7" w:rsidRDefault="00D12B86" w:rsidP="00AB21E4">
            <w:pPr>
              <w:keepNext/>
              <w:adjustRightInd w:val="0"/>
              <w:rPr>
                <w:rFonts w:asciiTheme="minorHAnsi" w:hAnsiTheme="minorHAnsi" w:cstheme="minorHAnsi"/>
                <w:sz w:val="20"/>
                <w:szCs w:val="20"/>
              </w:rPr>
            </w:pPr>
            <w:r w:rsidRPr="00A800B7">
              <w:rPr>
                <w:rFonts w:asciiTheme="minorHAnsi" w:hAnsiTheme="minorHAnsi" w:cstheme="minorHAnsi"/>
                <w:sz w:val="20"/>
                <w:szCs w:val="20"/>
              </w:rPr>
              <w:t>25</w:t>
            </w:r>
            <w:r w:rsidR="00F45727" w:rsidRPr="00A800B7">
              <w:rPr>
                <w:rFonts w:asciiTheme="minorHAnsi" w:hAnsiTheme="minorHAnsi" w:cstheme="minorHAnsi"/>
                <w:sz w:val="20"/>
                <w:szCs w:val="20"/>
              </w:rPr>
              <w:t>–</w:t>
            </w:r>
            <w:r w:rsidRPr="00A800B7">
              <w:rPr>
                <w:rFonts w:asciiTheme="minorHAnsi" w:hAnsiTheme="minorHAnsi" w:cstheme="minorHAnsi"/>
                <w:sz w:val="20"/>
                <w:szCs w:val="20"/>
              </w:rPr>
              <w:t>34</w:t>
            </w:r>
            <w:r w:rsidRPr="00A800B7">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1D28BABF" w14:textId="58068E27" w:rsidR="00D12B86" w:rsidRPr="00A800B7" w:rsidRDefault="00D12B86"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45,753 (26.</w:t>
            </w:r>
            <w:r w:rsidR="001113F2" w:rsidRPr="00A800B7">
              <w:rPr>
                <w:rFonts w:asciiTheme="minorHAnsi" w:hAnsiTheme="minorHAnsi" w:cstheme="minorHAnsi"/>
                <w:sz w:val="20"/>
                <w:szCs w:val="20"/>
              </w:rPr>
              <w:t>5</w:t>
            </w:r>
            <w:r w:rsidRPr="00A800B7">
              <w:rPr>
                <w:rFonts w:asciiTheme="minorHAnsi" w:hAnsiTheme="minorHAnsi" w:cstheme="minorHAnsi"/>
                <w:sz w:val="20"/>
                <w:szCs w:val="20"/>
              </w:rPr>
              <w:t>)</w:t>
            </w:r>
          </w:p>
        </w:tc>
        <w:tc>
          <w:tcPr>
            <w:tcW w:w="2250" w:type="dxa"/>
            <w:shd w:val="clear" w:color="auto" w:fill="auto"/>
            <w:tcMar>
              <w:left w:w="60" w:type="dxa"/>
              <w:right w:w="60" w:type="dxa"/>
            </w:tcMar>
          </w:tcPr>
          <w:p w14:paraId="3E90FB91" w14:textId="2F9365A7"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10.7 (10.6</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10.8)</w:t>
            </w:r>
          </w:p>
        </w:tc>
        <w:tc>
          <w:tcPr>
            <w:tcW w:w="1710" w:type="dxa"/>
            <w:shd w:val="clear" w:color="auto" w:fill="auto"/>
          </w:tcPr>
          <w:p w14:paraId="5B0FBCC5" w14:textId="76C9CB6C" w:rsidR="00D12B86" w:rsidRPr="00D12B86" w:rsidRDefault="00AB21E4" w:rsidP="00D12B86">
            <w:pPr>
              <w:keepNext/>
              <w:adjustRightInd w:val="0"/>
              <w:jc w:val="center"/>
              <w:rPr>
                <w:rFonts w:asciiTheme="minorHAnsi" w:hAnsiTheme="minorHAnsi" w:cstheme="minorHAnsi"/>
                <w:sz w:val="20"/>
                <w:szCs w:val="20"/>
              </w:rPr>
            </w:pPr>
            <w:r w:rsidRPr="00A800B7">
              <w:rPr>
                <w:rFonts w:asciiTheme="minorHAnsi" w:hAnsiTheme="minorHAnsi" w:cstheme="minorHAnsi"/>
                <w:sz w:val="20"/>
                <w:szCs w:val="20"/>
              </w:rPr>
              <w:t>&lt;0.001</w:t>
            </w:r>
          </w:p>
        </w:tc>
      </w:tr>
      <w:tr w:rsidR="00D12B86" w:rsidRPr="00D12B86" w14:paraId="5D80D23C" w14:textId="77777777" w:rsidTr="00AB21E4">
        <w:trPr>
          <w:cantSplit/>
          <w:trHeight w:val="20"/>
          <w:jc w:val="center"/>
        </w:trPr>
        <w:tc>
          <w:tcPr>
            <w:tcW w:w="3055" w:type="dxa"/>
            <w:shd w:val="clear" w:color="auto" w:fill="auto"/>
            <w:tcMar>
              <w:left w:w="60" w:type="dxa"/>
              <w:right w:w="60" w:type="dxa"/>
            </w:tcMar>
          </w:tcPr>
          <w:p w14:paraId="2748495B" w14:textId="1E73B9A4" w:rsidR="00D12B86" w:rsidRPr="00D12B86" w:rsidRDefault="00D12B86" w:rsidP="00AB21E4">
            <w:pPr>
              <w:keepNext/>
              <w:adjustRightInd w:val="0"/>
              <w:rPr>
                <w:rFonts w:asciiTheme="minorHAnsi" w:hAnsiTheme="minorHAnsi" w:cstheme="minorHAnsi"/>
                <w:sz w:val="20"/>
                <w:szCs w:val="20"/>
              </w:rPr>
            </w:pPr>
            <w:r w:rsidRPr="00D12B86">
              <w:rPr>
                <w:rFonts w:asciiTheme="minorHAnsi" w:hAnsiTheme="minorHAnsi" w:cstheme="minorHAnsi"/>
                <w:sz w:val="20"/>
                <w:szCs w:val="20"/>
              </w:rPr>
              <w:t>35</w:t>
            </w:r>
            <w:r w:rsidR="00F45727">
              <w:rPr>
                <w:rFonts w:asciiTheme="minorHAnsi" w:hAnsiTheme="minorHAnsi" w:cstheme="minorHAnsi"/>
                <w:sz w:val="20"/>
                <w:szCs w:val="20"/>
              </w:rPr>
              <w:t>–</w:t>
            </w:r>
            <w:r w:rsidRPr="00D12B86">
              <w:rPr>
                <w:rFonts w:asciiTheme="minorHAnsi" w:hAnsiTheme="minorHAnsi" w:cstheme="minorHAnsi"/>
                <w:sz w:val="20"/>
                <w:szCs w:val="20"/>
              </w:rPr>
              <w:t>44</w:t>
            </w:r>
            <w:r w:rsidRPr="00D12B86">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1B32FAEF" w14:textId="0E1D53A4" w:rsidR="00D12B86" w:rsidRPr="00D12B86" w:rsidRDefault="00D12B86" w:rsidP="00D12B86">
            <w:pPr>
              <w:keepNext/>
              <w:adjustRightInd w:val="0"/>
              <w:jc w:val="center"/>
              <w:rPr>
                <w:rFonts w:asciiTheme="minorHAnsi" w:hAnsiTheme="minorHAnsi" w:cstheme="minorHAnsi"/>
                <w:sz w:val="20"/>
                <w:szCs w:val="20"/>
              </w:rPr>
            </w:pPr>
            <w:r w:rsidRPr="00D12B86">
              <w:rPr>
                <w:rFonts w:asciiTheme="minorHAnsi" w:hAnsiTheme="minorHAnsi" w:cstheme="minorHAnsi"/>
                <w:sz w:val="20"/>
                <w:szCs w:val="20"/>
              </w:rPr>
              <w:t>28,157 (16.3)</w:t>
            </w:r>
          </w:p>
        </w:tc>
        <w:tc>
          <w:tcPr>
            <w:tcW w:w="2250" w:type="dxa"/>
            <w:shd w:val="clear" w:color="auto" w:fill="auto"/>
            <w:tcMar>
              <w:left w:w="60" w:type="dxa"/>
              <w:right w:w="60" w:type="dxa"/>
            </w:tcMar>
          </w:tcPr>
          <w:p w14:paraId="0DD15242" w14:textId="6407438B"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6.9 (6.8</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7.0)</w:t>
            </w:r>
          </w:p>
        </w:tc>
        <w:tc>
          <w:tcPr>
            <w:tcW w:w="1710" w:type="dxa"/>
            <w:shd w:val="clear" w:color="auto" w:fill="auto"/>
          </w:tcPr>
          <w:p w14:paraId="324D60A1" w14:textId="51A91FB3" w:rsidR="00D12B86" w:rsidRPr="00D12B86" w:rsidRDefault="00D12B86" w:rsidP="00D12B86">
            <w:pPr>
              <w:keepNext/>
              <w:adjustRightInd w:val="0"/>
              <w:jc w:val="center"/>
              <w:rPr>
                <w:rFonts w:asciiTheme="minorHAnsi" w:hAnsiTheme="minorHAnsi" w:cstheme="minorHAnsi"/>
                <w:sz w:val="20"/>
                <w:szCs w:val="20"/>
              </w:rPr>
            </w:pPr>
            <w:r w:rsidRPr="00D12B86">
              <w:rPr>
                <w:rFonts w:asciiTheme="minorHAnsi" w:hAnsiTheme="minorHAnsi" w:cstheme="minorHAnsi"/>
                <w:sz w:val="20"/>
                <w:szCs w:val="20"/>
              </w:rPr>
              <w:t>NS</w:t>
            </w:r>
          </w:p>
        </w:tc>
      </w:tr>
      <w:tr w:rsidR="00D12B86" w:rsidRPr="00D12B86" w14:paraId="3C450E9A" w14:textId="77777777" w:rsidTr="00AB21E4">
        <w:trPr>
          <w:cantSplit/>
          <w:trHeight w:val="20"/>
          <w:jc w:val="center"/>
        </w:trPr>
        <w:tc>
          <w:tcPr>
            <w:tcW w:w="3055" w:type="dxa"/>
            <w:shd w:val="clear" w:color="auto" w:fill="auto"/>
            <w:tcMar>
              <w:left w:w="60" w:type="dxa"/>
              <w:right w:w="60" w:type="dxa"/>
            </w:tcMar>
          </w:tcPr>
          <w:p w14:paraId="534D4957" w14:textId="5BE9A82B" w:rsidR="00D12B86" w:rsidRPr="00D12B86" w:rsidRDefault="00D12B86" w:rsidP="00AB21E4">
            <w:pPr>
              <w:keepNext/>
              <w:adjustRightInd w:val="0"/>
              <w:rPr>
                <w:rFonts w:asciiTheme="minorHAnsi" w:hAnsiTheme="minorHAnsi" w:cstheme="minorHAnsi"/>
                <w:sz w:val="20"/>
                <w:szCs w:val="20"/>
              </w:rPr>
            </w:pPr>
            <w:r w:rsidRPr="00D12B86">
              <w:rPr>
                <w:rFonts w:asciiTheme="minorHAnsi" w:hAnsiTheme="minorHAnsi" w:cstheme="minorHAnsi"/>
                <w:sz w:val="20"/>
                <w:szCs w:val="20"/>
              </w:rPr>
              <w:t>45</w:t>
            </w:r>
            <w:r w:rsidR="00F45727">
              <w:rPr>
                <w:rFonts w:asciiTheme="minorHAnsi" w:hAnsiTheme="minorHAnsi" w:cstheme="minorHAnsi"/>
                <w:sz w:val="20"/>
                <w:szCs w:val="20"/>
              </w:rPr>
              <w:t>–</w:t>
            </w:r>
            <w:r w:rsidRPr="00D12B86">
              <w:rPr>
                <w:rFonts w:asciiTheme="minorHAnsi" w:hAnsiTheme="minorHAnsi" w:cstheme="minorHAnsi"/>
                <w:sz w:val="20"/>
                <w:szCs w:val="20"/>
              </w:rPr>
              <w:t>54</w:t>
            </w:r>
            <w:r w:rsidRPr="00D12B86">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57037D6C" w14:textId="173C2F41" w:rsidR="00D12B86" w:rsidRPr="00D12B86" w:rsidRDefault="00D12B86" w:rsidP="00D12B86">
            <w:pPr>
              <w:keepNext/>
              <w:adjustRightInd w:val="0"/>
              <w:jc w:val="center"/>
              <w:rPr>
                <w:rFonts w:asciiTheme="minorHAnsi" w:hAnsiTheme="minorHAnsi" w:cstheme="minorHAnsi"/>
                <w:sz w:val="20"/>
                <w:szCs w:val="20"/>
              </w:rPr>
            </w:pPr>
            <w:r w:rsidRPr="00D12B86">
              <w:rPr>
                <w:rFonts w:asciiTheme="minorHAnsi" w:hAnsiTheme="minorHAnsi" w:cstheme="minorHAnsi"/>
                <w:sz w:val="20"/>
                <w:szCs w:val="20"/>
              </w:rPr>
              <w:t>20,781 (12.1)</w:t>
            </w:r>
          </w:p>
        </w:tc>
        <w:tc>
          <w:tcPr>
            <w:tcW w:w="2250" w:type="dxa"/>
            <w:shd w:val="clear" w:color="auto" w:fill="auto"/>
            <w:tcMar>
              <w:left w:w="60" w:type="dxa"/>
              <w:right w:w="60" w:type="dxa"/>
            </w:tcMar>
          </w:tcPr>
          <w:p w14:paraId="3BEF8AE0" w14:textId="535D94EA"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4.7 (4.7</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4.8)</w:t>
            </w:r>
          </w:p>
        </w:tc>
        <w:tc>
          <w:tcPr>
            <w:tcW w:w="1710" w:type="dxa"/>
            <w:shd w:val="clear" w:color="auto" w:fill="auto"/>
          </w:tcPr>
          <w:p w14:paraId="6FAF89C4" w14:textId="7DDBB230" w:rsidR="00D12B86" w:rsidRPr="00D12B86" w:rsidRDefault="00AB21E4" w:rsidP="00D12B86">
            <w:pPr>
              <w:keepNext/>
              <w:adjustRightInd w:val="0"/>
              <w:jc w:val="center"/>
              <w:rPr>
                <w:rFonts w:asciiTheme="minorHAnsi" w:hAnsiTheme="minorHAnsi" w:cstheme="minorHAnsi"/>
                <w:sz w:val="20"/>
                <w:szCs w:val="20"/>
              </w:rPr>
            </w:pPr>
            <w:r>
              <w:rPr>
                <w:rFonts w:asciiTheme="minorHAnsi" w:hAnsiTheme="minorHAnsi" w:cstheme="minorHAnsi"/>
                <w:sz w:val="20"/>
                <w:szCs w:val="20"/>
              </w:rPr>
              <w:t>&lt;0.001</w:t>
            </w:r>
          </w:p>
        </w:tc>
      </w:tr>
      <w:tr w:rsidR="00D12B86" w:rsidRPr="00D12B86" w14:paraId="4A8CFB83" w14:textId="77777777" w:rsidTr="00AB21E4">
        <w:trPr>
          <w:cantSplit/>
          <w:trHeight w:val="20"/>
          <w:jc w:val="center"/>
        </w:trPr>
        <w:tc>
          <w:tcPr>
            <w:tcW w:w="3055" w:type="dxa"/>
            <w:shd w:val="clear" w:color="auto" w:fill="auto"/>
            <w:tcMar>
              <w:left w:w="60" w:type="dxa"/>
              <w:right w:w="60" w:type="dxa"/>
            </w:tcMar>
          </w:tcPr>
          <w:p w14:paraId="404E0116" w14:textId="120B2A1B" w:rsidR="00D12B86" w:rsidRPr="00D12B86" w:rsidRDefault="00D12B86" w:rsidP="00AB21E4">
            <w:pPr>
              <w:keepNext/>
              <w:adjustRightInd w:val="0"/>
              <w:rPr>
                <w:rFonts w:asciiTheme="minorHAnsi" w:hAnsiTheme="minorHAnsi" w:cstheme="minorHAnsi"/>
                <w:sz w:val="20"/>
                <w:szCs w:val="20"/>
              </w:rPr>
            </w:pPr>
            <w:r w:rsidRPr="00D12B86">
              <w:rPr>
                <w:rFonts w:asciiTheme="minorHAnsi" w:hAnsiTheme="minorHAnsi" w:cstheme="minorHAnsi"/>
                <w:sz w:val="20"/>
                <w:szCs w:val="20"/>
              </w:rPr>
              <w:t>55</w:t>
            </w:r>
            <w:r w:rsidR="00F45727">
              <w:rPr>
                <w:rFonts w:asciiTheme="minorHAnsi" w:hAnsiTheme="minorHAnsi" w:cstheme="minorHAnsi"/>
                <w:sz w:val="20"/>
                <w:szCs w:val="20"/>
              </w:rPr>
              <w:t>–</w:t>
            </w:r>
            <w:r w:rsidRPr="00D12B86">
              <w:rPr>
                <w:rFonts w:asciiTheme="minorHAnsi" w:hAnsiTheme="minorHAnsi" w:cstheme="minorHAnsi"/>
                <w:sz w:val="20"/>
                <w:szCs w:val="20"/>
              </w:rPr>
              <w:t>64</w:t>
            </w:r>
            <w:r w:rsidRPr="00D12B86">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0B8C8C5A" w14:textId="0F6E54BE" w:rsidR="00D12B86" w:rsidRPr="00D12B86" w:rsidRDefault="00D12B86" w:rsidP="00D12B86">
            <w:pPr>
              <w:keepNext/>
              <w:adjustRightInd w:val="0"/>
              <w:jc w:val="center"/>
              <w:rPr>
                <w:rFonts w:asciiTheme="minorHAnsi" w:hAnsiTheme="minorHAnsi" w:cstheme="minorHAnsi"/>
                <w:sz w:val="20"/>
                <w:szCs w:val="20"/>
              </w:rPr>
            </w:pPr>
            <w:r w:rsidRPr="00D12B86">
              <w:rPr>
                <w:rFonts w:asciiTheme="minorHAnsi" w:hAnsiTheme="minorHAnsi" w:cstheme="minorHAnsi"/>
                <w:sz w:val="20"/>
                <w:szCs w:val="20"/>
              </w:rPr>
              <w:t>11,890 (6.9)</w:t>
            </w:r>
          </w:p>
        </w:tc>
        <w:tc>
          <w:tcPr>
            <w:tcW w:w="2250" w:type="dxa"/>
            <w:shd w:val="clear" w:color="auto" w:fill="auto"/>
            <w:tcMar>
              <w:left w:w="60" w:type="dxa"/>
              <w:right w:w="60" w:type="dxa"/>
            </w:tcMar>
          </w:tcPr>
          <w:p w14:paraId="29F106A1" w14:textId="2DAE83C7"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3.1 (3.0</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3.1)</w:t>
            </w:r>
          </w:p>
        </w:tc>
        <w:tc>
          <w:tcPr>
            <w:tcW w:w="1710" w:type="dxa"/>
            <w:shd w:val="clear" w:color="auto" w:fill="auto"/>
          </w:tcPr>
          <w:p w14:paraId="1E980F3B" w14:textId="41372515" w:rsidR="00D12B86" w:rsidRPr="00D12B86" w:rsidRDefault="00AB21E4" w:rsidP="00D12B86">
            <w:pPr>
              <w:keepNext/>
              <w:adjustRightInd w:val="0"/>
              <w:jc w:val="center"/>
              <w:rPr>
                <w:rFonts w:asciiTheme="minorHAnsi" w:hAnsiTheme="minorHAnsi" w:cstheme="minorHAnsi"/>
                <w:sz w:val="20"/>
                <w:szCs w:val="20"/>
              </w:rPr>
            </w:pPr>
            <w:r>
              <w:rPr>
                <w:rFonts w:asciiTheme="minorHAnsi" w:hAnsiTheme="minorHAnsi" w:cstheme="minorHAnsi"/>
                <w:sz w:val="20"/>
                <w:szCs w:val="20"/>
              </w:rPr>
              <w:t>&lt;0.001</w:t>
            </w:r>
          </w:p>
        </w:tc>
      </w:tr>
      <w:tr w:rsidR="00D12B86" w:rsidRPr="00D12B86" w14:paraId="1CEFC4B5" w14:textId="77777777" w:rsidTr="00AB21E4">
        <w:trPr>
          <w:cantSplit/>
          <w:trHeight w:val="20"/>
          <w:jc w:val="center"/>
        </w:trPr>
        <w:tc>
          <w:tcPr>
            <w:tcW w:w="3055" w:type="dxa"/>
            <w:shd w:val="clear" w:color="auto" w:fill="auto"/>
            <w:tcMar>
              <w:left w:w="60" w:type="dxa"/>
              <w:right w:w="60" w:type="dxa"/>
            </w:tcMar>
          </w:tcPr>
          <w:p w14:paraId="1D99A975" w14:textId="3C52B503" w:rsidR="00D12B86" w:rsidRPr="00D12B86" w:rsidRDefault="00D12B86" w:rsidP="00AB21E4">
            <w:pPr>
              <w:keepNext/>
              <w:adjustRightInd w:val="0"/>
              <w:rPr>
                <w:rFonts w:asciiTheme="minorHAnsi" w:hAnsiTheme="minorHAnsi" w:cstheme="minorHAnsi"/>
                <w:sz w:val="20"/>
                <w:szCs w:val="20"/>
              </w:rPr>
            </w:pPr>
            <w:r w:rsidRPr="00D12B86">
              <w:rPr>
                <w:rFonts w:asciiTheme="minorHAnsi" w:hAnsiTheme="minorHAnsi" w:cstheme="minorHAnsi"/>
                <w:sz w:val="20"/>
                <w:szCs w:val="20"/>
              </w:rPr>
              <w:t>65</w:t>
            </w:r>
            <w:r w:rsidR="00F45727">
              <w:rPr>
                <w:rFonts w:asciiTheme="minorHAnsi" w:hAnsiTheme="minorHAnsi" w:cstheme="minorHAnsi"/>
                <w:sz w:val="20"/>
                <w:szCs w:val="20"/>
              </w:rPr>
              <w:t>–</w:t>
            </w:r>
            <w:r w:rsidRPr="00D12B86">
              <w:rPr>
                <w:rFonts w:asciiTheme="minorHAnsi" w:hAnsiTheme="minorHAnsi" w:cstheme="minorHAnsi"/>
                <w:sz w:val="20"/>
                <w:szCs w:val="20"/>
              </w:rPr>
              <w:t>74</w:t>
            </w:r>
            <w:r w:rsidRPr="00D12B86">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2B06B151" w14:textId="56E96F56" w:rsidR="00D12B86" w:rsidRPr="00D12B86" w:rsidRDefault="00D12B86" w:rsidP="00D12B86">
            <w:pPr>
              <w:keepNext/>
              <w:adjustRightInd w:val="0"/>
              <w:jc w:val="center"/>
              <w:rPr>
                <w:rFonts w:asciiTheme="minorHAnsi" w:hAnsiTheme="minorHAnsi" w:cstheme="minorHAnsi"/>
                <w:sz w:val="20"/>
                <w:szCs w:val="20"/>
              </w:rPr>
            </w:pPr>
            <w:r w:rsidRPr="00D12B86">
              <w:rPr>
                <w:rFonts w:asciiTheme="minorHAnsi" w:hAnsiTheme="minorHAnsi" w:cstheme="minorHAnsi"/>
                <w:sz w:val="20"/>
                <w:szCs w:val="20"/>
              </w:rPr>
              <w:t>5,181 (3.0)</w:t>
            </w:r>
          </w:p>
        </w:tc>
        <w:tc>
          <w:tcPr>
            <w:tcW w:w="2250" w:type="dxa"/>
            <w:shd w:val="clear" w:color="auto" w:fill="auto"/>
            <w:tcMar>
              <w:left w:w="60" w:type="dxa"/>
              <w:right w:w="60" w:type="dxa"/>
            </w:tcMar>
          </w:tcPr>
          <w:p w14:paraId="3ACD32AA" w14:textId="60DB29C0" w:rsidR="00D12B86" w:rsidRPr="00DA783D" w:rsidRDefault="00D12B86"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2.1 (2.0</w:t>
            </w:r>
            <w:r w:rsidR="00F45727" w:rsidRPr="00DA783D">
              <w:rPr>
                <w:rFonts w:asciiTheme="minorHAnsi" w:hAnsiTheme="minorHAnsi" w:cstheme="minorHAnsi"/>
                <w:sz w:val="20"/>
                <w:szCs w:val="20"/>
              </w:rPr>
              <w:t>–</w:t>
            </w:r>
            <w:r w:rsidRPr="00DA783D">
              <w:rPr>
                <w:rFonts w:asciiTheme="minorHAnsi" w:hAnsiTheme="minorHAnsi" w:cstheme="minorHAnsi"/>
                <w:sz w:val="20"/>
                <w:szCs w:val="20"/>
              </w:rPr>
              <w:t>2.2)</w:t>
            </w:r>
          </w:p>
        </w:tc>
        <w:tc>
          <w:tcPr>
            <w:tcW w:w="1710" w:type="dxa"/>
            <w:shd w:val="clear" w:color="auto" w:fill="auto"/>
          </w:tcPr>
          <w:p w14:paraId="6D1D6D1C" w14:textId="569BEF4C" w:rsidR="00D12B86" w:rsidRPr="00D12B86" w:rsidRDefault="00AB21E4" w:rsidP="00D12B86">
            <w:pPr>
              <w:keepNext/>
              <w:adjustRightInd w:val="0"/>
              <w:jc w:val="center"/>
              <w:rPr>
                <w:rFonts w:asciiTheme="minorHAnsi" w:hAnsiTheme="minorHAnsi" w:cstheme="minorHAnsi"/>
                <w:sz w:val="20"/>
                <w:szCs w:val="20"/>
              </w:rPr>
            </w:pPr>
            <w:r>
              <w:rPr>
                <w:rFonts w:asciiTheme="minorHAnsi" w:hAnsiTheme="minorHAnsi" w:cstheme="minorHAnsi"/>
                <w:sz w:val="20"/>
                <w:szCs w:val="20"/>
              </w:rPr>
              <w:t>&lt;0.001</w:t>
            </w:r>
          </w:p>
        </w:tc>
      </w:tr>
      <w:tr w:rsidR="00D12B86" w:rsidRPr="00D12B86" w14:paraId="082FBFCE" w14:textId="77777777" w:rsidTr="00AB21E4">
        <w:trPr>
          <w:cantSplit/>
          <w:trHeight w:val="20"/>
          <w:jc w:val="center"/>
        </w:trPr>
        <w:tc>
          <w:tcPr>
            <w:tcW w:w="3055" w:type="dxa"/>
            <w:shd w:val="clear" w:color="auto" w:fill="auto"/>
            <w:tcMar>
              <w:left w:w="60" w:type="dxa"/>
              <w:right w:w="60" w:type="dxa"/>
            </w:tcMar>
          </w:tcPr>
          <w:p w14:paraId="632D6FC4" w14:textId="1A480318" w:rsidR="00D12B86" w:rsidRPr="00D12B86" w:rsidRDefault="00D12B86" w:rsidP="00AB21E4">
            <w:pPr>
              <w:keepNext/>
              <w:adjustRightInd w:val="0"/>
              <w:rPr>
                <w:rFonts w:asciiTheme="minorHAnsi" w:hAnsiTheme="minorHAnsi" w:cstheme="minorHAnsi"/>
                <w:sz w:val="20"/>
                <w:szCs w:val="20"/>
              </w:rPr>
            </w:pPr>
            <w:r w:rsidRPr="00D12B86">
              <w:rPr>
                <w:rFonts w:asciiTheme="minorHAnsi" w:hAnsiTheme="minorHAnsi" w:cstheme="minorHAnsi"/>
                <w:sz w:val="20"/>
                <w:szCs w:val="20"/>
              </w:rPr>
              <w:t>75</w:t>
            </w:r>
            <w:r w:rsidR="00F45727">
              <w:rPr>
                <w:rFonts w:asciiTheme="minorHAnsi" w:hAnsiTheme="minorHAnsi" w:cstheme="minorHAnsi"/>
                <w:sz w:val="20"/>
                <w:szCs w:val="20"/>
              </w:rPr>
              <w:t>–</w:t>
            </w:r>
            <w:r w:rsidRPr="00D12B86">
              <w:rPr>
                <w:rFonts w:asciiTheme="minorHAnsi" w:hAnsiTheme="minorHAnsi" w:cstheme="minorHAnsi"/>
                <w:sz w:val="20"/>
                <w:szCs w:val="20"/>
              </w:rPr>
              <w:t>84</w:t>
            </w:r>
            <w:r w:rsidRPr="00D12B86">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612597CE" w14:textId="1D3E510F" w:rsidR="00D12B86" w:rsidRPr="00D12B86" w:rsidRDefault="00D12B86" w:rsidP="00D12B86">
            <w:pPr>
              <w:keepNext/>
              <w:adjustRightInd w:val="0"/>
              <w:jc w:val="center"/>
              <w:rPr>
                <w:rFonts w:asciiTheme="minorHAnsi" w:hAnsiTheme="minorHAnsi" w:cstheme="minorHAnsi"/>
                <w:sz w:val="20"/>
                <w:szCs w:val="20"/>
              </w:rPr>
            </w:pPr>
            <w:r w:rsidRPr="00D12B86">
              <w:rPr>
                <w:rFonts w:asciiTheme="minorHAnsi" w:hAnsiTheme="minorHAnsi" w:cstheme="minorHAnsi"/>
                <w:sz w:val="20"/>
                <w:szCs w:val="20"/>
              </w:rPr>
              <w:t>2,646 (1.5)</w:t>
            </w:r>
          </w:p>
        </w:tc>
        <w:tc>
          <w:tcPr>
            <w:tcW w:w="2250" w:type="dxa"/>
            <w:shd w:val="clear" w:color="auto" w:fill="auto"/>
            <w:tcMar>
              <w:left w:w="60" w:type="dxa"/>
              <w:right w:w="60" w:type="dxa"/>
            </w:tcMar>
          </w:tcPr>
          <w:p w14:paraId="7A3D9F5C" w14:textId="34264562" w:rsidR="00D12B86" w:rsidRPr="00DA783D" w:rsidRDefault="008170BD" w:rsidP="00D12B86">
            <w:pPr>
              <w:keepNext/>
              <w:adjustRightInd w:val="0"/>
              <w:jc w:val="center"/>
              <w:rPr>
                <w:rFonts w:asciiTheme="minorHAnsi" w:hAnsiTheme="minorHAnsi" w:cstheme="minorHAnsi"/>
                <w:sz w:val="20"/>
                <w:szCs w:val="20"/>
              </w:rPr>
            </w:pPr>
            <w:r w:rsidRPr="00DA783D">
              <w:rPr>
                <w:rFonts w:asciiTheme="minorHAnsi" w:hAnsiTheme="minorHAnsi" w:cstheme="minorHAnsi"/>
                <w:sz w:val="20"/>
                <w:szCs w:val="20"/>
              </w:rPr>
              <w:t>2.0</w:t>
            </w:r>
            <w:r w:rsidR="00D12B86" w:rsidRPr="00DA783D">
              <w:rPr>
                <w:rFonts w:asciiTheme="minorHAnsi" w:hAnsiTheme="minorHAnsi" w:cstheme="minorHAnsi"/>
                <w:sz w:val="20"/>
                <w:szCs w:val="20"/>
              </w:rPr>
              <w:t xml:space="preserve"> (1.9</w:t>
            </w:r>
            <w:r w:rsidR="00F45727" w:rsidRPr="00DA783D">
              <w:rPr>
                <w:rFonts w:asciiTheme="minorHAnsi" w:hAnsiTheme="minorHAnsi" w:cstheme="minorHAnsi"/>
                <w:sz w:val="20"/>
                <w:szCs w:val="20"/>
              </w:rPr>
              <w:t>–</w:t>
            </w:r>
            <w:r w:rsidR="00D12B86" w:rsidRPr="00DA783D">
              <w:rPr>
                <w:rFonts w:asciiTheme="minorHAnsi" w:hAnsiTheme="minorHAnsi" w:cstheme="minorHAnsi"/>
                <w:sz w:val="20"/>
                <w:szCs w:val="20"/>
              </w:rPr>
              <w:t>2.0)</w:t>
            </w:r>
          </w:p>
        </w:tc>
        <w:tc>
          <w:tcPr>
            <w:tcW w:w="1710" w:type="dxa"/>
            <w:shd w:val="clear" w:color="auto" w:fill="auto"/>
          </w:tcPr>
          <w:p w14:paraId="29179159" w14:textId="7F1AC395" w:rsidR="00D12B86" w:rsidRPr="00D12B86" w:rsidRDefault="00AB21E4" w:rsidP="00D12B86">
            <w:pPr>
              <w:keepNext/>
              <w:adjustRightInd w:val="0"/>
              <w:jc w:val="center"/>
              <w:rPr>
                <w:rFonts w:asciiTheme="minorHAnsi" w:hAnsiTheme="minorHAnsi" w:cstheme="minorHAnsi"/>
                <w:sz w:val="20"/>
                <w:szCs w:val="20"/>
              </w:rPr>
            </w:pPr>
            <w:r>
              <w:rPr>
                <w:rFonts w:asciiTheme="minorHAnsi" w:hAnsiTheme="minorHAnsi" w:cstheme="minorHAnsi"/>
                <w:sz w:val="20"/>
                <w:szCs w:val="20"/>
              </w:rPr>
              <w:t>&lt;0.001</w:t>
            </w:r>
          </w:p>
        </w:tc>
      </w:tr>
      <w:tr w:rsidR="00D12B86" w:rsidRPr="00D12B86" w14:paraId="3B69936A" w14:textId="77777777" w:rsidTr="00AB21E4">
        <w:trPr>
          <w:cantSplit/>
          <w:trHeight w:val="20"/>
          <w:jc w:val="center"/>
        </w:trPr>
        <w:tc>
          <w:tcPr>
            <w:tcW w:w="3055" w:type="dxa"/>
            <w:shd w:val="clear" w:color="auto" w:fill="auto"/>
            <w:tcMar>
              <w:left w:w="60" w:type="dxa"/>
              <w:right w:w="60" w:type="dxa"/>
            </w:tcMar>
          </w:tcPr>
          <w:p w14:paraId="2ADDE55B" w14:textId="6C606742" w:rsidR="00D12B86" w:rsidRPr="00D12B86" w:rsidRDefault="00AB21E4" w:rsidP="00AB21E4">
            <w:pPr>
              <w:keepNext/>
              <w:adjustRightInd w:val="0"/>
              <w:rPr>
                <w:rFonts w:asciiTheme="minorHAnsi" w:hAnsiTheme="minorHAnsi" w:cstheme="minorHAnsi"/>
                <w:sz w:val="20"/>
                <w:szCs w:val="20"/>
              </w:rPr>
            </w:pPr>
            <w:r>
              <w:rPr>
                <w:rFonts w:asciiTheme="minorHAnsi" w:hAnsiTheme="minorHAnsi" w:cstheme="minorHAnsi"/>
                <w:sz w:val="20"/>
                <w:szCs w:val="20"/>
              </w:rPr>
              <w:t>≥</w:t>
            </w:r>
            <w:r w:rsidR="00D12B86" w:rsidRPr="00D12B86">
              <w:rPr>
                <w:rFonts w:asciiTheme="minorHAnsi" w:hAnsiTheme="minorHAnsi" w:cstheme="minorHAnsi"/>
                <w:sz w:val="20"/>
                <w:szCs w:val="20"/>
              </w:rPr>
              <w:t>85</w:t>
            </w:r>
            <w:r w:rsidR="00D12B86" w:rsidRPr="00D12B86">
              <w:rPr>
                <w:rFonts w:asciiTheme="minorHAnsi" w:hAnsiTheme="minorHAnsi" w:cstheme="minorHAnsi"/>
                <w:sz w:val="20"/>
                <w:szCs w:val="20"/>
                <w:vertAlign w:val="superscript"/>
              </w:rPr>
              <w:t>**</w:t>
            </w:r>
          </w:p>
        </w:tc>
        <w:tc>
          <w:tcPr>
            <w:tcW w:w="2070" w:type="dxa"/>
            <w:shd w:val="clear" w:color="auto" w:fill="auto"/>
            <w:tcMar>
              <w:left w:w="60" w:type="dxa"/>
              <w:right w:w="60" w:type="dxa"/>
            </w:tcMar>
          </w:tcPr>
          <w:p w14:paraId="1DB48B48" w14:textId="70B60980" w:rsidR="00D12B86" w:rsidRPr="00D12B86" w:rsidRDefault="00D12B86" w:rsidP="00D12B86">
            <w:pPr>
              <w:keepNext/>
              <w:adjustRightInd w:val="0"/>
              <w:jc w:val="center"/>
              <w:rPr>
                <w:rFonts w:asciiTheme="minorHAnsi" w:hAnsiTheme="minorHAnsi" w:cstheme="minorHAnsi"/>
                <w:sz w:val="20"/>
                <w:szCs w:val="20"/>
              </w:rPr>
            </w:pPr>
            <w:r w:rsidRPr="00D12B86">
              <w:rPr>
                <w:rFonts w:asciiTheme="minorHAnsi" w:hAnsiTheme="minorHAnsi" w:cstheme="minorHAnsi"/>
                <w:sz w:val="20"/>
                <w:szCs w:val="20"/>
              </w:rPr>
              <w:t>1,175 (0.7)</w:t>
            </w:r>
          </w:p>
        </w:tc>
        <w:tc>
          <w:tcPr>
            <w:tcW w:w="2250" w:type="dxa"/>
            <w:shd w:val="clear" w:color="auto" w:fill="auto"/>
            <w:tcMar>
              <w:left w:w="60" w:type="dxa"/>
              <w:right w:w="60" w:type="dxa"/>
            </w:tcMar>
          </w:tcPr>
          <w:p w14:paraId="32501DFA" w14:textId="34E4352A" w:rsidR="00D12B86" w:rsidRPr="00D12B86" w:rsidRDefault="00D12B86" w:rsidP="00D12B86">
            <w:pPr>
              <w:keepNext/>
              <w:adjustRightInd w:val="0"/>
              <w:jc w:val="center"/>
              <w:rPr>
                <w:rFonts w:asciiTheme="minorHAnsi" w:hAnsiTheme="minorHAnsi" w:cstheme="minorHAnsi"/>
                <w:sz w:val="20"/>
                <w:szCs w:val="20"/>
              </w:rPr>
            </w:pPr>
            <w:r w:rsidRPr="00D12B86">
              <w:rPr>
                <w:rFonts w:asciiTheme="minorHAnsi" w:hAnsiTheme="minorHAnsi" w:cstheme="minorHAnsi"/>
                <w:sz w:val="20"/>
                <w:szCs w:val="20"/>
              </w:rPr>
              <w:t>2.0 (1.9</w:t>
            </w:r>
            <w:r w:rsidR="00F45727">
              <w:rPr>
                <w:rFonts w:asciiTheme="minorHAnsi" w:hAnsiTheme="minorHAnsi" w:cstheme="minorHAnsi"/>
                <w:sz w:val="20"/>
                <w:szCs w:val="20"/>
              </w:rPr>
              <w:t>–</w:t>
            </w:r>
            <w:r w:rsidRPr="00D12B86">
              <w:rPr>
                <w:rFonts w:asciiTheme="minorHAnsi" w:hAnsiTheme="minorHAnsi" w:cstheme="minorHAnsi"/>
                <w:sz w:val="20"/>
                <w:szCs w:val="20"/>
              </w:rPr>
              <w:t>2.1)</w:t>
            </w:r>
          </w:p>
        </w:tc>
        <w:tc>
          <w:tcPr>
            <w:tcW w:w="1710" w:type="dxa"/>
            <w:shd w:val="clear" w:color="auto" w:fill="auto"/>
          </w:tcPr>
          <w:p w14:paraId="469ACAF9" w14:textId="3D870E7A" w:rsidR="00D12B86" w:rsidRPr="00D12B86" w:rsidRDefault="00AB21E4" w:rsidP="00D12B86">
            <w:pPr>
              <w:keepNext/>
              <w:adjustRightInd w:val="0"/>
              <w:jc w:val="center"/>
              <w:rPr>
                <w:rFonts w:asciiTheme="minorHAnsi" w:hAnsiTheme="minorHAnsi" w:cstheme="minorHAnsi"/>
                <w:sz w:val="20"/>
                <w:szCs w:val="20"/>
              </w:rPr>
            </w:pPr>
            <w:r>
              <w:rPr>
                <w:rFonts w:asciiTheme="minorHAnsi" w:hAnsiTheme="minorHAnsi" w:cstheme="minorHAnsi"/>
                <w:sz w:val="20"/>
                <w:szCs w:val="20"/>
              </w:rPr>
              <w:t>&lt;0.001</w:t>
            </w:r>
          </w:p>
        </w:tc>
      </w:tr>
    </w:tbl>
    <w:p w14:paraId="5C4924FE" w14:textId="07AC52A7" w:rsidR="002D575C" w:rsidRPr="00D12B86" w:rsidRDefault="002D575C" w:rsidP="00FF052C">
      <w:pPr>
        <w:ind w:left="180" w:right="90"/>
        <w:rPr>
          <w:rFonts w:asciiTheme="minorHAnsi" w:hAnsiTheme="minorHAnsi" w:cstheme="minorHAnsi"/>
          <w:sz w:val="20"/>
          <w:szCs w:val="20"/>
        </w:rPr>
      </w:pPr>
      <w:r w:rsidRPr="00D12B86">
        <w:rPr>
          <w:rFonts w:asciiTheme="minorHAnsi" w:hAnsiTheme="minorHAnsi" w:cstheme="minorHAnsi"/>
          <w:b/>
          <w:sz w:val="20"/>
          <w:szCs w:val="20"/>
        </w:rPr>
        <w:t>Abbreviations:</w:t>
      </w:r>
      <w:r w:rsidRPr="00D12B86">
        <w:rPr>
          <w:rFonts w:asciiTheme="minorHAnsi" w:hAnsiTheme="minorHAnsi" w:cstheme="minorHAnsi"/>
          <w:sz w:val="20"/>
          <w:szCs w:val="20"/>
        </w:rPr>
        <w:t xml:space="preserve"> CI</w:t>
      </w:r>
      <w:r w:rsidR="00FF052C" w:rsidRPr="00D12B86">
        <w:rPr>
          <w:rFonts w:asciiTheme="minorHAnsi" w:hAnsiTheme="minorHAnsi" w:cstheme="minorHAnsi"/>
          <w:sz w:val="20"/>
          <w:szCs w:val="20"/>
        </w:rPr>
        <w:t xml:space="preserve"> </w:t>
      </w:r>
      <w:r w:rsidRPr="00D12B86">
        <w:rPr>
          <w:rFonts w:asciiTheme="minorHAnsi" w:hAnsiTheme="minorHAnsi" w:cstheme="minorHAnsi"/>
          <w:sz w:val="20"/>
          <w:szCs w:val="20"/>
        </w:rPr>
        <w:t>=</w:t>
      </w:r>
      <w:r w:rsidR="00FF052C" w:rsidRPr="00D12B86">
        <w:rPr>
          <w:rFonts w:asciiTheme="minorHAnsi" w:hAnsiTheme="minorHAnsi" w:cstheme="minorHAnsi"/>
          <w:sz w:val="20"/>
          <w:szCs w:val="20"/>
        </w:rPr>
        <w:t xml:space="preserve"> </w:t>
      </w:r>
      <w:r w:rsidR="00AB21E4">
        <w:rPr>
          <w:rFonts w:asciiTheme="minorHAnsi" w:hAnsiTheme="minorHAnsi" w:cstheme="minorHAnsi"/>
          <w:sz w:val="20"/>
          <w:szCs w:val="20"/>
        </w:rPr>
        <w:t>confidence i</w:t>
      </w:r>
      <w:r w:rsidRPr="00D12B86">
        <w:rPr>
          <w:rFonts w:asciiTheme="minorHAnsi" w:hAnsiTheme="minorHAnsi" w:cstheme="minorHAnsi"/>
          <w:sz w:val="20"/>
          <w:szCs w:val="20"/>
        </w:rPr>
        <w:t>nterval; NS</w:t>
      </w:r>
      <w:r w:rsidR="00FF052C" w:rsidRPr="00D12B86">
        <w:rPr>
          <w:rFonts w:asciiTheme="minorHAnsi" w:hAnsiTheme="minorHAnsi" w:cstheme="minorHAnsi"/>
          <w:sz w:val="20"/>
          <w:szCs w:val="20"/>
        </w:rPr>
        <w:t xml:space="preserve"> </w:t>
      </w:r>
      <w:r w:rsidRPr="00D12B86">
        <w:rPr>
          <w:rFonts w:asciiTheme="minorHAnsi" w:hAnsiTheme="minorHAnsi" w:cstheme="minorHAnsi"/>
          <w:sz w:val="20"/>
          <w:szCs w:val="20"/>
        </w:rPr>
        <w:t>=</w:t>
      </w:r>
      <w:r w:rsidR="00FF052C" w:rsidRPr="00D12B86">
        <w:rPr>
          <w:rFonts w:asciiTheme="minorHAnsi" w:hAnsiTheme="minorHAnsi" w:cstheme="minorHAnsi"/>
          <w:sz w:val="20"/>
          <w:szCs w:val="20"/>
        </w:rPr>
        <w:t xml:space="preserve"> </w:t>
      </w:r>
      <w:r w:rsidRPr="00D12B86">
        <w:rPr>
          <w:rFonts w:asciiTheme="minorHAnsi" w:hAnsiTheme="minorHAnsi" w:cstheme="minorHAnsi"/>
          <w:sz w:val="20"/>
          <w:szCs w:val="20"/>
        </w:rPr>
        <w:t>not significant</w:t>
      </w:r>
      <w:r w:rsidR="00AB21E4">
        <w:rPr>
          <w:rFonts w:asciiTheme="minorHAnsi" w:hAnsiTheme="minorHAnsi" w:cstheme="minorHAnsi"/>
          <w:sz w:val="20"/>
          <w:szCs w:val="20"/>
        </w:rPr>
        <w:t>.</w:t>
      </w:r>
    </w:p>
    <w:p w14:paraId="51CD4A4B" w14:textId="7F240462" w:rsidR="003D2DD3" w:rsidRPr="00D12B86" w:rsidRDefault="002D575C" w:rsidP="00FF052C">
      <w:pPr>
        <w:ind w:left="180" w:right="90"/>
        <w:rPr>
          <w:rFonts w:asciiTheme="minorHAnsi" w:hAnsiTheme="minorHAnsi" w:cstheme="minorHAnsi"/>
          <w:sz w:val="20"/>
          <w:szCs w:val="20"/>
        </w:rPr>
      </w:pPr>
      <w:r w:rsidRPr="00D12B86">
        <w:rPr>
          <w:rFonts w:asciiTheme="minorHAnsi" w:hAnsiTheme="minorHAnsi" w:cstheme="minorHAnsi"/>
          <w:sz w:val="20"/>
          <w:szCs w:val="20"/>
        </w:rPr>
        <w:t>*</w:t>
      </w:r>
      <w:r w:rsidRPr="00D12B86">
        <w:rPr>
          <w:rFonts w:asciiTheme="minorHAnsi" w:hAnsiTheme="minorHAnsi" w:cstheme="minorHAnsi"/>
          <w:sz w:val="20"/>
          <w:szCs w:val="20"/>
          <w:vertAlign w:val="superscript"/>
        </w:rPr>
        <w:t xml:space="preserve"> </w:t>
      </w:r>
      <w:r w:rsidR="003D2DD3" w:rsidRPr="00D12B86">
        <w:rPr>
          <w:rFonts w:asciiTheme="minorHAnsi" w:hAnsiTheme="minorHAnsi" w:cstheme="minorHAnsi"/>
          <w:sz w:val="20"/>
          <w:szCs w:val="20"/>
        </w:rPr>
        <w:t xml:space="preserve">Percentages might not sum to 100% because of rounding. </w:t>
      </w:r>
    </w:p>
    <w:p w14:paraId="6C8E4DE5" w14:textId="0E17B668" w:rsidR="00BF4551" w:rsidRPr="00D12B86" w:rsidRDefault="002D575C" w:rsidP="00FF052C">
      <w:pPr>
        <w:ind w:left="180" w:right="90"/>
        <w:rPr>
          <w:rFonts w:asciiTheme="minorHAnsi" w:hAnsiTheme="minorHAnsi" w:cstheme="minorHAnsi"/>
          <w:sz w:val="20"/>
          <w:szCs w:val="20"/>
        </w:rPr>
      </w:pPr>
      <w:r w:rsidRPr="00D12B86">
        <w:rPr>
          <w:rFonts w:asciiTheme="minorHAnsi" w:hAnsiTheme="minorHAnsi" w:cstheme="minorHAnsi"/>
          <w:sz w:val="20"/>
          <w:szCs w:val="20"/>
          <w:vertAlign w:val="superscript"/>
        </w:rPr>
        <w:t>†</w:t>
      </w:r>
      <w:r w:rsidRPr="00D12B86">
        <w:rPr>
          <w:rFonts w:asciiTheme="minorHAnsi" w:hAnsiTheme="minorHAnsi" w:cstheme="minorHAnsi"/>
          <w:sz w:val="20"/>
          <w:szCs w:val="20"/>
        </w:rPr>
        <w:t xml:space="preserve"> </w:t>
      </w:r>
      <w:r w:rsidR="00BF4551" w:rsidRPr="00D12B86">
        <w:rPr>
          <w:rFonts w:asciiTheme="minorHAnsi" w:hAnsiTheme="minorHAnsi" w:cstheme="minorHAnsi"/>
          <w:sz w:val="20"/>
          <w:szCs w:val="20"/>
          <w:lang w:val="en"/>
        </w:rPr>
        <w:t>Homicide</w:t>
      </w:r>
      <w:r w:rsidR="00BF4551" w:rsidRPr="00D12B86">
        <w:rPr>
          <w:rFonts w:asciiTheme="minorHAnsi" w:hAnsiTheme="minorHAnsi" w:cstheme="minorHAnsi"/>
          <w:sz w:val="20"/>
          <w:szCs w:val="20"/>
        </w:rPr>
        <w:t xml:space="preserve"> rates for infants (i.e., children </w:t>
      </w:r>
      <w:r w:rsidR="00F579F2">
        <w:rPr>
          <w:rFonts w:asciiTheme="minorHAnsi" w:hAnsiTheme="minorHAnsi" w:cstheme="minorHAnsi"/>
          <w:sz w:val="20"/>
          <w:szCs w:val="20"/>
        </w:rPr>
        <w:t xml:space="preserve">aged </w:t>
      </w:r>
      <w:r w:rsidR="00BF4551" w:rsidRPr="00D12B86">
        <w:rPr>
          <w:rFonts w:asciiTheme="minorHAnsi" w:hAnsiTheme="minorHAnsi" w:cstheme="minorHAnsi"/>
          <w:sz w:val="20"/>
          <w:szCs w:val="20"/>
        </w:rPr>
        <w:t>&lt;1</w:t>
      </w:r>
      <w:r w:rsidR="00F579F2">
        <w:rPr>
          <w:rFonts w:asciiTheme="minorHAnsi" w:hAnsiTheme="minorHAnsi" w:cstheme="minorHAnsi"/>
          <w:sz w:val="20"/>
          <w:szCs w:val="20"/>
        </w:rPr>
        <w:t xml:space="preserve"> </w:t>
      </w:r>
      <w:r w:rsidR="00BF4551" w:rsidRPr="00D12B86">
        <w:rPr>
          <w:rFonts w:asciiTheme="minorHAnsi" w:hAnsiTheme="minorHAnsi" w:cstheme="minorHAnsi"/>
          <w:sz w:val="20"/>
          <w:szCs w:val="20"/>
        </w:rPr>
        <w:t xml:space="preserve">year) and any other time in life (i.e., </w:t>
      </w:r>
      <w:r w:rsidR="00BF4551" w:rsidRPr="00D12B86">
        <w:rPr>
          <w:rFonts w:asciiTheme="minorHAnsi" w:hAnsiTheme="minorHAnsi" w:cstheme="minorHAnsi"/>
          <w:sz w:val="20"/>
          <w:szCs w:val="20"/>
          <w:lang w:val="en"/>
        </w:rPr>
        <w:t xml:space="preserve">persons </w:t>
      </w:r>
      <w:r w:rsidR="00F579F2">
        <w:rPr>
          <w:rFonts w:asciiTheme="minorHAnsi" w:hAnsiTheme="minorHAnsi" w:cstheme="minorHAnsi"/>
          <w:sz w:val="20"/>
          <w:szCs w:val="20"/>
          <w:lang w:val="en"/>
        </w:rPr>
        <w:t xml:space="preserve">aged </w:t>
      </w:r>
      <w:r w:rsidR="00BF4551" w:rsidRPr="00D12B86">
        <w:rPr>
          <w:rFonts w:asciiTheme="minorHAnsi" w:hAnsiTheme="minorHAnsi" w:cstheme="minorHAnsi"/>
          <w:sz w:val="20"/>
          <w:szCs w:val="20"/>
          <w:lang w:val="en"/>
        </w:rPr>
        <w:t>≥1</w:t>
      </w:r>
      <w:r w:rsidR="00F579F2">
        <w:rPr>
          <w:rFonts w:asciiTheme="minorHAnsi" w:hAnsiTheme="minorHAnsi" w:cstheme="minorHAnsi"/>
          <w:sz w:val="20"/>
          <w:szCs w:val="20"/>
          <w:lang w:val="en"/>
        </w:rPr>
        <w:t xml:space="preserve"> </w:t>
      </w:r>
      <w:r w:rsidR="00BF4551" w:rsidRPr="00D12B86">
        <w:rPr>
          <w:rFonts w:asciiTheme="minorHAnsi" w:hAnsiTheme="minorHAnsi" w:cstheme="minorHAnsi"/>
          <w:sz w:val="20"/>
          <w:szCs w:val="20"/>
          <w:lang w:val="en"/>
        </w:rPr>
        <w:t xml:space="preserve">year) </w:t>
      </w:r>
      <w:r w:rsidR="00F579F2">
        <w:rPr>
          <w:rFonts w:asciiTheme="minorHAnsi" w:hAnsiTheme="minorHAnsi" w:cstheme="minorHAnsi"/>
          <w:sz w:val="20"/>
          <w:szCs w:val="20"/>
        </w:rPr>
        <w:t>are</w:t>
      </w:r>
      <w:r w:rsidR="00BF4551" w:rsidRPr="00D12B86">
        <w:rPr>
          <w:rFonts w:asciiTheme="minorHAnsi" w:hAnsiTheme="minorHAnsi" w:cstheme="minorHAnsi"/>
          <w:sz w:val="20"/>
          <w:szCs w:val="20"/>
        </w:rPr>
        <w:t xml:space="preserve"> presented as </w:t>
      </w:r>
      <w:r w:rsidR="00F579F2">
        <w:rPr>
          <w:rFonts w:asciiTheme="minorHAnsi" w:hAnsiTheme="minorHAnsi" w:cstheme="minorHAnsi"/>
          <w:sz w:val="20"/>
          <w:szCs w:val="20"/>
        </w:rPr>
        <w:t>deaths</w:t>
      </w:r>
      <w:r w:rsidR="00BF4551" w:rsidRPr="00D12B86">
        <w:rPr>
          <w:rFonts w:asciiTheme="minorHAnsi" w:hAnsiTheme="minorHAnsi" w:cstheme="minorHAnsi"/>
          <w:sz w:val="20"/>
          <w:szCs w:val="20"/>
        </w:rPr>
        <w:t xml:space="preserve"> per person-years</w:t>
      </w:r>
      <w:r w:rsidR="00BF4551" w:rsidRPr="00D12B86">
        <w:rPr>
          <w:rFonts w:asciiTheme="minorHAnsi" w:hAnsiTheme="minorHAnsi" w:cstheme="minorHAnsi"/>
          <w:sz w:val="20"/>
          <w:szCs w:val="20"/>
          <w:lang w:val="en"/>
        </w:rPr>
        <w:t>. Homicide</w:t>
      </w:r>
      <w:r w:rsidR="00BF4551" w:rsidRPr="00D12B86">
        <w:rPr>
          <w:rFonts w:asciiTheme="minorHAnsi" w:hAnsiTheme="minorHAnsi" w:cstheme="minorHAnsi"/>
          <w:sz w:val="20"/>
          <w:szCs w:val="20"/>
        </w:rPr>
        <w:t xml:space="preserve"> rates for infants (i.e., children</w:t>
      </w:r>
      <w:r w:rsidR="00F579F2">
        <w:rPr>
          <w:rFonts w:asciiTheme="minorHAnsi" w:hAnsiTheme="minorHAnsi" w:cstheme="minorHAnsi"/>
          <w:sz w:val="20"/>
          <w:szCs w:val="20"/>
        </w:rPr>
        <w:t xml:space="preserve"> aged</w:t>
      </w:r>
      <w:r w:rsidR="00BF4551" w:rsidRPr="00D12B86">
        <w:rPr>
          <w:rFonts w:asciiTheme="minorHAnsi" w:hAnsiTheme="minorHAnsi" w:cstheme="minorHAnsi"/>
          <w:sz w:val="20"/>
          <w:szCs w:val="20"/>
        </w:rPr>
        <w:t xml:space="preserve"> &lt;1</w:t>
      </w:r>
      <w:r w:rsidR="00F579F2">
        <w:rPr>
          <w:rFonts w:asciiTheme="minorHAnsi" w:hAnsiTheme="minorHAnsi" w:cstheme="minorHAnsi"/>
          <w:sz w:val="20"/>
          <w:szCs w:val="20"/>
        </w:rPr>
        <w:t xml:space="preserve"> </w:t>
      </w:r>
      <w:r w:rsidR="00BF4551" w:rsidRPr="00D12B86">
        <w:rPr>
          <w:rFonts w:asciiTheme="minorHAnsi" w:hAnsiTheme="minorHAnsi" w:cstheme="minorHAnsi"/>
          <w:sz w:val="20"/>
          <w:szCs w:val="20"/>
        </w:rPr>
        <w:t>year)</w:t>
      </w:r>
      <w:r w:rsidR="00BF4551" w:rsidRPr="00D12B86">
        <w:rPr>
          <w:rFonts w:asciiTheme="minorHAnsi" w:hAnsiTheme="minorHAnsi" w:cstheme="minorHAnsi"/>
          <w:sz w:val="20"/>
          <w:szCs w:val="20"/>
          <w:lang w:val="en"/>
        </w:rPr>
        <w:t xml:space="preserve"> are commonly reported as </w:t>
      </w:r>
      <w:r w:rsidR="00F579F2">
        <w:rPr>
          <w:rFonts w:asciiTheme="minorHAnsi" w:hAnsiTheme="minorHAnsi" w:cstheme="minorHAnsi"/>
          <w:sz w:val="20"/>
          <w:szCs w:val="20"/>
          <w:lang w:val="en"/>
        </w:rPr>
        <w:t xml:space="preserve">deaths </w:t>
      </w:r>
      <w:r w:rsidR="00BF4551" w:rsidRPr="00D12B86">
        <w:rPr>
          <w:rFonts w:asciiTheme="minorHAnsi" w:hAnsiTheme="minorHAnsi" w:cstheme="minorHAnsi"/>
          <w:sz w:val="20"/>
          <w:szCs w:val="20"/>
          <w:lang w:val="en"/>
        </w:rPr>
        <w:t>per 1,000 live births over a specified period of time, but alternatively, they can be reported per person-years. Either measure is acceptable. In this study, because actual time at risk of homicide is the outcome of interest, and infant homicides occurred during different times of infancy (e.g., day of birth, week one, week two, etc</w:t>
      </w:r>
      <w:r w:rsidR="00F579F2">
        <w:rPr>
          <w:rFonts w:asciiTheme="minorHAnsi" w:hAnsiTheme="minorHAnsi" w:cstheme="minorHAnsi"/>
          <w:sz w:val="20"/>
          <w:szCs w:val="20"/>
          <w:lang w:val="en"/>
        </w:rPr>
        <w:t>.</w:t>
      </w:r>
      <w:r w:rsidR="00BF4551" w:rsidRPr="00D12B86">
        <w:rPr>
          <w:rFonts w:asciiTheme="minorHAnsi" w:hAnsiTheme="minorHAnsi" w:cstheme="minorHAnsi"/>
          <w:sz w:val="20"/>
          <w:szCs w:val="20"/>
          <w:lang w:val="en"/>
        </w:rPr>
        <w:t xml:space="preserve">), presenting rates in person-years allows for the calculation of homicide risk by week during infancy and by day during the first week of life. Homicide rates for persons </w:t>
      </w:r>
      <w:r w:rsidR="00F579F2">
        <w:rPr>
          <w:rFonts w:asciiTheme="minorHAnsi" w:hAnsiTheme="minorHAnsi" w:cstheme="minorHAnsi"/>
          <w:sz w:val="20"/>
          <w:szCs w:val="20"/>
          <w:lang w:val="en"/>
        </w:rPr>
        <w:t xml:space="preserve">aged </w:t>
      </w:r>
      <w:r w:rsidR="00BF4551" w:rsidRPr="00D12B86">
        <w:rPr>
          <w:rFonts w:asciiTheme="minorHAnsi" w:hAnsiTheme="minorHAnsi" w:cstheme="minorHAnsi"/>
          <w:sz w:val="20"/>
          <w:szCs w:val="20"/>
          <w:lang w:val="en"/>
        </w:rPr>
        <w:t>≥1</w:t>
      </w:r>
      <w:r w:rsidR="00F579F2">
        <w:rPr>
          <w:rFonts w:asciiTheme="minorHAnsi" w:hAnsiTheme="minorHAnsi" w:cstheme="minorHAnsi"/>
          <w:sz w:val="20"/>
          <w:szCs w:val="20"/>
          <w:lang w:val="en"/>
        </w:rPr>
        <w:t xml:space="preserve"> </w:t>
      </w:r>
      <w:r w:rsidR="00BF4551" w:rsidRPr="00D12B86">
        <w:rPr>
          <w:rFonts w:asciiTheme="minorHAnsi" w:hAnsiTheme="minorHAnsi" w:cstheme="minorHAnsi"/>
          <w:sz w:val="20"/>
          <w:szCs w:val="20"/>
          <w:lang w:val="en"/>
        </w:rPr>
        <w:t xml:space="preserve">year are commonly reported as per 100,000 population over a specified period of time, but alternatively, they can be reported per person-years. Either measure is acceptable. In this study, for persons </w:t>
      </w:r>
      <w:r w:rsidR="00F579F2">
        <w:rPr>
          <w:rFonts w:asciiTheme="minorHAnsi" w:hAnsiTheme="minorHAnsi" w:cstheme="minorHAnsi"/>
          <w:sz w:val="20"/>
          <w:szCs w:val="20"/>
          <w:lang w:val="en"/>
        </w:rPr>
        <w:t xml:space="preserve">aged </w:t>
      </w:r>
      <w:r w:rsidR="00BF4551" w:rsidRPr="00D12B86">
        <w:rPr>
          <w:rFonts w:asciiTheme="minorHAnsi" w:hAnsiTheme="minorHAnsi" w:cstheme="minorHAnsi"/>
          <w:sz w:val="20"/>
          <w:szCs w:val="20"/>
          <w:lang w:val="en"/>
        </w:rPr>
        <w:t>≥1</w:t>
      </w:r>
      <w:r w:rsidR="00F579F2">
        <w:rPr>
          <w:rFonts w:asciiTheme="minorHAnsi" w:hAnsiTheme="minorHAnsi" w:cstheme="minorHAnsi"/>
          <w:sz w:val="20"/>
          <w:szCs w:val="20"/>
          <w:lang w:val="en"/>
        </w:rPr>
        <w:t xml:space="preserve"> </w:t>
      </w:r>
      <w:r w:rsidR="00BF4551" w:rsidRPr="00D12B86">
        <w:rPr>
          <w:rFonts w:asciiTheme="minorHAnsi" w:hAnsiTheme="minorHAnsi" w:cstheme="minorHAnsi"/>
          <w:sz w:val="20"/>
          <w:szCs w:val="20"/>
          <w:lang w:val="en"/>
        </w:rPr>
        <w:t>year</w:t>
      </w:r>
      <w:r w:rsidR="00BF4551" w:rsidRPr="00D12B86">
        <w:rPr>
          <w:rFonts w:asciiTheme="minorHAnsi" w:hAnsiTheme="minorHAnsi" w:cstheme="minorHAnsi"/>
          <w:sz w:val="20"/>
          <w:szCs w:val="20"/>
        </w:rPr>
        <w:t>, because so few pe</w:t>
      </w:r>
      <w:r w:rsidR="00F579F2">
        <w:rPr>
          <w:rFonts w:asciiTheme="minorHAnsi" w:hAnsiTheme="minorHAnsi" w:cstheme="minorHAnsi"/>
          <w:sz w:val="20"/>
          <w:szCs w:val="20"/>
        </w:rPr>
        <w:t>rsons</w:t>
      </w:r>
      <w:r w:rsidR="00BF4551" w:rsidRPr="00D12B86">
        <w:rPr>
          <w:rFonts w:asciiTheme="minorHAnsi" w:hAnsiTheme="minorHAnsi" w:cstheme="minorHAnsi"/>
          <w:sz w:val="20"/>
          <w:szCs w:val="20"/>
        </w:rPr>
        <w:t xml:space="preserve"> die relative to those that survive, the difference between rates per 100,000 person-years and per 100,000 population is negligible and would affect the </w:t>
      </w:r>
      <w:r w:rsidR="00AB21E4">
        <w:rPr>
          <w:rFonts w:asciiTheme="minorHAnsi" w:hAnsiTheme="minorHAnsi" w:cstheme="minorHAnsi"/>
          <w:sz w:val="20"/>
          <w:szCs w:val="20"/>
        </w:rPr>
        <w:t>fifth</w:t>
      </w:r>
      <w:r w:rsidR="00BF4551" w:rsidRPr="00D12B86">
        <w:rPr>
          <w:rFonts w:asciiTheme="minorHAnsi" w:hAnsiTheme="minorHAnsi" w:cstheme="minorHAnsi"/>
          <w:sz w:val="20"/>
          <w:szCs w:val="20"/>
        </w:rPr>
        <w:t xml:space="preserve"> decimal place of the homicide rates. Therefore, for purposes of this report, rates per person-years for persons </w:t>
      </w:r>
      <w:r w:rsidR="00F579F2">
        <w:rPr>
          <w:rFonts w:asciiTheme="minorHAnsi" w:hAnsiTheme="minorHAnsi" w:cstheme="minorHAnsi"/>
          <w:sz w:val="20"/>
          <w:szCs w:val="20"/>
        </w:rPr>
        <w:t xml:space="preserve">aged </w:t>
      </w:r>
      <w:r w:rsidR="00BF4551" w:rsidRPr="00D12B86">
        <w:rPr>
          <w:rFonts w:asciiTheme="minorHAnsi" w:hAnsiTheme="minorHAnsi" w:cstheme="minorHAnsi"/>
          <w:sz w:val="20"/>
          <w:szCs w:val="20"/>
          <w:lang w:val="en"/>
        </w:rPr>
        <w:t>≥1</w:t>
      </w:r>
      <w:r w:rsidR="00F579F2">
        <w:rPr>
          <w:rFonts w:asciiTheme="minorHAnsi" w:hAnsiTheme="minorHAnsi" w:cstheme="minorHAnsi"/>
          <w:sz w:val="20"/>
          <w:szCs w:val="20"/>
          <w:lang w:val="en"/>
        </w:rPr>
        <w:t xml:space="preserve"> </w:t>
      </w:r>
      <w:r w:rsidR="00BF4551" w:rsidRPr="00D12B86">
        <w:rPr>
          <w:rFonts w:asciiTheme="minorHAnsi" w:hAnsiTheme="minorHAnsi" w:cstheme="minorHAnsi"/>
          <w:sz w:val="20"/>
          <w:szCs w:val="20"/>
          <w:lang w:val="en"/>
        </w:rPr>
        <w:t>year are comparable to those per 100,000 population. I</w:t>
      </w:r>
      <w:r w:rsidR="00BF4551" w:rsidRPr="00D12B86">
        <w:rPr>
          <w:rFonts w:asciiTheme="minorHAnsi" w:hAnsiTheme="minorHAnsi" w:cstheme="minorHAnsi"/>
          <w:sz w:val="20"/>
          <w:szCs w:val="20"/>
        </w:rPr>
        <w:t>nfant homicide rates are based on state of occurrence.</w:t>
      </w:r>
    </w:p>
    <w:p w14:paraId="66B85B58" w14:textId="357B9A6B" w:rsidR="002D575C" w:rsidRPr="00D12B86" w:rsidRDefault="002D575C" w:rsidP="00FF052C">
      <w:pPr>
        <w:ind w:left="180" w:right="90"/>
        <w:rPr>
          <w:rFonts w:asciiTheme="minorHAnsi" w:hAnsiTheme="minorHAnsi" w:cstheme="minorHAnsi"/>
          <w:sz w:val="20"/>
          <w:szCs w:val="20"/>
        </w:rPr>
      </w:pPr>
      <w:r w:rsidRPr="00D12B86">
        <w:rPr>
          <w:rFonts w:asciiTheme="minorHAnsi" w:hAnsiTheme="minorHAnsi" w:cstheme="minorHAnsi"/>
          <w:sz w:val="20"/>
          <w:szCs w:val="20"/>
          <w:vertAlign w:val="superscript"/>
        </w:rPr>
        <w:t>§</w:t>
      </w:r>
      <w:r w:rsidRPr="00D12B86">
        <w:rPr>
          <w:rFonts w:asciiTheme="minorHAnsi" w:hAnsiTheme="minorHAnsi" w:cstheme="minorHAnsi"/>
          <w:sz w:val="20"/>
          <w:szCs w:val="20"/>
        </w:rPr>
        <w:t xml:space="preserve"> </w:t>
      </w:r>
      <w:r w:rsidR="00ED773D" w:rsidRPr="00D12B86">
        <w:rPr>
          <w:rFonts w:asciiTheme="minorHAnsi" w:hAnsiTheme="minorHAnsi" w:cstheme="minorHAnsi"/>
          <w:sz w:val="20"/>
          <w:szCs w:val="20"/>
        </w:rPr>
        <w:t>Homicides</w:t>
      </w:r>
      <w:r w:rsidR="00910F98" w:rsidRPr="00D12B86">
        <w:rPr>
          <w:rFonts w:asciiTheme="minorHAnsi" w:hAnsiTheme="minorHAnsi" w:cstheme="minorHAnsi"/>
          <w:sz w:val="20"/>
          <w:szCs w:val="20"/>
        </w:rPr>
        <w:t xml:space="preserve"> rates</w:t>
      </w:r>
      <w:r w:rsidRPr="00D12B86">
        <w:rPr>
          <w:rFonts w:asciiTheme="minorHAnsi" w:hAnsiTheme="minorHAnsi" w:cstheme="minorHAnsi"/>
          <w:sz w:val="20"/>
          <w:szCs w:val="20"/>
        </w:rPr>
        <w:t xml:space="preserve"> for Puerto Rico were not available for this analysis.</w:t>
      </w:r>
    </w:p>
    <w:p w14:paraId="628171DA" w14:textId="318921B7" w:rsidR="00A20E4D" w:rsidRDefault="002D575C" w:rsidP="00F579F2">
      <w:pPr>
        <w:ind w:left="180" w:right="90"/>
        <w:rPr>
          <w:rFonts w:asciiTheme="minorHAnsi" w:hAnsiTheme="minorHAnsi" w:cstheme="minorHAnsi"/>
          <w:sz w:val="20"/>
          <w:szCs w:val="20"/>
        </w:rPr>
      </w:pPr>
      <w:r w:rsidRPr="00D12B86">
        <w:rPr>
          <w:rFonts w:asciiTheme="minorHAnsi" w:hAnsiTheme="minorHAnsi" w:cstheme="minorHAnsi"/>
          <w:sz w:val="20"/>
          <w:szCs w:val="20"/>
          <w:vertAlign w:val="superscript"/>
        </w:rPr>
        <w:t>¶</w:t>
      </w:r>
      <w:r w:rsidRPr="00D12B86">
        <w:rPr>
          <w:rFonts w:asciiTheme="minorHAnsi" w:hAnsiTheme="minorHAnsi" w:cstheme="minorHAnsi"/>
          <w:sz w:val="20"/>
          <w:szCs w:val="20"/>
        </w:rPr>
        <w:t xml:space="preserve"> </w:t>
      </w:r>
      <w:r w:rsidR="00FF052C" w:rsidRPr="00D12B86">
        <w:rPr>
          <w:rFonts w:asciiTheme="minorHAnsi" w:hAnsiTheme="minorHAnsi" w:cstheme="minorHAnsi"/>
          <w:sz w:val="20"/>
          <w:szCs w:val="20"/>
        </w:rPr>
        <w:t>Includes i</w:t>
      </w:r>
      <w:r w:rsidRPr="00D12B86">
        <w:rPr>
          <w:rFonts w:asciiTheme="minorHAnsi" w:hAnsiTheme="minorHAnsi" w:cstheme="minorHAnsi"/>
          <w:sz w:val="20"/>
          <w:szCs w:val="20"/>
        </w:rPr>
        <w:t xml:space="preserve">nfants who died on </w:t>
      </w:r>
      <w:r w:rsidR="0065562D">
        <w:rPr>
          <w:rFonts w:asciiTheme="minorHAnsi" w:hAnsiTheme="minorHAnsi" w:cstheme="minorHAnsi"/>
          <w:sz w:val="20"/>
          <w:szCs w:val="20"/>
        </w:rPr>
        <w:t xml:space="preserve">the </w:t>
      </w:r>
      <w:r w:rsidRPr="00D12B86">
        <w:rPr>
          <w:rFonts w:asciiTheme="minorHAnsi" w:hAnsiTheme="minorHAnsi" w:cstheme="minorHAnsi"/>
          <w:sz w:val="20"/>
          <w:szCs w:val="20"/>
        </w:rPr>
        <w:t xml:space="preserve">first day of life. </w:t>
      </w:r>
      <w:bookmarkStart w:id="1" w:name="_Hlk31104181"/>
      <w:r w:rsidR="00ED773D" w:rsidRPr="00D12B86">
        <w:rPr>
          <w:rFonts w:asciiTheme="minorHAnsi" w:hAnsiTheme="minorHAnsi" w:cstheme="minorHAnsi"/>
          <w:sz w:val="20"/>
          <w:szCs w:val="20"/>
        </w:rPr>
        <w:t>Restricted</w:t>
      </w:r>
      <w:r w:rsidR="0065562D">
        <w:rPr>
          <w:rFonts w:asciiTheme="minorHAnsi" w:hAnsiTheme="minorHAnsi" w:cstheme="minorHAnsi"/>
          <w:sz w:val="20"/>
          <w:szCs w:val="20"/>
        </w:rPr>
        <w:t>-u</w:t>
      </w:r>
      <w:r w:rsidR="00ED773D" w:rsidRPr="00D12B86">
        <w:rPr>
          <w:rFonts w:asciiTheme="minorHAnsi" w:hAnsiTheme="minorHAnsi" w:cstheme="minorHAnsi"/>
          <w:sz w:val="20"/>
          <w:szCs w:val="20"/>
        </w:rPr>
        <w:t>se Nat</w:t>
      </w:r>
      <w:r w:rsidR="0065562D">
        <w:rPr>
          <w:rFonts w:asciiTheme="minorHAnsi" w:hAnsiTheme="minorHAnsi" w:cstheme="minorHAnsi"/>
          <w:sz w:val="20"/>
          <w:szCs w:val="20"/>
        </w:rPr>
        <w:t>ional Vital Statistics System, l</w:t>
      </w:r>
      <w:r w:rsidR="00ED773D" w:rsidRPr="00D12B86">
        <w:rPr>
          <w:rFonts w:asciiTheme="minorHAnsi" w:hAnsiTheme="minorHAnsi" w:cstheme="minorHAnsi"/>
          <w:sz w:val="20"/>
          <w:szCs w:val="20"/>
        </w:rPr>
        <w:t xml:space="preserve">inked </w:t>
      </w:r>
      <w:r w:rsidR="0065562D">
        <w:rPr>
          <w:rFonts w:asciiTheme="minorHAnsi" w:hAnsiTheme="minorHAnsi" w:cstheme="minorHAnsi"/>
          <w:sz w:val="20"/>
          <w:szCs w:val="20"/>
        </w:rPr>
        <w:t>b</w:t>
      </w:r>
      <w:r w:rsidR="00ED773D" w:rsidRPr="00D12B86">
        <w:rPr>
          <w:rFonts w:asciiTheme="minorHAnsi" w:hAnsiTheme="minorHAnsi" w:cstheme="minorHAnsi"/>
          <w:sz w:val="20"/>
          <w:szCs w:val="20"/>
        </w:rPr>
        <w:t xml:space="preserve">irth and </w:t>
      </w:r>
      <w:r w:rsidR="0065562D">
        <w:rPr>
          <w:rFonts w:asciiTheme="minorHAnsi" w:hAnsiTheme="minorHAnsi" w:cstheme="minorHAnsi"/>
          <w:sz w:val="20"/>
          <w:szCs w:val="20"/>
        </w:rPr>
        <w:t>infant d</w:t>
      </w:r>
      <w:r w:rsidR="00ED773D" w:rsidRPr="00D12B86">
        <w:rPr>
          <w:rFonts w:asciiTheme="minorHAnsi" w:hAnsiTheme="minorHAnsi" w:cstheme="minorHAnsi"/>
          <w:sz w:val="20"/>
          <w:szCs w:val="20"/>
        </w:rPr>
        <w:t xml:space="preserve">eath data were used to obtain infant homicide rates (i.e., children </w:t>
      </w:r>
      <w:r w:rsidR="00F45727">
        <w:rPr>
          <w:rFonts w:asciiTheme="minorHAnsi" w:hAnsiTheme="minorHAnsi" w:cstheme="minorHAnsi"/>
          <w:sz w:val="20"/>
          <w:szCs w:val="20"/>
        </w:rPr>
        <w:t xml:space="preserve">aged </w:t>
      </w:r>
      <w:r w:rsidR="00ED773D" w:rsidRPr="00D12B86">
        <w:rPr>
          <w:rFonts w:asciiTheme="minorHAnsi" w:hAnsiTheme="minorHAnsi" w:cstheme="minorHAnsi"/>
          <w:sz w:val="20"/>
          <w:szCs w:val="20"/>
          <w:lang w:val="en"/>
        </w:rPr>
        <w:t>&lt;1</w:t>
      </w:r>
      <w:r w:rsidR="00F45727">
        <w:rPr>
          <w:rFonts w:asciiTheme="minorHAnsi" w:hAnsiTheme="minorHAnsi" w:cstheme="minorHAnsi"/>
          <w:sz w:val="20"/>
          <w:szCs w:val="20"/>
          <w:lang w:val="en"/>
        </w:rPr>
        <w:t xml:space="preserve"> </w:t>
      </w:r>
      <w:r w:rsidR="00ED773D" w:rsidRPr="00D12B86">
        <w:rPr>
          <w:rFonts w:asciiTheme="minorHAnsi" w:hAnsiTheme="minorHAnsi" w:cstheme="minorHAnsi"/>
          <w:sz w:val="20"/>
          <w:szCs w:val="20"/>
          <w:lang w:val="en"/>
        </w:rPr>
        <w:t>year</w:t>
      </w:r>
      <w:r w:rsidR="00F45727">
        <w:rPr>
          <w:rFonts w:asciiTheme="minorHAnsi" w:hAnsiTheme="minorHAnsi" w:cstheme="minorHAnsi"/>
          <w:sz w:val="20"/>
          <w:szCs w:val="20"/>
          <w:lang w:val="en"/>
        </w:rPr>
        <w:t>s</w:t>
      </w:r>
      <w:r w:rsidR="00ED773D" w:rsidRPr="00D12B86">
        <w:rPr>
          <w:rFonts w:asciiTheme="minorHAnsi" w:hAnsiTheme="minorHAnsi" w:cstheme="minorHAnsi"/>
          <w:sz w:val="20"/>
          <w:szCs w:val="20"/>
          <w:lang w:val="en"/>
        </w:rPr>
        <w:t>)</w:t>
      </w:r>
      <w:r w:rsidR="00ED773D" w:rsidRPr="00D12B86">
        <w:rPr>
          <w:rFonts w:asciiTheme="minorHAnsi" w:hAnsiTheme="minorHAnsi" w:cstheme="minorHAnsi"/>
          <w:sz w:val="20"/>
          <w:szCs w:val="20"/>
        </w:rPr>
        <w:t>. During 2008</w:t>
      </w:r>
      <w:r w:rsidR="00F45727">
        <w:rPr>
          <w:rFonts w:asciiTheme="minorHAnsi" w:hAnsiTheme="minorHAnsi" w:cstheme="minorHAnsi"/>
          <w:sz w:val="20"/>
          <w:szCs w:val="20"/>
        </w:rPr>
        <w:t>–</w:t>
      </w:r>
      <w:r w:rsidR="00ED773D" w:rsidRPr="00D12B86">
        <w:rPr>
          <w:rFonts w:asciiTheme="minorHAnsi" w:hAnsiTheme="minorHAnsi" w:cstheme="minorHAnsi"/>
          <w:sz w:val="20"/>
          <w:szCs w:val="20"/>
        </w:rPr>
        <w:t>2017, approximately 2,919 infants were victims of homicide</w:t>
      </w:r>
      <w:r w:rsidR="008F2F23">
        <w:rPr>
          <w:rFonts w:asciiTheme="minorHAnsi" w:hAnsiTheme="minorHAnsi" w:cstheme="minorHAnsi"/>
          <w:sz w:val="20"/>
          <w:szCs w:val="20"/>
        </w:rPr>
        <w:t xml:space="preserve"> </w:t>
      </w:r>
      <w:r w:rsidR="008F2F23" w:rsidRPr="008F2F23">
        <w:rPr>
          <w:sz w:val="20"/>
          <w:szCs w:val="20"/>
        </w:rPr>
        <w:t>https://webappa.cdc.gov/sasweb/ncipc/mortrate.html</w:t>
      </w:r>
      <w:r w:rsidR="00ED773D" w:rsidRPr="008F2F23">
        <w:rPr>
          <w:rFonts w:asciiTheme="minorHAnsi" w:hAnsiTheme="minorHAnsi" w:cstheme="minorHAnsi"/>
          <w:sz w:val="20"/>
          <w:szCs w:val="20"/>
        </w:rPr>
        <w:t>.</w:t>
      </w:r>
      <w:r w:rsidR="00ED773D" w:rsidRPr="00D12B86">
        <w:rPr>
          <w:rFonts w:asciiTheme="minorHAnsi" w:hAnsiTheme="minorHAnsi" w:cstheme="minorHAnsi"/>
          <w:sz w:val="20"/>
          <w:szCs w:val="20"/>
        </w:rPr>
        <w:t xml:space="preserve"> Because this study used National Vital Statistics System linked birth and infant death data, 68 infant homicides were excluded </w:t>
      </w:r>
      <w:r w:rsidR="00F579F2">
        <w:rPr>
          <w:rFonts w:asciiTheme="minorHAnsi" w:hAnsiTheme="minorHAnsi" w:cstheme="minorHAnsi"/>
          <w:sz w:val="20"/>
          <w:szCs w:val="20"/>
        </w:rPr>
        <w:t>because of</w:t>
      </w:r>
      <w:r w:rsidR="00ED773D" w:rsidRPr="00D12B86">
        <w:rPr>
          <w:rFonts w:asciiTheme="minorHAnsi" w:hAnsiTheme="minorHAnsi" w:cstheme="minorHAnsi"/>
          <w:sz w:val="20"/>
          <w:szCs w:val="20"/>
        </w:rPr>
        <w:t xml:space="preserve"> the inability to link the corresponding birth and death certificates.</w:t>
      </w:r>
    </w:p>
    <w:p w14:paraId="3CEEAEAA" w14:textId="2CB691E9" w:rsidR="00A20E4D" w:rsidRPr="00D12B86" w:rsidRDefault="00A20E4D" w:rsidP="00F579F2">
      <w:pPr>
        <w:ind w:left="180" w:right="90"/>
        <w:rPr>
          <w:rFonts w:asciiTheme="minorHAnsi" w:hAnsiTheme="minorHAnsi" w:cstheme="minorHAnsi"/>
          <w:sz w:val="20"/>
          <w:szCs w:val="20"/>
        </w:rPr>
      </w:pPr>
      <w:r w:rsidRPr="00A800B7">
        <w:rPr>
          <w:rFonts w:asciiTheme="minorHAnsi" w:hAnsiTheme="minorHAnsi" w:cstheme="minorHAnsi"/>
          <w:sz w:val="20"/>
          <w:szCs w:val="20"/>
        </w:rPr>
        <w:t>** National Vital Statistics System mortality data were used to obtain homicide rates for persons aged ≥1 year.</w:t>
      </w:r>
      <w:bookmarkEnd w:id="1"/>
    </w:p>
    <w:sectPr w:rsidR="00A20E4D" w:rsidRPr="00D12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65E1" w14:textId="77777777" w:rsidR="007D695F" w:rsidRDefault="007D695F" w:rsidP="00DC5340">
      <w:r>
        <w:separator/>
      </w:r>
    </w:p>
  </w:endnote>
  <w:endnote w:type="continuationSeparator" w:id="0">
    <w:p w14:paraId="4D42AFEC" w14:textId="77777777" w:rsidR="007D695F" w:rsidRDefault="007D695F" w:rsidP="00DC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450B" w14:textId="77777777" w:rsidR="007D695F" w:rsidRDefault="007D695F" w:rsidP="00DC5340">
      <w:r>
        <w:separator/>
      </w:r>
    </w:p>
  </w:footnote>
  <w:footnote w:type="continuationSeparator" w:id="0">
    <w:p w14:paraId="11EF8552" w14:textId="77777777" w:rsidR="007D695F" w:rsidRDefault="007D695F" w:rsidP="00DC5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5C"/>
    <w:rsid w:val="001113F2"/>
    <w:rsid w:val="00265FC1"/>
    <w:rsid w:val="002B454B"/>
    <w:rsid w:val="002D575C"/>
    <w:rsid w:val="002D77AC"/>
    <w:rsid w:val="00327B5A"/>
    <w:rsid w:val="00334CBC"/>
    <w:rsid w:val="003579BB"/>
    <w:rsid w:val="003D2DD3"/>
    <w:rsid w:val="004407C4"/>
    <w:rsid w:val="004B0555"/>
    <w:rsid w:val="004D606B"/>
    <w:rsid w:val="00576C64"/>
    <w:rsid w:val="0065562D"/>
    <w:rsid w:val="006D7C67"/>
    <w:rsid w:val="007D695F"/>
    <w:rsid w:val="008170BD"/>
    <w:rsid w:val="00827292"/>
    <w:rsid w:val="00857726"/>
    <w:rsid w:val="008943A5"/>
    <w:rsid w:val="008F2F23"/>
    <w:rsid w:val="00910F98"/>
    <w:rsid w:val="00970138"/>
    <w:rsid w:val="00974251"/>
    <w:rsid w:val="0097597C"/>
    <w:rsid w:val="0098613D"/>
    <w:rsid w:val="009B11AD"/>
    <w:rsid w:val="009F0786"/>
    <w:rsid w:val="00A20E4D"/>
    <w:rsid w:val="00A709A3"/>
    <w:rsid w:val="00A800B7"/>
    <w:rsid w:val="00AB21E4"/>
    <w:rsid w:val="00AC0B92"/>
    <w:rsid w:val="00AD7BE9"/>
    <w:rsid w:val="00B0197C"/>
    <w:rsid w:val="00BB223D"/>
    <w:rsid w:val="00BB3951"/>
    <w:rsid w:val="00BB409A"/>
    <w:rsid w:val="00BE1BFF"/>
    <w:rsid w:val="00BE52BA"/>
    <w:rsid w:val="00BF4551"/>
    <w:rsid w:val="00C923B3"/>
    <w:rsid w:val="00D12B86"/>
    <w:rsid w:val="00D21DE3"/>
    <w:rsid w:val="00D26269"/>
    <w:rsid w:val="00D57C00"/>
    <w:rsid w:val="00DA783D"/>
    <w:rsid w:val="00DC5340"/>
    <w:rsid w:val="00E546AF"/>
    <w:rsid w:val="00E7010D"/>
    <w:rsid w:val="00ED773D"/>
    <w:rsid w:val="00F45727"/>
    <w:rsid w:val="00F579F2"/>
    <w:rsid w:val="00FA4358"/>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3F15"/>
  <w15:chartTrackingRefBased/>
  <w15:docId w15:val="{F7E2BE8D-E6E8-4BC7-A5B5-A1B864A8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2D575C"/>
  </w:style>
  <w:style w:type="paragraph" w:styleId="ListParagraph">
    <w:name w:val="List Paragraph"/>
    <w:basedOn w:val="Normal"/>
    <w:uiPriority w:val="34"/>
    <w:qFormat/>
    <w:rsid w:val="002D575C"/>
    <w:pPr>
      <w:ind w:left="720"/>
      <w:contextualSpacing/>
    </w:pPr>
  </w:style>
  <w:style w:type="character" w:styleId="CommentReference">
    <w:name w:val="annotation reference"/>
    <w:basedOn w:val="DefaultParagraphFont"/>
    <w:uiPriority w:val="99"/>
    <w:semiHidden/>
    <w:unhideWhenUsed/>
    <w:rsid w:val="00FF052C"/>
    <w:rPr>
      <w:sz w:val="16"/>
      <w:szCs w:val="16"/>
    </w:rPr>
  </w:style>
  <w:style w:type="paragraph" w:styleId="CommentText">
    <w:name w:val="annotation text"/>
    <w:basedOn w:val="Normal"/>
    <w:link w:val="CommentTextChar"/>
    <w:uiPriority w:val="99"/>
    <w:semiHidden/>
    <w:unhideWhenUsed/>
    <w:rsid w:val="00FF052C"/>
    <w:rPr>
      <w:sz w:val="20"/>
      <w:szCs w:val="20"/>
    </w:rPr>
  </w:style>
  <w:style w:type="character" w:customStyle="1" w:styleId="CommentTextChar">
    <w:name w:val="Comment Text Char"/>
    <w:basedOn w:val="DefaultParagraphFont"/>
    <w:link w:val="CommentText"/>
    <w:uiPriority w:val="99"/>
    <w:semiHidden/>
    <w:rsid w:val="00FF052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052C"/>
    <w:rPr>
      <w:b/>
      <w:bCs/>
    </w:rPr>
  </w:style>
  <w:style w:type="character" w:customStyle="1" w:styleId="CommentSubjectChar">
    <w:name w:val="Comment Subject Char"/>
    <w:basedOn w:val="CommentTextChar"/>
    <w:link w:val="CommentSubject"/>
    <w:uiPriority w:val="99"/>
    <w:semiHidden/>
    <w:rsid w:val="00FF052C"/>
    <w:rPr>
      <w:rFonts w:ascii="Calibri" w:hAnsi="Calibri" w:cs="Calibri"/>
      <w:b/>
      <w:bCs/>
      <w:sz w:val="20"/>
      <w:szCs w:val="20"/>
    </w:rPr>
  </w:style>
  <w:style w:type="paragraph" w:styleId="BalloonText">
    <w:name w:val="Balloon Text"/>
    <w:basedOn w:val="Normal"/>
    <w:link w:val="BalloonTextChar"/>
    <w:uiPriority w:val="99"/>
    <w:semiHidden/>
    <w:unhideWhenUsed/>
    <w:rsid w:val="00FF0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2C"/>
    <w:rPr>
      <w:rFonts w:ascii="Segoe UI" w:hAnsi="Segoe UI" w:cs="Segoe UI"/>
      <w:sz w:val="18"/>
      <w:szCs w:val="18"/>
    </w:rPr>
  </w:style>
  <w:style w:type="table" w:styleId="TableGrid">
    <w:name w:val="Table Grid"/>
    <w:basedOn w:val="TableNormal"/>
    <w:uiPriority w:val="59"/>
    <w:rsid w:val="00A20E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0642-6F5A-402A-9099-A3754910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Gindler, Jacqueline (CDC/DDPHSS/CSELS/OD)</dc:creator>
  <cp:keywords/>
  <dc:description/>
  <cp:lastModifiedBy>Mukua, Catherine (CDC/DDPHSS/OS/OSQ) (CTR)</cp:lastModifiedBy>
  <cp:revision>2</cp:revision>
  <cp:lastPrinted>2020-10-01T17:55:00Z</cp:lastPrinted>
  <dcterms:created xsi:type="dcterms:W3CDTF">2020-10-01T17:59:00Z</dcterms:created>
  <dcterms:modified xsi:type="dcterms:W3CDTF">2020-10-01T17:59:00Z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ysp2@cdc.gov</vt:lpwstr>
  </property>
  <property fmtid="{D5CDD505-2E9C-101B-9397-08002B2CF9AE}" pid="5" name="MSIP_Label_7b94a7b8-f06c-4dfe-bdcc-9b548fd58c31_SetDate">
    <vt:lpwstr>2020-08-05T22:38:56.0291874Z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e271e410-0d92-41d8-978e-ed8cf799c633</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