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C6" w:rsidRDefault="007F57E2">
      <w:pPr>
        <w:rPr>
          <w:b/>
        </w:rPr>
      </w:pPr>
      <w:r w:rsidRPr="007F57E2">
        <w:rPr>
          <w:b/>
        </w:rPr>
        <w:t>SUPPLEMENTAL FIGURE 1</w:t>
      </w:r>
    </w:p>
    <w:p w:rsidR="001D0A13" w:rsidRDefault="00812F2F">
      <w:pPr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5pt;height:221.25pt">
            <v:imagedata r:id="rId5" o:title="SuppFig1"/>
          </v:shape>
        </w:pict>
      </w:r>
    </w:p>
    <w:p w:rsidR="001D0A13" w:rsidRDefault="001D0A13" w:rsidP="001D0A13">
      <w:pPr>
        <w:spacing w:line="480" w:lineRule="auto"/>
        <w:contextualSpacing/>
        <w:rPr>
          <w:rFonts w:ascii="Arial" w:hAnsi="Arial" w:cs="Arial"/>
          <w:b/>
        </w:rPr>
      </w:pPr>
    </w:p>
    <w:p w:rsidR="001D0A13" w:rsidRDefault="001D0A13" w:rsidP="001D0A13">
      <w:pPr>
        <w:spacing w:line="480" w:lineRule="auto"/>
        <w:contextualSpacing/>
        <w:rPr>
          <w:rFonts w:ascii="Arial" w:hAnsi="Arial" w:cs="Arial"/>
          <w:b/>
        </w:rPr>
      </w:pPr>
    </w:p>
    <w:p w:rsidR="00EA5985" w:rsidRDefault="00EA5985" w:rsidP="00EA5985">
      <w:pPr>
        <w:spacing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Figure </w:t>
      </w:r>
      <w:r w:rsidR="00812F2F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1. Neighbor-net phylogenetic analysis of the Region I and III alleles. </w:t>
      </w:r>
      <w:r>
        <w:rPr>
          <w:rFonts w:ascii="Arial" w:hAnsi="Arial" w:cs="Arial"/>
        </w:rPr>
        <w:t xml:space="preserve">A gene-based neighbor-net phylogenetic analysis was generated by aligning the alleles of the Region I and III genes. The sequence diversity present within the Region I and III genes was sufficient to differentiate the isolates from each of the six serotypes, including the distinct Hia and Hib subclades. </w:t>
      </w:r>
    </w:p>
    <w:p w:rsidR="001D0A13" w:rsidRPr="009F6C6B" w:rsidRDefault="001D0A13" w:rsidP="001D0A13">
      <w:pPr>
        <w:spacing w:line="480" w:lineRule="auto"/>
        <w:contextualSpacing/>
        <w:rPr>
          <w:rFonts w:ascii="Arial" w:hAnsi="Arial" w:cs="Arial"/>
          <w:b/>
        </w:rPr>
      </w:pPr>
    </w:p>
    <w:p w:rsidR="00813717" w:rsidRDefault="00813717">
      <w:pPr>
        <w:rPr>
          <w:b/>
        </w:rPr>
      </w:pPr>
      <w:r>
        <w:rPr>
          <w:b/>
        </w:rPr>
        <w:br w:type="page"/>
      </w:r>
    </w:p>
    <w:p w:rsidR="00813717" w:rsidRDefault="00813717" w:rsidP="00813717">
      <w:pPr>
        <w:rPr>
          <w:b/>
        </w:rPr>
      </w:pPr>
      <w:r>
        <w:rPr>
          <w:b/>
        </w:rPr>
        <w:lastRenderedPageBreak/>
        <w:t>SUPPLEMENTAL FIGURE 2</w:t>
      </w:r>
    </w:p>
    <w:p w:rsidR="00813717" w:rsidRDefault="00813717" w:rsidP="00813717">
      <w:pPr>
        <w:rPr>
          <w:b/>
        </w:rPr>
      </w:pPr>
    </w:p>
    <w:p w:rsidR="007F57E2" w:rsidRDefault="00812F2F">
      <w:pPr>
        <w:rPr>
          <w:b/>
        </w:rPr>
      </w:pPr>
      <w:r>
        <w:rPr>
          <w:b/>
        </w:rPr>
        <w:pict>
          <v:shape id="_x0000_i1026" type="#_x0000_t75" style="width:501.75pt;height:275.25pt">
            <v:imagedata r:id="rId6" o:title="SuppFig2_Subclade diveristy"/>
          </v:shape>
        </w:pict>
      </w:r>
    </w:p>
    <w:p w:rsidR="001D0A13" w:rsidRDefault="001D0A13" w:rsidP="001D0A13">
      <w:pPr>
        <w:spacing w:before="240" w:line="480" w:lineRule="auto"/>
        <w:contextualSpacing/>
        <w:rPr>
          <w:rFonts w:ascii="Arial" w:hAnsi="Arial" w:cs="Arial"/>
          <w:b/>
        </w:rPr>
      </w:pPr>
    </w:p>
    <w:p w:rsidR="001D0A13" w:rsidRDefault="001D0A13" w:rsidP="001D0A13">
      <w:pPr>
        <w:spacing w:before="240" w:line="480" w:lineRule="auto"/>
        <w:contextualSpacing/>
        <w:rPr>
          <w:rFonts w:ascii="Arial" w:hAnsi="Arial" w:cs="Arial"/>
          <w:b/>
        </w:rPr>
      </w:pPr>
    </w:p>
    <w:p w:rsidR="00EA5985" w:rsidRPr="009F6C6B" w:rsidRDefault="00EA5985" w:rsidP="00EA5985">
      <w:pPr>
        <w:spacing w:before="240" w:line="480" w:lineRule="auto"/>
        <w:contextualSpacing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Figure </w:t>
      </w:r>
      <w:r w:rsidR="00812F2F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2</w:t>
      </w:r>
      <w:r w:rsidRPr="009F6C6B">
        <w:rPr>
          <w:rFonts w:ascii="Arial" w:hAnsi="Arial" w:cs="Arial"/>
          <w:b/>
        </w:rPr>
        <w:t>. The allelic</w:t>
      </w:r>
      <w:r>
        <w:rPr>
          <w:rFonts w:ascii="Arial" w:hAnsi="Arial" w:cs="Arial"/>
          <w:b/>
        </w:rPr>
        <w:t xml:space="preserve"> variation detected within and between subclades for Hia and Hib Region II genes</w:t>
      </w:r>
      <w:r w:rsidRPr="009F6C6B">
        <w:rPr>
          <w:rFonts w:ascii="Arial" w:hAnsi="Arial" w:cs="Arial"/>
          <w:b/>
        </w:rPr>
        <w:t xml:space="preserve">. </w:t>
      </w:r>
      <w:r w:rsidRPr="009F6C6B">
        <w:rPr>
          <w:rFonts w:ascii="Arial" w:hAnsi="Arial" w:cs="Arial"/>
        </w:rPr>
        <w:t xml:space="preserve">The x-axis depicts the percent identity shared </w:t>
      </w:r>
      <w:r>
        <w:rPr>
          <w:rFonts w:ascii="Arial" w:hAnsi="Arial" w:cs="Arial"/>
        </w:rPr>
        <w:t>among</w:t>
      </w:r>
      <w:r w:rsidRPr="009F6C6B">
        <w:rPr>
          <w:rFonts w:ascii="Arial" w:hAnsi="Arial" w:cs="Arial"/>
        </w:rPr>
        <w:t xml:space="preserve"> alleles for each capsule gene. The left side of the bar represents the </w:t>
      </w:r>
      <w:r>
        <w:rPr>
          <w:rFonts w:ascii="Arial" w:hAnsi="Arial" w:cs="Arial"/>
        </w:rPr>
        <w:t>minimum</w:t>
      </w:r>
      <w:r w:rsidRPr="009F6C6B">
        <w:rPr>
          <w:rFonts w:ascii="Arial" w:hAnsi="Arial" w:cs="Arial"/>
        </w:rPr>
        <w:t xml:space="preserve"> sequence identity and the right side represents the </w:t>
      </w:r>
      <w:r>
        <w:rPr>
          <w:rFonts w:ascii="Arial" w:hAnsi="Arial" w:cs="Arial"/>
        </w:rPr>
        <w:t>maximum</w:t>
      </w:r>
      <w:r w:rsidRPr="009F6C6B">
        <w:rPr>
          <w:rFonts w:ascii="Arial" w:hAnsi="Arial" w:cs="Arial"/>
        </w:rPr>
        <w:t xml:space="preserve"> sequence identity </w:t>
      </w:r>
      <w:r>
        <w:rPr>
          <w:rFonts w:ascii="Arial" w:hAnsi="Arial" w:cs="Arial"/>
        </w:rPr>
        <w:t>detected</w:t>
      </w:r>
      <w:r w:rsidRPr="009F6C6B">
        <w:rPr>
          <w:rFonts w:ascii="Arial" w:hAnsi="Arial" w:cs="Arial"/>
        </w:rPr>
        <w:t>.</w:t>
      </w:r>
      <w:r w:rsidRPr="00424E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Allelic variation was quantified for either alleles detected within the same subclade (intra-subclade) or between the two subclades (inter-subclade).</w:t>
      </w:r>
      <w:r w:rsidRPr="009F6C6B">
        <w:rPr>
          <w:rFonts w:ascii="Arial" w:hAnsi="Arial" w:cs="Arial"/>
        </w:rPr>
        <w:t xml:space="preserve"> </w:t>
      </w:r>
    </w:p>
    <w:p w:rsidR="001D0A13" w:rsidRDefault="001D0A13">
      <w:pPr>
        <w:rPr>
          <w:b/>
        </w:rPr>
      </w:pPr>
    </w:p>
    <w:sectPr w:rsidR="001D0A13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7F57E2"/>
    <w:rsid w:val="001D0A13"/>
    <w:rsid w:val="005A2CBA"/>
    <w:rsid w:val="007F57E2"/>
    <w:rsid w:val="00812F2F"/>
    <w:rsid w:val="00813717"/>
    <w:rsid w:val="00992A07"/>
    <w:rsid w:val="00B32C08"/>
    <w:rsid w:val="00D26908"/>
    <w:rsid w:val="00E12A21"/>
    <w:rsid w:val="00EA5985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781</Characters>
  <Application>Microsoft Office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Potts, Caelin (CDC/OID/NCIRD)</dc:creator>
  <cp:keywords/>
  <dc:description/>
  <cp:lastModifiedBy>USER</cp:lastModifiedBy>
  <cp:revision>3</cp:revision>
  <dcterms:created xsi:type="dcterms:W3CDTF">2019-09-25T15:39:00Z</dcterms:created>
  <dcterms:modified xsi:type="dcterms:W3CDTF">2019-10-06T15:36:00Z</dcterms:modified>
</cp:coreProperties>
</file>