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BC" w:rsidRDefault="00EE36BC" w:rsidP="006E1D59">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Appendix:</w:t>
      </w:r>
    </w:p>
    <w:p w:rsidR="00EE36BC" w:rsidRDefault="00EE36BC" w:rsidP="006E1D59">
      <w:pPr>
        <w:spacing w:after="0" w:line="240" w:lineRule="auto"/>
        <w:jc w:val="center"/>
        <w:rPr>
          <w:rFonts w:ascii="Times New Roman" w:hAnsi="Times New Roman" w:cs="Times New Roman"/>
          <w:b/>
          <w:bCs/>
          <w:sz w:val="24"/>
          <w:szCs w:val="24"/>
        </w:rPr>
      </w:pPr>
    </w:p>
    <w:p w:rsidR="00EE36BC" w:rsidRPr="00EE36BC" w:rsidRDefault="00EE36BC" w:rsidP="00EE36BC">
      <w:pPr>
        <w:spacing w:after="0" w:line="240" w:lineRule="auto"/>
        <w:jc w:val="center"/>
        <w:rPr>
          <w:rFonts w:ascii="Times New Roman" w:hAnsi="Times New Roman" w:cs="Times New Roman"/>
          <w:b/>
          <w:bCs/>
          <w:sz w:val="24"/>
          <w:szCs w:val="24"/>
        </w:rPr>
      </w:pPr>
      <w:r w:rsidRPr="00EE36BC">
        <w:rPr>
          <w:rFonts w:ascii="Times New Roman" w:hAnsi="Times New Roman" w:cs="Times New Roman"/>
          <w:b/>
          <w:bCs/>
          <w:sz w:val="24"/>
          <w:szCs w:val="24"/>
        </w:rPr>
        <w:t>Potential scenarios and hazards in the work of the future:</w:t>
      </w:r>
    </w:p>
    <w:p w:rsidR="00EE36BC" w:rsidRPr="00EE36BC" w:rsidRDefault="00EE36BC" w:rsidP="00EE36BC">
      <w:pPr>
        <w:spacing w:after="0" w:line="240" w:lineRule="auto"/>
        <w:jc w:val="center"/>
        <w:rPr>
          <w:rFonts w:ascii="Times New Roman" w:hAnsi="Times New Roman" w:cs="Times New Roman"/>
          <w:b/>
          <w:bCs/>
          <w:sz w:val="24"/>
          <w:szCs w:val="24"/>
        </w:rPr>
      </w:pPr>
      <w:r w:rsidRPr="00EE36BC">
        <w:rPr>
          <w:rFonts w:ascii="Times New Roman" w:hAnsi="Times New Roman" w:cs="Times New Roman"/>
          <w:b/>
          <w:bCs/>
          <w:sz w:val="24"/>
          <w:szCs w:val="24"/>
        </w:rPr>
        <w:t>A systematic review of the peer-reviewed and gray literatures</w:t>
      </w:r>
    </w:p>
    <w:p w:rsidR="00EE36BC" w:rsidRPr="00EE36BC" w:rsidRDefault="00EE36BC" w:rsidP="00EE36BC">
      <w:pPr>
        <w:spacing w:after="0" w:line="240" w:lineRule="auto"/>
        <w:jc w:val="center"/>
        <w:rPr>
          <w:rFonts w:ascii="Times New Roman" w:hAnsi="Times New Roman" w:cs="Times New Roman"/>
          <w:b/>
          <w:bCs/>
          <w:sz w:val="24"/>
          <w:szCs w:val="24"/>
        </w:rPr>
      </w:pPr>
    </w:p>
    <w:p w:rsidR="00EE36BC" w:rsidRPr="00EE36BC" w:rsidRDefault="00EE36BC" w:rsidP="00EE36BC">
      <w:pPr>
        <w:spacing w:after="0" w:line="240" w:lineRule="auto"/>
        <w:jc w:val="center"/>
        <w:rPr>
          <w:rFonts w:ascii="Times New Roman" w:hAnsi="Times New Roman" w:cs="Times New Roman"/>
          <w:bCs/>
          <w:sz w:val="24"/>
          <w:szCs w:val="24"/>
          <w:vertAlign w:val="superscript"/>
        </w:rPr>
      </w:pPr>
      <w:r w:rsidRPr="00EE36BC">
        <w:rPr>
          <w:rFonts w:ascii="Times New Roman" w:hAnsi="Times New Roman" w:cs="Times New Roman"/>
          <w:bCs/>
          <w:sz w:val="24"/>
          <w:szCs w:val="24"/>
        </w:rPr>
        <w:t xml:space="preserve">Paul A. Schulte, Jessica M.K. </w:t>
      </w:r>
      <w:proofErr w:type="spellStart"/>
      <w:r w:rsidRPr="00EE36BC">
        <w:rPr>
          <w:rFonts w:ascii="Times New Roman" w:hAnsi="Times New Roman" w:cs="Times New Roman"/>
          <w:bCs/>
          <w:sz w:val="24"/>
          <w:szCs w:val="24"/>
        </w:rPr>
        <w:t>Streit</w:t>
      </w:r>
      <w:proofErr w:type="spellEnd"/>
      <w:r w:rsidRPr="00EE36BC">
        <w:rPr>
          <w:rFonts w:ascii="Times New Roman" w:hAnsi="Times New Roman" w:cs="Times New Roman"/>
          <w:bCs/>
          <w:sz w:val="24"/>
          <w:szCs w:val="24"/>
        </w:rPr>
        <w:t xml:space="preserve">, Fatima Sheriff, George </w:t>
      </w:r>
      <w:proofErr w:type="spellStart"/>
      <w:r w:rsidRPr="00EE36BC">
        <w:rPr>
          <w:rFonts w:ascii="Times New Roman" w:hAnsi="Times New Roman" w:cs="Times New Roman"/>
          <w:bCs/>
          <w:sz w:val="24"/>
          <w:szCs w:val="24"/>
        </w:rPr>
        <w:t>Delclos</w:t>
      </w:r>
      <w:proofErr w:type="spellEnd"/>
      <w:r w:rsidRPr="00EE36BC">
        <w:rPr>
          <w:rFonts w:ascii="Times New Roman" w:hAnsi="Times New Roman" w:cs="Times New Roman"/>
          <w:bCs/>
          <w:sz w:val="24"/>
          <w:szCs w:val="24"/>
        </w:rPr>
        <w:t xml:space="preserve">, Sarah A. </w:t>
      </w:r>
      <w:proofErr w:type="spellStart"/>
      <w:r w:rsidRPr="00EE36BC">
        <w:rPr>
          <w:rFonts w:ascii="Times New Roman" w:hAnsi="Times New Roman" w:cs="Times New Roman"/>
          <w:bCs/>
          <w:sz w:val="24"/>
          <w:szCs w:val="24"/>
        </w:rPr>
        <w:t>Felknor</w:t>
      </w:r>
      <w:proofErr w:type="spellEnd"/>
    </w:p>
    <w:p w:rsidR="00EE36BC" w:rsidRPr="00EE36BC" w:rsidRDefault="00EE36BC" w:rsidP="00EE36BC">
      <w:pPr>
        <w:spacing w:after="0" w:line="240" w:lineRule="auto"/>
        <w:jc w:val="center"/>
        <w:rPr>
          <w:rFonts w:ascii="Times New Roman" w:hAnsi="Times New Roman" w:cs="Times New Roman"/>
          <w:bCs/>
          <w:sz w:val="24"/>
          <w:szCs w:val="24"/>
        </w:rPr>
      </w:pPr>
      <w:r w:rsidRPr="00EE36BC">
        <w:rPr>
          <w:rFonts w:ascii="Times New Roman" w:hAnsi="Times New Roman" w:cs="Times New Roman"/>
          <w:bCs/>
          <w:sz w:val="24"/>
          <w:szCs w:val="24"/>
        </w:rPr>
        <w:t xml:space="preserve">Sara L. Tamers, Sherry </w:t>
      </w:r>
      <w:proofErr w:type="spellStart"/>
      <w:r w:rsidRPr="00EE36BC">
        <w:rPr>
          <w:rFonts w:ascii="Times New Roman" w:hAnsi="Times New Roman" w:cs="Times New Roman"/>
          <w:bCs/>
          <w:sz w:val="24"/>
          <w:szCs w:val="24"/>
        </w:rPr>
        <w:t>Fendinger</w:t>
      </w:r>
      <w:proofErr w:type="spellEnd"/>
      <w:r w:rsidRPr="00EE36BC">
        <w:rPr>
          <w:rFonts w:ascii="Times New Roman" w:hAnsi="Times New Roman" w:cs="Times New Roman"/>
          <w:bCs/>
          <w:sz w:val="24"/>
          <w:szCs w:val="24"/>
        </w:rPr>
        <w:t xml:space="preserve">, James </w:t>
      </w:r>
      <w:proofErr w:type="spellStart"/>
      <w:r w:rsidRPr="00EE36BC">
        <w:rPr>
          <w:rFonts w:ascii="Times New Roman" w:hAnsi="Times New Roman" w:cs="Times New Roman"/>
          <w:bCs/>
          <w:sz w:val="24"/>
          <w:szCs w:val="24"/>
        </w:rPr>
        <w:t>Grosch</w:t>
      </w:r>
      <w:proofErr w:type="spellEnd"/>
      <w:r w:rsidRPr="00EE36BC">
        <w:rPr>
          <w:rFonts w:ascii="Times New Roman" w:hAnsi="Times New Roman" w:cs="Times New Roman"/>
          <w:bCs/>
          <w:sz w:val="24"/>
          <w:szCs w:val="24"/>
        </w:rPr>
        <w:t>, Robert Sala</w:t>
      </w:r>
    </w:p>
    <w:p w:rsidR="00EE36BC" w:rsidRDefault="00EE36BC" w:rsidP="006E1D59">
      <w:pPr>
        <w:spacing w:after="0" w:line="240" w:lineRule="auto"/>
        <w:jc w:val="center"/>
        <w:rPr>
          <w:rFonts w:ascii="Times New Roman" w:hAnsi="Times New Roman" w:cs="Times New Roman"/>
          <w:b/>
          <w:bCs/>
          <w:sz w:val="24"/>
          <w:szCs w:val="24"/>
        </w:rPr>
      </w:pPr>
    </w:p>
    <w:p w:rsidR="00EE36BC" w:rsidRDefault="00EE36BC" w:rsidP="006E1D59">
      <w:pPr>
        <w:spacing w:after="0" w:line="240" w:lineRule="auto"/>
        <w:jc w:val="center"/>
        <w:rPr>
          <w:rFonts w:ascii="Times New Roman" w:hAnsi="Times New Roman" w:cs="Times New Roman"/>
          <w:b/>
          <w:bCs/>
          <w:sz w:val="24"/>
          <w:szCs w:val="24"/>
        </w:rPr>
      </w:pPr>
    </w:p>
    <w:p w:rsidR="00EE36BC" w:rsidRDefault="00EE36BC" w:rsidP="006E1D59">
      <w:pPr>
        <w:spacing w:after="0" w:line="240" w:lineRule="auto"/>
        <w:jc w:val="center"/>
        <w:rPr>
          <w:rFonts w:ascii="Times New Roman" w:hAnsi="Times New Roman" w:cs="Times New Roman"/>
          <w:b/>
          <w:bCs/>
          <w:sz w:val="24"/>
          <w:szCs w:val="24"/>
        </w:rPr>
      </w:pPr>
    </w:p>
    <w:p w:rsidR="006E1D59" w:rsidRPr="00A80DF8" w:rsidRDefault="006E1D59" w:rsidP="00EE36BC">
      <w:pPr>
        <w:spacing w:after="0" w:line="240" w:lineRule="auto"/>
        <w:rPr>
          <w:rFonts w:ascii="Times New Roman" w:hAnsi="Times New Roman" w:cs="Times New Roman"/>
          <w:b/>
          <w:bCs/>
          <w:sz w:val="24"/>
          <w:szCs w:val="24"/>
        </w:rPr>
      </w:pPr>
      <w:r w:rsidRPr="00A80DF8">
        <w:rPr>
          <w:rFonts w:ascii="Times New Roman" w:hAnsi="Times New Roman" w:cs="Times New Roman"/>
          <w:b/>
          <w:bCs/>
          <w:sz w:val="24"/>
          <w:szCs w:val="24"/>
        </w:rPr>
        <w:t>Appendix I. Key terms used to facilitate peer-reviewed literature search</w:t>
      </w:r>
    </w:p>
    <w:p w:rsidR="006E1D59" w:rsidRPr="00A80DF8" w:rsidRDefault="006E1D59" w:rsidP="006E1D59">
      <w:pPr>
        <w:spacing w:after="0" w:line="240" w:lineRule="auto"/>
        <w:rPr>
          <w:rFonts w:ascii="Times New Roman" w:hAnsi="Times New Roman" w:cs="Times New Roman"/>
          <w:sz w:val="24"/>
          <w:szCs w:val="24"/>
        </w:rPr>
      </w:pPr>
    </w:p>
    <w:tbl>
      <w:tblPr>
        <w:tblStyle w:val="GridTable1LightAccent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960"/>
      </w:tblGrid>
      <w:tr w:rsidR="006E1D59" w:rsidRPr="00A80DF8" w:rsidTr="00E43161">
        <w:trPr>
          <w:cnfStyle w:val="100000000000"/>
        </w:trPr>
        <w:tc>
          <w:tcPr>
            <w:cnfStyle w:val="001000000000"/>
            <w:tcW w:w="3690" w:type="dxa"/>
            <w:tcBorders>
              <w:top w:val="single" w:sz="4" w:space="0" w:color="auto"/>
              <w:bottom w:val="single" w:sz="4" w:space="0" w:color="auto"/>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Future of work key terms</w:t>
            </w:r>
          </w:p>
        </w:tc>
        <w:tc>
          <w:tcPr>
            <w:tcW w:w="3960" w:type="dxa"/>
            <w:tcBorders>
              <w:top w:val="single" w:sz="4" w:space="0" w:color="auto"/>
              <w:left w:val="single" w:sz="4" w:space="0" w:color="auto"/>
              <w:bottom w:val="single" w:sz="4" w:space="0" w:color="auto"/>
            </w:tcBorders>
          </w:tcPr>
          <w:p w:rsidR="006E1D59" w:rsidRPr="00A80DF8" w:rsidRDefault="006E1D59" w:rsidP="00E43161">
            <w:pPr>
              <w:cnfStyle w:val="100000000000"/>
              <w:rPr>
                <w:rFonts w:ascii="Times New Roman" w:hAnsi="Times New Roman" w:cs="Times New Roman"/>
                <w:b w:val="0"/>
                <w:sz w:val="24"/>
                <w:szCs w:val="24"/>
              </w:rPr>
            </w:pPr>
            <w:r w:rsidRPr="00A80DF8">
              <w:rPr>
                <w:rFonts w:ascii="Times New Roman" w:hAnsi="Times New Roman" w:cs="Times New Roman"/>
                <w:b w:val="0"/>
                <w:sz w:val="24"/>
                <w:szCs w:val="24"/>
              </w:rPr>
              <w:t>Worker well-being key terms</w:t>
            </w:r>
          </w:p>
        </w:tc>
      </w:tr>
      <w:tr w:rsidR="006E1D59" w:rsidRPr="00A80DF8" w:rsidTr="00E43161">
        <w:tc>
          <w:tcPr>
            <w:cnfStyle w:val="001000000000"/>
            <w:tcW w:w="3690" w:type="dxa"/>
            <w:tcBorders>
              <w:top w:val="single" w:sz="4" w:space="0" w:color="auto"/>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advanced manufacturing</w:t>
            </w:r>
          </w:p>
        </w:tc>
        <w:tc>
          <w:tcPr>
            <w:tcW w:w="3960" w:type="dxa"/>
            <w:tcBorders>
              <w:top w:val="single" w:sz="4" w:space="0" w:color="auto"/>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emerging occupational hazard</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artificial intelligence</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emerging occupational risk</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changing technology[</w:t>
            </w:r>
            <w:proofErr w:type="spellStart"/>
            <w:r w:rsidRPr="00A80DF8">
              <w:rPr>
                <w:rFonts w:ascii="Times New Roman" w:hAnsi="Times New Roman" w:cs="Times New Roman"/>
                <w:b w:val="0"/>
                <w:sz w:val="24"/>
                <w:szCs w:val="24"/>
              </w:rPr>
              <w:t>ies</w:t>
            </w:r>
            <w:proofErr w:type="spellEnd"/>
            <w:r w:rsidRPr="00A80DF8">
              <w:rPr>
                <w:rFonts w:ascii="Times New Roman" w:hAnsi="Times New Roman" w:cs="Times New Roman"/>
                <w:b w:val="0"/>
                <w:sz w:val="24"/>
                <w:szCs w:val="24"/>
              </w:rPr>
              <w:t>]</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employment conditions</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changing workforce</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health risk</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changing world of work</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human health</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digitalization</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job stress</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fourth industrial revolution</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occupational exposure</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4th industrial revolution</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occupational health</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future employment</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occupational risk</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future of employment</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occupational safety</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future of jobs</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occupational stress</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future of work</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psychology of working</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 xml:space="preserve">future </w:t>
            </w:r>
            <w:proofErr w:type="spellStart"/>
            <w:r w:rsidRPr="00A80DF8">
              <w:rPr>
                <w:rFonts w:ascii="Times New Roman" w:hAnsi="Times New Roman" w:cs="Times New Roman"/>
                <w:b w:val="0"/>
                <w:sz w:val="24"/>
                <w:szCs w:val="24"/>
              </w:rPr>
              <w:t>labo</w:t>
            </w:r>
            <w:proofErr w:type="spellEnd"/>
            <w:r w:rsidRPr="00A80DF8">
              <w:rPr>
                <w:rFonts w:ascii="Times New Roman" w:hAnsi="Times New Roman" w:cs="Times New Roman"/>
                <w:b w:val="0"/>
                <w:sz w:val="24"/>
                <w:szCs w:val="24"/>
              </w:rPr>
              <w:t>[u]r market</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psychosocial work[</w:t>
            </w:r>
            <w:proofErr w:type="spellStart"/>
            <w:r w:rsidRPr="00A80DF8">
              <w:rPr>
                <w:rFonts w:ascii="Times New Roman" w:hAnsi="Times New Roman" w:cs="Times New Roman"/>
                <w:sz w:val="24"/>
                <w:szCs w:val="24"/>
              </w:rPr>
              <w:t>ing</w:t>
            </w:r>
            <w:proofErr w:type="spellEnd"/>
            <w:r w:rsidRPr="00A80DF8">
              <w:rPr>
                <w:rFonts w:ascii="Times New Roman" w:hAnsi="Times New Roman" w:cs="Times New Roman"/>
                <w:sz w:val="24"/>
                <w:szCs w:val="24"/>
              </w:rPr>
              <w:t>] conditions</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future skills</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industry 4.0</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 stress</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jobs of the future</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worker disability</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new employment arrangements</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worker health</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non[-]standard employment</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workplace hazards</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non[-]standard work</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worker illness[</w:t>
            </w:r>
            <w:proofErr w:type="spellStart"/>
            <w:r w:rsidRPr="00A80DF8">
              <w:rPr>
                <w:rFonts w:ascii="Times New Roman" w:hAnsi="Times New Roman" w:cs="Times New Roman"/>
                <w:sz w:val="24"/>
                <w:szCs w:val="24"/>
              </w:rPr>
              <w:t>es</w:t>
            </w:r>
            <w:proofErr w:type="spellEnd"/>
            <w:r w:rsidRPr="00A80DF8">
              <w:rPr>
                <w:rFonts w:ascii="Times New Roman" w:hAnsi="Times New Roman" w:cs="Times New Roman"/>
                <w:sz w:val="24"/>
                <w:szCs w:val="24"/>
              </w:rPr>
              <w:t>]</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robotics</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worker quality of life</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technological changes</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worker safety</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sz w:val="24"/>
                <w:szCs w:val="24"/>
              </w:rPr>
            </w:pPr>
            <w:r w:rsidRPr="00A80DF8">
              <w:rPr>
                <w:rFonts w:ascii="Times New Roman" w:hAnsi="Times New Roman" w:cs="Times New Roman"/>
                <w:b w:val="0"/>
                <w:sz w:val="24"/>
                <w:szCs w:val="24"/>
              </w:rPr>
              <w:t>workplace innovation</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worker well[-]being</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workplace trends</w:t>
            </w: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workplace health</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workplace injury[</w:t>
            </w:r>
            <w:proofErr w:type="spellStart"/>
            <w:r w:rsidRPr="00A80DF8">
              <w:rPr>
                <w:rFonts w:ascii="Times New Roman" w:hAnsi="Times New Roman" w:cs="Times New Roman"/>
                <w:sz w:val="24"/>
                <w:szCs w:val="24"/>
              </w:rPr>
              <w:t>ies</w:t>
            </w:r>
            <w:proofErr w:type="spellEnd"/>
            <w:r w:rsidRPr="00A80DF8">
              <w:rPr>
                <w:rFonts w:ascii="Times New Roman" w:hAnsi="Times New Roman" w:cs="Times New Roman"/>
                <w:sz w:val="24"/>
                <w:szCs w:val="24"/>
              </w:rPr>
              <w:t>]</w:t>
            </w:r>
          </w:p>
        </w:tc>
      </w:tr>
      <w:tr w:rsidR="006E1D59" w:rsidRPr="00A80DF8" w:rsidTr="00E43161">
        <w:tc>
          <w:tcPr>
            <w:cnfStyle w:val="001000000000"/>
            <w:tcW w:w="3690" w:type="dxa"/>
            <w:tcBorders>
              <w:right w:val="single" w:sz="4" w:space="0" w:color="auto"/>
            </w:tcBorders>
          </w:tcPr>
          <w:p w:rsidR="006E1D59" w:rsidRPr="00A80DF8" w:rsidRDefault="006E1D59" w:rsidP="00E43161">
            <w:pPr>
              <w:rPr>
                <w:rFonts w:ascii="Times New Roman" w:hAnsi="Times New Roman" w:cs="Times New Roman"/>
                <w:b w:val="0"/>
                <w:sz w:val="24"/>
                <w:szCs w:val="24"/>
              </w:rPr>
            </w:pPr>
          </w:p>
        </w:tc>
        <w:tc>
          <w:tcPr>
            <w:tcW w:w="3960" w:type="dxa"/>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workplace safety</w:t>
            </w:r>
          </w:p>
        </w:tc>
      </w:tr>
      <w:tr w:rsidR="006E1D59" w:rsidRPr="00A80DF8" w:rsidTr="00E43161">
        <w:tc>
          <w:tcPr>
            <w:cnfStyle w:val="001000000000"/>
            <w:tcW w:w="3690" w:type="dxa"/>
            <w:tcBorders>
              <w:bottom w:val="single" w:sz="4" w:space="0" w:color="auto"/>
              <w:right w:val="single" w:sz="4" w:space="0" w:color="auto"/>
            </w:tcBorders>
          </w:tcPr>
          <w:p w:rsidR="006E1D59" w:rsidRPr="00A80DF8" w:rsidRDefault="006E1D59" w:rsidP="00E43161">
            <w:pPr>
              <w:rPr>
                <w:rFonts w:ascii="Times New Roman" w:hAnsi="Times New Roman" w:cs="Times New Roman"/>
                <w:b w:val="0"/>
                <w:sz w:val="24"/>
                <w:szCs w:val="24"/>
              </w:rPr>
            </w:pPr>
          </w:p>
        </w:tc>
        <w:tc>
          <w:tcPr>
            <w:tcW w:w="3960" w:type="dxa"/>
            <w:tcBorders>
              <w:left w:val="single" w:sz="4" w:space="0" w:color="auto"/>
              <w:bottom w:val="single"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work-related injury[</w:t>
            </w:r>
            <w:proofErr w:type="spellStart"/>
            <w:r w:rsidRPr="00A80DF8">
              <w:rPr>
                <w:rFonts w:ascii="Times New Roman" w:hAnsi="Times New Roman" w:cs="Times New Roman"/>
                <w:sz w:val="24"/>
                <w:szCs w:val="24"/>
              </w:rPr>
              <w:t>ies</w:t>
            </w:r>
            <w:proofErr w:type="spellEnd"/>
            <w:r w:rsidRPr="00A80DF8">
              <w:rPr>
                <w:rFonts w:ascii="Times New Roman" w:hAnsi="Times New Roman" w:cs="Times New Roman"/>
                <w:sz w:val="24"/>
                <w:szCs w:val="24"/>
              </w:rPr>
              <w:t>]</w:t>
            </w:r>
          </w:p>
        </w:tc>
      </w:tr>
    </w:tbl>
    <w:p w:rsidR="006E1D59" w:rsidRPr="00A80DF8" w:rsidRDefault="006E1D59" w:rsidP="006E1D59">
      <w:pPr>
        <w:spacing w:after="0" w:line="240" w:lineRule="auto"/>
        <w:rPr>
          <w:rFonts w:ascii="Times New Roman" w:hAnsi="Times New Roman" w:cs="Times New Roman"/>
          <w:b/>
          <w:sz w:val="24"/>
          <w:szCs w:val="24"/>
        </w:rPr>
      </w:pPr>
      <w:r w:rsidRPr="00A80DF8">
        <w:rPr>
          <w:rFonts w:ascii="Times New Roman" w:hAnsi="Times New Roman" w:cs="Times New Roman"/>
          <w:b/>
          <w:sz w:val="24"/>
          <w:szCs w:val="24"/>
        </w:rPr>
        <w:br w:type="page"/>
      </w:r>
    </w:p>
    <w:p w:rsidR="006E1D59" w:rsidRPr="00A80DF8" w:rsidRDefault="006E1D59" w:rsidP="006E1D59">
      <w:pPr>
        <w:spacing w:after="0" w:line="360" w:lineRule="auto"/>
        <w:jc w:val="center"/>
        <w:rPr>
          <w:rFonts w:ascii="Times New Roman" w:hAnsi="Times New Roman" w:cs="Times New Roman"/>
          <w:b/>
          <w:bCs/>
          <w:sz w:val="24"/>
          <w:szCs w:val="24"/>
        </w:rPr>
      </w:pPr>
      <w:r w:rsidRPr="00A80DF8">
        <w:rPr>
          <w:rFonts w:ascii="Times New Roman" w:hAnsi="Times New Roman" w:cs="Times New Roman"/>
          <w:b/>
          <w:bCs/>
          <w:sz w:val="24"/>
          <w:szCs w:val="24"/>
        </w:rPr>
        <w:lastRenderedPageBreak/>
        <w:t xml:space="preserve">Appendix II: Literature search protocol: Searching for Future of Work Scenarios in the Peer-reviewed Literature </w:t>
      </w:r>
    </w:p>
    <w:p w:rsidR="006E1D59" w:rsidRPr="00A80DF8" w:rsidRDefault="006E1D59" w:rsidP="006E1D59">
      <w:pPr>
        <w:spacing w:after="0" w:line="360" w:lineRule="auto"/>
        <w:ind w:firstLine="720"/>
        <w:rPr>
          <w:rFonts w:ascii="Times New Roman" w:hAnsi="Times New Roman" w:cs="Times New Roman"/>
          <w:sz w:val="24"/>
          <w:szCs w:val="24"/>
        </w:rPr>
      </w:pPr>
      <w:r w:rsidRPr="00A80DF8">
        <w:rPr>
          <w:rFonts w:ascii="Times New Roman" w:hAnsi="Times New Roman" w:cs="Times New Roman"/>
          <w:sz w:val="24"/>
          <w:szCs w:val="24"/>
        </w:rPr>
        <w:t>Search strategy.</w:t>
      </w:r>
      <w:r w:rsidRPr="00A80DF8">
        <w:rPr>
          <w:rFonts w:ascii="Times New Roman" w:hAnsi="Times New Roman" w:cs="Times New Roman"/>
          <w:b/>
          <w:sz w:val="24"/>
          <w:szCs w:val="24"/>
        </w:rPr>
        <w:t xml:space="preserve"> </w:t>
      </w:r>
      <w:r w:rsidRPr="00A80DF8">
        <w:rPr>
          <w:rFonts w:ascii="Times New Roman" w:hAnsi="Times New Roman" w:cs="Times New Roman"/>
          <w:sz w:val="24"/>
          <w:szCs w:val="24"/>
        </w:rPr>
        <w:t>Using the principles of the Preferred Reporting Items for Systematic Reviews and Meta-Analyses (PRISMA) (</w:t>
      </w:r>
      <w:proofErr w:type="spellStart"/>
      <w:r w:rsidRPr="00A80DF8">
        <w:rPr>
          <w:rFonts w:ascii="Times New Roman" w:hAnsi="Times New Roman" w:cs="Times New Roman"/>
          <w:sz w:val="24"/>
          <w:szCs w:val="24"/>
        </w:rPr>
        <w:t>Moher</w:t>
      </w:r>
      <w:proofErr w:type="spellEnd"/>
      <w:r w:rsidRPr="00A80DF8">
        <w:rPr>
          <w:rFonts w:ascii="Times New Roman" w:hAnsi="Times New Roman" w:cs="Times New Roman"/>
          <w:sz w:val="24"/>
          <w:szCs w:val="24"/>
        </w:rPr>
        <w:t xml:space="preserve"> et al., 2009), a search was conducted for peer-reviewed literature containing future of work scenarios. To draw from a variety of disciplines, searches were conducted using ABI-Inform, Business Source Complete, </w:t>
      </w:r>
      <w:proofErr w:type="spellStart"/>
      <w:r w:rsidRPr="00A80DF8">
        <w:rPr>
          <w:rFonts w:ascii="Times New Roman" w:hAnsi="Times New Roman" w:cs="Times New Roman"/>
          <w:sz w:val="24"/>
          <w:szCs w:val="24"/>
        </w:rPr>
        <w:t>EconLit</w:t>
      </w:r>
      <w:proofErr w:type="spellEnd"/>
      <w:r w:rsidRPr="00A80DF8">
        <w:rPr>
          <w:rFonts w:ascii="Times New Roman" w:hAnsi="Times New Roman" w:cs="Times New Roman"/>
          <w:sz w:val="24"/>
          <w:szCs w:val="24"/>
        </w:rPr>
        <w:t xml:space="preserve">, </w:t>
      </w:r>
      <w:proofErr w:type="spellStart"/>
      <w:r w:rsidRPr="00A80DF8">
        <w:rPr>
          <w:rFonts w:ascii="Times New Roman" w:hAnsi="Times New Roman" w:cs="Times New Roman"/>
          <w:sz w:val="24"/>
          <w:szCs w:val="24"/>
        </w:rPr>
        <w:t>Embase</w:t>
      </w:r>
      <w:proofErr w:type="spellEnd"/>
      <w:r w:rsidRPr="00A80DF8">
        <w:rPr>
          <w:rFonts w:ascii="Times New Roman" w:hAnsi="Times New Roman" w:cs="Times New Roman"/>
          <w:sz w:val="24"/>
          <w:szCs w:val="24"/>
        </w:rPr>
        <w:t xml:space="preserve">, Ovid, Public Health Database, </w:t>
      </w:r>
      <w:proofErr w:type="spellStart"/>
      <w:r w:rsidRPr="00A80DF8">
        <w:rPr>
          <w:rFonts w:ascii="Times New Roman" w:hAnsi="Times New Roman" w:cs="Times New Roman"/>
          <w:sz w:val="24"/>
          <w:szCs w:val="24"/>
        </w:rPr>
        <w:t>PubMed</w:t>
      </w:r>
      <w:proofErr w:type="spellEnd"/>
      <w:r w:rsidRPr="00A80DF8">
        <w:rPr>
          <w:rFonts w:ascii="Times New Roman" w:hAnsi="Times New Roman" w:cs="Times New Roman"/>
          <w:sz w:val="24"/>
          <w:szCs w:val="24"/>
        </w:rPr>
        <w:t xml:space="preserve">, </w:t>
      </w:r>
      <w:proofErr w:type="spellStart"/>
      <w:r w:rsidRPr="00A80DF8">
        <w:rPr>
          <w:rFonts w:ascii="Times New Roman" w:hAnsi="Times New Roman" w:cs="Times New Roman"/>
          <w:sz w:val="24"/>
          <w:szCs w:val="24"/>
        </w:rPr>
        <w:t>PsychINFO</w:t>
      </w:r>
      <w:proofErr w:type="spellEnd"/>
      <w:r w:rsidRPr="00A80DF8">
        <w:rPr>
          <w:rFonts w:ascii="Times New Roman" w:hAnsi="Times New Roman" w:cs="Times New Roman"/>
          <w:sz w:val="24"/>
          <w:szCs w:val="24"/>
        </w:rPr>
        <w:t>, SCOPUS, Social Sciences Database, and Sociological Abstracts. The inclusion criteria required a reference be published in English from 1999 to 2019 and contain in either its title or abstract at least one key term from the authors’ future of work and worker well-being lists (see Appendix I). After removing duplicates, the search yielded 1,202 records for screening (see Figure 1).</w:t>
      </w:r>
    </w:p>
    <w:p w:rsidR="006E1D59" w:rsidRPr="00A80DF8" w:rsidRDefault="006E1D59" w:rsidP="006E1D59">
      <w:pPr>
        <w:spacing w:after="0" w:line="360" w:lineRule="auto"/>
        <w:ind w:firstLine="720"/>
        <w:rPr>
          <w:rFonts w:ascii="Times New Roman" w:hAnsi="Times New Roman" w:cs="Times New Roman"/>
          <w:sz w:val="24"/>
          <w:szCs w:val="24"/>
        </w:rPr>
      </w:pPr>
      <w:r w:rsidRPr="00A80DF8">
        <w:rPr>
          <w:rFonts w:ascii="Times New Roman" w:hAnsi="Times New Roman" w:cs="Times New Roman"/>
          <w:sz w:val="24"/>
          <w:szCs w:val="24"/>
        </w:rPr>
        <w:t>Screening for inclusion.</w:t>
      </w:r>
      <w:r w:rsidRPr="00A80DF8">
        <w:rPr>
          <w:rFonts w:ascii="Times New Roman" w:hAnsi="Times New Roman" w:cs="Times New Roman"/>
          <w:b/>
          <w:sz w:val="24"/>
          <w:szCs w:val="24"/>
        </w:rPr>
        <w:t xml:space="preserve"> </w:t>
      </w:r>
      <w:r w:rsidRPr="00A80DF8">
        <w:rPr>
          <w:rFonts w:ascii="Times New Roman" w:hAnsi="Times New Roman" w:cs="Times New Roman"/>
          <w:sz w:val="24"/>
          <w:szCs w:val="24"/>
        </w:rPr>
        <w:t>To screen records for study relevance, the authors began with an automated scan for key terms in recorded titles. A record was kept when its title contained all the salient words from at least one key term in Appendix I, regardless of word order (e.g., positive hits for a ‘future and work’ scan included ‘future of work,’ ‘work in the future,’ ‘future workers,’ etc.). Then, abstracts of the 504 retained records were reviewed against five criteria: 1) mentions work at the categorical or task level (</w:t>
      </w:r>
      <w:r w:rsidRPr="00A80DF8">
        <w:rPr>
          <w:rFonts w:ascii="Times New Roman" w:hAnsi="Times New Roman" w:cs="Times New Roman"/>
          <w:i/>
          <w:sz w:val="24"/>
          <w:szCs w:val="24"/>
        </w:rPr>
        <w:t>yes, no, unclear</w:t>
      </w:r>
      <w:r w:rsidRPr="00A80DF8">
        <w:rPr>
          <w:rFonts w:ascii="Times New Roman" w:hAnsi="Times New Roman" w:cs="Times New Roman"/>
          <w:sz w:val="24"/>
          <w:szCs w:val="24"/>
        </w:rPr>
        <w:t>); 2) talks about job creation or destruction (</w:t>
      </w:r>
      <w:r w:rsidRPr="00A80DF8">
        <w:rPr>
          <w:rFonts w:ascii="Times New Roman" w:hAnsi="Times New Roman" w:cs="Times New Roman"/>
          <w:i/>
          <w:sz w:val="24"/>
          <w:szCs w:val="24"/>
        </w:rPr>
        <w:t>yes, no, unclear</w:t>
      </w:r>
      <w:r w:rsidRPr="00A80DF8">
        <w:rPr>
          <w:rFonts w:ascii="Times New Roman" w:hAnsi="Times New Roman" w:cs="Times New Roman"/>
          <w:sz w:val="24"/>
          <w:szCs w:val="24"/>
        </w:rPr>
        <w:t>); 3) identifies one or more work-related hazards or risks (</w:t>
      </w:r>
      <w:r w:rsidRPr="00A80DF8">
        <w:rPr>
          <w:rFonts w:ascii="Times New Roman" w:hAnsi="Times New Roman" w:cs="Times New Roman"/>
          <w:i/>
          <w:sz w:val="24"/>
          <w:szCs w:val="24"/>
        </w:rPr>
        <w:t>yes, no, unclear</w:t>
      </w:r>
      <w:r w:rsidRPr="00A80DF8">
        <w:rPr>
          <w:rFonts w:ascii="Times New Roman" w:hAnsi="Times New Roman" w:cs="Times New Roman"/>
          <w:sz w:val="24"/>
          <w:szCs w:val="24"/>
        </w:rPr>
        <w:t>); 4) includes one or more scenarios that describe the future (</w:t>
      </w:r>
      <w:r w:rsidRPr="00A80DF8">
        <w:rPr>
          <w:rFonts w:ascii="Times New Roman" w:hAnsi="Times New Roman" w:cs="Times New Roman"/>
          <w:i/>
          <w:sz w:val="24"/>
          <w:szCs w:val="24"/>
        </w:rPr>
        <w:t>yes, no, unclear</w:t>
      </w:r>
      <w:r w:rsidRPr="00A80DF8">
        <w:rPr>
          <w:rFonts w:ascii="Times New Roman" w:hAnsi="Times New Roman" w:cs="Times New Roman"/>
          <w:sz w:val="24"/>
          <w:szCs w:val="24"/>
        </w:rPr>
        <w:t xml:space="preserve">); and 5) likelihood that the described future will occur (five-point scale, where 1 = </w:t>
      </w:r>
      <w:r w:rsidRPr="00A80DF8">
        <w:rPr>
          <w:rFonts w:ascii="Times New Roman" w:hAnsi="Times New Roman" w:cs="Times New Roman"/>
          <w:i/>
          <w:sz w:val="24"/>
          <w:szCs w:val="24"/>
        </w:rPr>
        <w:t>almost certain not to occur</w:t>
      </w:r>
      <w:r w:rsidRPr="00A80DF8">
        <w:rPr>
          <w:rFonts w:ascii="Times New Roman" w:hAnsi="Times New Roman" w:cs="Times New Roman"/>
          <w:sz w:val="24"/>
          <w:szCs w:val="24"/>
        </w:rPr>
        <w:t xml:space="preserve"> and 5 = </w:t>
      </w:r>
      <w:r w:rsidRPr="00A80DF8">
        <w:rPr>
          <w:rFonts w:ascii="Times New Roman" w:hAnsi="Times New Roman" w:cs="Times New Roman"/>
          <w:i/>
          <w:sz w:val="24"/>
          <w:szCs w:val="24"/>
        </w:rPr>
        <w:t>has already occurred or is occurring now</w:t>
      </w:r>
      <w:r w:rsidRPr="00A80DF8">
        <w:rPr>
          <w:rFonts w:ascii="Times New Roman" w:hAnsi="Times New Roman" w:cs="Times New Roman"/>
          <w:sz w:val="24"/>
          <w:szCs w:val="24"/>
        </w:rPr>
        <w:t xml:space="preserve">; plus </w:t>
      </w:r>
      <w:r w:rsidRPr="00A80DF8">
        <w:rPr>
          <w:rFonts w:ascii="Times New Roman" w:hAnsi="Times New Roman" w:cs="Times New Roman"/>
          <w:i/>
          <w:sz w:val="24"/>
          <w:szCs w:val="24"/>
        </w:rPr>
        <w:t>unable to determine</w:t>
      </w:r>
      <w:r w:rsidRPr="00A80DF8">
        <w:rPr>
          <w:rFonts w:ascii="Times New Roman" w:hAnsi="Times New Roman" w:cs="Times New Roman"/>
          <w:sz w:val="24"/>
          <w:szCs w:val="24"/>
        </w:rPr>
        <w:t xml:space="preserve"> or </w:t>
      </w:r>
      <w:r w:rsidRPr="00A80DF8">
        <w:rPr>
          <w:rFonts w:ascii="Times New Roman" w:hAnsi="Times New Roman" w:cs="Times New Roman"/>
          <w:i/>
          <w:sz w:val="24"/>
          <w:szCs w:val="24"/>
        </w:rPr>
        <w:t>not applicable</w:t>
      </w:r>
      <w:r w:rsidRPr="00A80DF8">
        <w:rPr>
          <w:rFonts w:ascii="Times New Roman" w:hAnsi="Times New Roman" w:cs="Times New Roman"/>
          <w:sz w:val="24"/>
          <w:szCs w:val="24"/>
        </w:rPr>
        <w:t>). These criteria were used to formulate an overall project relevance determination for each record (</w:t>
      </w:r>
      <w:r w:rsidRPr="00A80DF8">
        <w:rPr>
          <w:rFonts w:ascii="Times New Roman" w:hAnsi="Times New Roman" w:cs="Times New Roman"/>
          <w:i/>
          <w:sz w:val="24"/>
          <w:szCs w:val="24"/>
        </w:rPr>
        <w:t>not relevant, relevant, unclear</w:t>
      </w:r>
      <w:r w:rsidRPr="00A80DF8">
        <w:rPr>
          <w:rFonts w:ascii="Times New Roman" w:hAnsi="Times New Roman" w:cs="Times New Roman"/>
          <w:sz w:val="24"/>
          <w:szCs w:val="24"/>
        </w:rPr>
        <w:t>). Next, 192 records deemed relevant or unclear were filtered using two additional criteria. First, given that futurists frequently focus on time horizons of 10 years or less, any predictions made pre-2009 would very likely define a ‘future’ state for a period already considered the past at the time this study was conducted. Therefore, the publication window of interest was refined to 2009 or later. Second, the authors retained only records that mentioned work at the categorical- or task-level to facilitate a clear assessment of job risks and hazards. This yielded 116 articles eligible for full-text review.</w:t>
      </w:r>
    </w:p>
    <w:p w:rsidR="006E1D59" w:rsidRPr="00A80DF8" w:rsidRDefault="006E1D59" w:rsidP="006E1D59">
      <w:pPr>
        <w:spacing w:after="0" w:line="360" w:lineRule="auto"/>
        <w:ind w:firstLine="720"/>
        <w:rPr>
          <w:rFonts w:ascii="Times New Roman" w:hAnsi="Times New Roman" w:cs="Times New Roman"/>
          <w:sz w:val="24"/>
          <w:szCs w:val="24"/>
        </w:rPr>
      </w:pPr>
      <w:r w:rsidRPr="00A80DF8">
        <w:rPr>
          <w:rFonts w:ascii="Times New Roman" w:hAnsi="Times New Roman" w:cs="Times New Roman"/>
          <w:sz w:val="24"/>
          <w:szCs w:val="24"/>
        </w:rPr>
        <w:t>Critical review and assessment. Full-text articles that were not available in English (</w:t>
      </w:r>
      <w:r w:rsidRPr="00A80DF8">
        <w:rPr>
          <w:rFonts w:ascii="Times New Roman" w:hAnsi="Times New Roman" w:cs="Times New Roman"/>
          <w:i/>
          <w:sz w:val="24"/>
          <w:szCs w:val="24"/>
        </w:rPr>
        <w:t xml:space="preserve">N </w:t>
      </w:r>
      <w:r w:rsidRPr="00A80DF8">
        <w:rPr>
          <w:rFonts w:ascii="Times New Roman" w:hAnsi="Times New Roman" w:cs="Times New Roman"/>
          <w:sz w:val="24"/>
          <w:szCs w:val="24"/>
        </w:rPr>
        <w:t>= 5) or not published in a peer-reviewed source (</w:t>
      </w:r>
      <w:r w:rsidRPr="00A80DF8">
        <w:rPr>
          <w:rFonts w:ascii="Times New Roman" w:hAnsi="Times New Roman" w:cs="Times New Roman"/>
          <w:i/>
          <w:sz w:val="24"/>
          <w:szCs w:val="24"/>
        </w:rPr>
        <w:t>N</w:t>
      </w:r>
      <w:r w:rsidRPr="00A80DF8">
        <w:rPr>
          <w:rFonts w:ascii="Times New Roman" w:hAnsi="Times New Roman" w:cs="Times New Roman"/>
          <w:sz w:val="24"/>
          <w:szCs w:val="24"/>
        </w:rPr>
        <w:t xml:space="preserve"> = 30) were immediately excluded. The eight </w:t>
      </w:r>
      <w:r w:rsidRPr="00A80DF8">
        <w:rPr>
          <w:rFonts w:ascii="Times New Roman" w:hAnsi="Times New Roman" w:cs="Times New Roman"/>
          <w:sz w:val="24"/>
          <w:szCs w:val="24"/>
        </w:rPr>
        <w:lastRenderedPageBreak/>
        <w:t>study authors worked in pairs to review the remaining full-text articles, first determining whether an assigned article satisfied this review’s operational definition of work scenario: a product (i.e., piece of writing) that either “describes some possible future state or tells the story of how such a state might come about” (Bishop et al., 2007 p.8). When an article satisfied the scenario definition, the reviewer pair used the following prompts to complete a full assessment of the text:</w:t>
      </w:r>
    </w:p>
    <w:tbl>
      <w:tblPr>
        <w:tblStyle w:val="GridTable1LightAccent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gridCol w:w="6210"/>
      </w:tblGrid>
      <w:tr w:rsidR="006E1D59" w:rsidRPr="00A80DF8" w:rsidTr="00E43161">
        <w:trPr>
          <w:cnfStyle w:val="100000000000"/>
        </w:trPr>
        <w:tc>
          <w:tcPr>
            <w:cnfStyle w:val="001000000000"/>
            <w:tcW w:w="3150" w:type="dxa"/>
            <w:tcBorders>
              <w:top w:val="single" w:sz="4" w:space="0" w:color="auto"/>
              <w:bottom w:val="single" w:sz="4" w:space="0" w:color="auto"/>
              <w:right w:val="single" w:sz="4" w:space="0" w:color="auto"/>
            </w:tcBorders>
          </w:tcPr>
          <w:p w:rsidR="006E1D59" w:rsidRPr="00A80DF8" w:rsidRDefault="006E1D59" w:rsidP="00E43161">
            <w:pPr>
              <w:rPr>
                <w:rFonts w:ascii="Times New Roman" w:hAnsi="Times New Roman" w:cs="Times New Roman"/>
                <w:b w:val="0"/>
                <w:sz w:val="24"/>
                <w:szCs w:val="24"/>
              </w:rPr>
            </w:pPr>
            <w:r w:rsidRPr="00A80DF8">
              <w:rPr>
                <w:rFonts w:ascii="Times New Roman" w:hAnsi="Times New Roman" w:cs="Times New Roman"/>
                <w:b w:val="0"/>
                <w:sz w:val="24"/>
                <w:szCs w:val="24"/>
              </w:rPr>
              <w:t>Anticipated scenario attributes</w:t>
            </w:r>
          </w:p>
        </w:tc>
        <w:tc>
          <w:tcPr>
            <w:tcW w:w="6210" w:type="dxa"/>
            <w:tcBorders>
              <w:top w:val="single" w:sz="4" w:space="0" w:color="auto"/>
              <w:left w:val="single" w:sz="4" w:space="0" w:color="auto"/>
              <w:bottom w:val="single" w:sz="4" w:space="0" w:color="auto"/>
            </w:tcBorders>
          </w:tcPr>
          <w:p w:rsidR="006E1D59" w:rsidRPr="00A80DF8" w:rsidRDefault="006E1D59" w:rsidP="00E43161">
            <w:pPr>
              <w:cnfStyle w:val="100000000000"/>
              <w:rPr>
                <w:rFonts w:ascii="Times New Roman" w:hAnsi="Times New Roman" w:cs="Times New Roman"/>
                <w:b w:val="0"/>
                <w:sz w:val="24"/>
                <w:szCs w:val="24"/>
              </w:rPr>
            </w:pPr>
            <w:r w:rsidRPr="00A80DF8">
              <w:rPr>
                <w:rFonts w:ascii="Times New Roman" w:hAnsi="Times New Roman" w:cs="Times New Roman"/>
                <w:b w:val="0"/>
                <w:sz w:val="24"/>
                <w:szCs w:val="24"/>
              </w:rPr>
              <w:t>Response Options</w:t>
            </w:r>
          </w:p>
        </w:tc>
      </w:tr>
      <w:tr w:rsidR="006E1D59" w:rsidRPr="00A80DF8" w:rsidTr="00E43161">
        <w:tc>
          <w:tcPr>
            <w:cnfStyle w:val="001000000000"/>
            <w:tcW w:w="3150" w:type="dxa"/>
            <w:tcBorders>
              <w:top w:val="single"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 xml:space="preserve">Industry sector(s) affected by the scenario </w:t>
            </w:r>
          </w:p>
          <w:p w:rsidR="006E1D59" w:rsidRPr="00A80DF8" w:rsidRDefault="006E1D59" w:rsidP="00E43161">
            <w:pPr>
              <w:pStyle w:val="ListParagraph"/>
              <w:ind w:left="345"/>
              <w:rPr>
                <w:rFonts w:ascii="Times New Roman" w:hAnsi="Times New Roman" w:cs="Times New Roman"/>
                <w:b w:val="0"/>
                <w:sz w:val="24"/>
                <w:szCs w:val="24"/>
              </w:rPr>
            </w:pPr>
            <w:r w:rsidRPr="00A80DF8">
              <w:rPr>
                <w:rFonts w:ascii="Times New Roman" w:hAnsi="Times New Roman" w:cs="Times New Roman"/>
                <w:b w:val="0"/>
                <w:sz w:val="24"/>
                <w:szCs w:val="24"/>
              </w:rPr>
              <w:t>[select all that apply]</w:t>
            </w:r>
          </w:p>
        </w:tc>
        <w:tc>
          <w:tcPr>
            <w:tcW w:w="6210" w:type="dxa"/>
            <w:tcBorders>
              <w:top w:val="single"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Agriculture/Forestry/Fishing; Construction; Healthcare/Social Assistance; Manufacturing; Mining; Oil and Gas Extraction; Public Safety; Services; Transportation, Warehousing, and Utilities; Wholesale and Retail Trade; all sectors</w:t>
            </w:r>
          </w:p>
        </w:tc>
      </w:tr>
      <w:tr w:rsidR="006E1D59" w:rsidRPr="00A80DF8" w:rsidTr="00E43161">
        <w:tc>
          <w:tcPr>
            <w:cnfStyle w:val="001000000000"/>
            <w:tcW w:w="3150" w:type="dxa"/>
            <w:tcBorders>
              <w:top w:val="dashSmallGap"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Basis for the scenario</w:t>
            </w:r>
          </w:p>
        </w:tc>
        <w:tc>
          <w:tcPr>
            <w:tcW w:w="6210" w:type="dxa"/>
            <w:tcBorders>
              <w:top w:val="dashSmallGap"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Conjecture only, data only, both conjecture and data, other [specify]</w:t>
            </w:r>
          </w:p>
        </w:tc>
      </w:tr>
      <w:tr w:rsidR="006E1D59" w:rsidRPr="00A80DF8" w:rsidTr="00E43161">
        <w:tc>
          <w:tcPr>
            <w:cnfStyle w:val="001000000000"/>
            <w:tcW w:w="3150" w:type="dxa"/>
            <w:tcBorders>
              <w:top w:val="dashSmallGap"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 xml:space="preserve">Specificity </w:t>
            </w:r>
          </w:p>
        </w:tc>
        <w:tc>
          <w:tcPr>
            <w:tcW w:w="6210" w:type="dxa"/>
            <w:tcBorders>
              <w:top w:val="dashSmallGap"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General to all work, specific to a workplace, set of work tasks, or segment of the workforce</w:t>
            </w:r>
          </w:p>
        </w:tc>
      </w:tr>
      <w:tr w:rsidR="006E1D59" w:rsidRPr="00A80DF8" w:rsidTr="00E43161">
        <w:tc>
          <w:tcPr>
            <w:cnfStyle w:val="001000000000"/>
            <w:tcW w:w="3150" w:type="dxa"/>
            <w:tcBorders>
              <w:top w:val="dashSmallGap"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Likelihood of occurrence</w:t>
            </w:r>
          </w:p>
        </w:tc>
        <w:tc>
          <w:tcPr>
            <w:tcW w:w="6210" w:type="dxa"/>
            <w:tcBorders>
              <w:top w:val="dashSmallGap"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Almost certain not to occur, not likely to occur, has already occurred or is occurring now, likely to occur, almost certain to occur</w:t>
            </w:r>
          </w:p>
        </w:tc>
      </w:tr>
      <w:tr w:rsidR="006E1D59" w:rsidRPr="00A80DF8" w:rsidTr="00E43161">
        <w:tc>
          <w:tcPr>
            <w:cnfStyle w:val="001000000000"/>
            <w:tcW w:w="3150" w:type="dxa"/>
            <w:tcBorders>
              <w:top w:val="dashSmallGap"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Timeframe of occurrence, from article publication date</w:t>
            </w:r>
          </w:p>
        </w:tc>
        <w:tc>
          <w:tcPr>
            <w:tcW w:w="6210" w:type="dxa"/>
            <w:tcBorders>
              <w:top w:val="dashSmallGap"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0-3 years, 4-10 years, 11-20 years, 21+ years, timeframe not provided and cannot be reasonably inferred</w:t>
            </w:r>
          </w:p>
        </w:tc>
      </w:tr>
      <w:tr w:rsidR="006E1D59" w:rsidRPr="00A80DF8" w:rsidTr="00E43161">
        <w:tc>
          <w:tcPr>
            <w:cnfStyle w:val="001000000000"/>
            <w:tcW w:w="3150" w:type="dxa"/>
            <w:tcBorders>
              <w:top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 xml:space="preserve">Physical risks or hazards </w:t>
            </w:r>
          </w:p>
        </w:tc>
        <w:tc>
          <w:tcPr>
            <w:tcW w:w="6210" w:type="dxa"/>
            <w:vMerge w:val="restart"/>
            <w:tcBorders>
              <w:top w:val="dashSmallGap" w:sz="4" w:space="0" w:color="auto"/>
              <w:left w:val="single" w:sz="4" w:space="0" w:color="auto"/>
            </w:tcBorders>
            <w:vAlign w:val="center"/>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None, mitigation of known risk hazard (RH), exacerbation of known RH, creation of new RH, mitigation of known RH and creation of new RH, exacerbation of known RH and creation of new RH</w:t>
            </w:r>
          </w:p>
        </w:tc>
      </w:tr>
      <w:tr w:rsidR="006E1D59" w:rsidRPr="00A80DF8" w:rsidTr="00E43161">
        <w:tc>
          <w:tcPr>
            <w:cnfStyle w:val="001000000000"/>
            <w:tcW w:w="3150" w:type="dxa"/>
            <w:tcBorders>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 xml:space="preserve">Chemical risks or hazards </w:t>
            </w:r>
          </w:p>
        </w:tc>
        <w:tc>
          <w:tcPr>
            <w:tcW w:w="6210" w:type="dxa"/>
            <w:vMerge/>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p>
        </w:tc>
      </w:tr>
      <w:tr w:rsidR="006E1D59" w:rsidRPr="00A80DF8" w:rsidTr="00E43161">
        <w:tc>
          <w:tcPr>
            <w:cnfStyle w:val="001000000000"/>
            <w:tcW w:w="3150" w:type="dxa"/>
            <w:tcBorders>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 xml:space="preserve">Biological risks or hazards </w:t>
            </w:r>
          </w:p>
        </w:tc>
        <w:tc>
          <w:tcPr>
            <w:tcW w:w="6210" w:type="dxa"/>
            <w:vMerge/>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p>
        </w:tc>
      </w:tr>
      <w:tr w:rsidR="006E1D59" w:rsidRPr="00A80DF8" w:rsidTr="00E43161">
        <w:tc>
          <w:tcPr>
            <w:cnfStyle w:val="001000000000"/>
            <w:tcW w:w="3150" w:type="dxa"/>
            <w:tcBorders>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 xml:space="preserve">Psychosocial risks or hazards </w:t>
            </w:r>
          </w:p>
        </w:tc>
        <w:tc>
          <w:tcPr>
            <w:tcW w:w="6210" w:type="dxa"/>
            <w:vMerge/>
            <w:tcBorders>
              <w:left w:val="single" w:sz="4" w:space="0" w:color="auto"/>
            </w:tcBorders>
          </w:tcPr>
          <w:p w:rsidR="006E1D59" w:rsidRPr="00A80DF8" w:rsidRDefault="006E1D59" w:rsidP="00E43161">
            <w:pPr>
              <w:cnfStyle w:val="000000000000"/>
              <w:rPr>
                <w:rFonts w:ascii="Times New Roman" w:hAnsi="Times New Roman" w:cs="Times New Roman"/>
                <w:sz w:val="24"/>
                <w:szCs w:val="24"/>
              </w:rPr>
            </w:pPr>
          </w:p>
        </w:tc>
      </w:tr>
      <w:tr w:rsidR="006E1D59" w:rsidRPr="00A80DF8" w:rsidTr="00E43161">
        <w:tc>
          <w:tcPr>
            <w:cnfStyle w:val="001000000000"/>
            <w:tcW w:w="3150" w:type="dxa"/>
            <w:tcBorders>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Changes to the way work will be performed</w:t>
            </w:r>
          </w:p>
        </w:tc>
        <w:tc>
          <w:tcPr>
            <w:tcW w:w="6210" w:type="dxa"/>
            <w:vMerge/>
            <w:tcBorders>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p>
        </w:tc>
      </w:tr>
      <w:tr w:rsidR="006E1D59" w:rsidRPr="00A80DF8" w:rsidTr="00E43161">
        <w:tc>
          <w:tcPr>
            <w:cnfStyle w:val="001000000000"/>
            <w:tcW w:w="3150" w:type="dxa"/>
            <w:tcBorders>
              <w:top w:val="dashSmallGap"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Adverse health effects</w:t>
            </w:r>
          </w:p>
        </w:tc>
        <w:tc>
          <w:tcPr>
            <w:tcW w:w="6210" w:type="dxa"/>
            <w:tcBorders>
              <w:top w:val="dashSmallGap"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None, increased injuries, increased illnesses, increased injuries and illnesses</w:t>
            </w:r>
          </w:p>
        </w:tc>
      </w:tr>
      <w:tr w:rsidR="006E1D59" w:rsidRPr="00A80DF8" w:rsidTr="00E43161">
        <w:tc>
          <w:tcPr>
            <w:cnfStyle w:val="001000000000"/>
            <w:tcW w:w="3150" w:type="dxa"/>
            <w:tcBorders>
              <w:top w:val="dashSmallGap" w:sz="4" w:space="0" w:color="auto"/>
              <w:bottom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Economic effects</w:t>
            </w:r>
          </w:p>
        </w:tc>
        <w:tc>
          <w:tcPr>
            <w:tcW w:w="6210" w:type="dxa"/>
            <w:tcBorders>
              <w:top w:val="dashSmallGap" w:sz="4" w:space="0" w:color="auto"/>
              <w:left w:val="single" w:sz="4" w:space="0" w:color="auto"/>
              <w:bottom w:val="dashSmallGap" w:sz="4" w:space="0" w:color="auto"/>
            </w:tcBorders>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None, individual level (e.g., income), organizational level (e.g., productivity, profit), market level (e.g., regulations, competitions, growth, inflation), multiple levels</w:t>
            </w:r>
          </w:p>
        </w:tc>
      </w:tr>
      <w:tr w:rsidR="006E1D59" w:rsidRPr="00A80DF8" w:rsidTr="00E43161">
        <w:tc>
          <w:tcPr>
            <w:cnfStyle w:val="001000000000"/>
            <w:tcW w:w="3150" w:type="dxa"/>
            <w:tcBorders>
              <w:top w:val="dashSmallGap"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Job displacement</w:t>
            </w:r>
          </w:p>
        </w:tc>
        <w:tc>
          <w:tcPr>
            <w:tcW w:w="6210" w:type="dxa"/>
            <w:vMerge w:val="restart"/>
            <w:tcBorders>
              <w:top w:val="dashSmallGap" w:sz="4" w:space="0" w:color="auto"/>
              <w:left w:val="single" w:sz="4" w:space="0" w:color="auto"/>
            </w:tcBorders>
            <w:vAlign w:val="center"/>
          </w:tcPr>
          <w:p w:rsidR="006E1D59" w:rsidRPr="00A80DF8" w:rsidRDefault="006E1D59" w:rsidP="00E43161">
            <w:pPr>
              <w:cnfStyle w:val="000000000000"/>
              <w:rPr>
                <w:rFonts w:ascii="Times New Roman" w:hAnsi="Times New Roman" w:cs="Times New Roman"/>
                <w:sz w:val="24"/>
                <w:szCs w:val="24"/>
              </w:rPr>
            </w:pPr>
            <w:r w:rsidRPr="00A80DF8">
              <w:rPr>
                <w:rFonts w:ascii="Times New Roman" w:hAnsi="Times New Roman" w:cs="Times New Roman"/>
                <w:sz w:val="24"/>
                <w:szCs w:val="24"/>
              </w:rPr>
              <w:t>No, yes</w:t>
            </w:r>
          </w:p>
        </w:tc>
      </w:tr>
      <w:tr w:rsidR="006E1D59" w:rsidRPr="00A80DF8" w:rsidTr="00E43161">
        <w:tc>
          <w:tcPr>
            <w:cnfStyle w:val="001000000000"/>
            <w:tcW w:w="3150" w:type="dxa"/>
            <w:tcBorders>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Occupational polarization</w:t>
            </w:r>
          </w:p>
        </w:tc>
        <w:tc>
          <w:tcPr>
            <w:tcW w:w="6210" w:type="dxa"/>
            <w:vMerge/>
            <w:tcBorders>
              <w:left w:val="single" w:sz="4" w:space="0" w:color="auto"/>
            </w:tcBorders>
          </w:tcPr>
          <w:p w:rsidR="006E1D59" w:rsidRPr="00A80DF8" w:rsidRDefault="006E1D59" w:rsidP="00E43161">
            <w:pPr>
              <w:spacing w:line="360" w:lineRule="auto"/>
              <w:ind w:left="252" w:hanging="252"/>
              <w:cnfStyle w:val="000000000000"/>
              <w:rPr>
                <w:rFonts w:ascii="Times New Roman" w:hAnsi="Times New Roman" w:cs="Times New Roman"/>
                <w:i/>
                <w:sz w:val="24"/>
                <w:szCs w:val="24"/>
              </w:rPr>
            </w:pPr>
          </w:p>
        </w:tc>
      </w:tr>
      <w:tr w:rsidR="006E1D59" w:rsidRPr="00A80DF8" w:rsidTr="00E43161">
        <w:tc>
          <w:tcPr>
            <w:cnfStyle w:val="001000000000"/>
            <w:tcW w:w="3150" w:type="dxa"/>
            <w:tcBorders>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Skills gap</w:t>
            </w:r>
          </w:p>
        </w:tc>
        <w:tc>
          <w:tcPr>
            <w:tcW w:w="6210" w:type="dxa"/>
            <w:vMerge/>
            <w:tcBorders>
              <w:left w:val="single" w:sz="4" w:space="0" w:color="auto"/>
            </w:tcBorders>
          </w:tcPr>
          <w:p w:rsidR="006E1D59" w:rsidRPr="00A80DF8" w:rsidRDefault="006E1D59" w:rsidP="00E43161">
            <w:pPr>
              <w:spacing w:line="360" w:lineRule="auto"/>
              <w:ind w:left="252" w:hanging="252"/>
              <w:cnfStyle w:val="000000000000"/>
              <w:rPr>
                <w:rFonts w:ascii="Times New Roman" w:hAnsi="Times New Roman" w:cs="Times New Roman"/>
                <w:i/>
                <w:sz w:val="24"/>
                <w:szCs w:val="24"/>
              </w:rPr>
            </w:pPr>
          </w:p>
        </w:tc>
      </w:tr>
      <w:tr w:rsidR="006E1D59" w:rsidRPr="00A80DF8" w:rsidTr="00E43161">
        <w:tc>
          <w:tcPr>
            <w:cnfStyle w:val="001000000000"/>
            <w:tcW w:w="3150" w:type="dxa"/>
            <w:tcBorders>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Certain groups will be disproportionately affected</w:t>
            </w:r>
          </w:p>
        </w:tc>
        <w:tc>
          <w:tcPr>
            <w:tcW w:w="6210" w:type="dxa"/>
            <w:vMerge/>
            <w:tcBorders>
              <w:left w:val="single" w:sz="4" w:space="0" w:color="auto"/>
            </w:tcBorders>
          </w:tcPr>
          <w:p w:rsidR="006E1D59" w:rsidRPr="00A80DF8" w:rsidRDefault="006E1D59" w:rsidP="00E43161">
            <w:pPr>
              <w:spacing w:line="360" w:lineRule="auto"/>
              <w:ind w:left="252" w:hanging="252"/>
              <w:cnfStyle w:val="000000000000"/>
              <w:rPr>
                <w:rFonts w:ascii="Times New Roman" w:hAnsi="Times New Roman" w:cs="Times New Roman"/>
                <w:i/>
                <w:sz w:val="24"/>
                <w:szCs w:val="24"/>
              </w:rPr>
            </w:pPr>
          </w:p>
        </w:tc>
      </w:tr>
      <w:tr w:rsidR="006E1D59" w:rsidRPr="00A80DF8" w:rsidTr="00E43161">
        <w:tc>
          <w:tcPr>
            <w:cnfStyle w:val="001000000000"/>
            <w:tcW w:w="3150" w:type="dxa"/>
            <w:tcBorders>
              <w:bottom w:val="single" w:sz="4" w:space="0" w:color="auto"/>
              <w:right w:val="single" w:sz="4" w:space="0" w:color="auto"/>
            </w:tcBorders>
          </w:tcPr>
          <w:p w:rsidR="006E1D59" w:rsidRPr="00A80DF8" w:rsidRDefault="006E1D59" w:rsidP="006E1D59">
            <w:pPr>
              <w:pStyle w:val="ListParagraph"/>
              <w:numPr>
                <w:ilvl w:val="0"/>
                <w:numId w:val="1"/>
              </w:numPr>
              <w:ind w:left="345"/>
              <w:rPr>
                <w:rFonts w:ascii="Times New Roman" w:hAnsi="Times New Roman" w:cs="Times New Roman"/>
                <w:b w:val="0"/>
                <w:sz w:val="24"/>
                <w:szCs w:val="24"/>
              </w:rPr>
            </w:pPr>
            <w:r w:rsidRPr="00A80DF8">
              <w:rPr>
                <w:rFonts w:ascii="Times New Roman" w:hAnsi="Times New Roman" w:cs="Times New Roman"/>
                <w:b w:val="0"/>
                <w:sz w:val="24"/>
                <w:szCs w:val="24"/>
              </w:rPr>
              <w:t>Scenario requires change to current OSH approaches</w:t>
            </w:r>
          </w:p>
        </w:tc>
        <w:tc>
          <w:tcPr>
            <w:tcW w:w="6210" w:type="dxa"/>
            <w:vMerge/>
            <w:tcBorders>
              <w:left w:val="single" w:sz="4" w:space="0" w:color="auto"/>
              <w:bottom w:val="single" w:sz="4" w:space="0" w:color="auto"/>
            </w:tcBorders>
          </w:tcPr>
          <w:p w:rsidR="006E1D59" w:rsidRPr="00A80DF8" w:rsidRDefault="006E1D59" w:rsidP="00E43161">
            <w:pPr>
              <w:spacing w:line="360" w:lineRule="auto"/>
              <w:ind w:left="252" w:hanging="252"/>
              <w:cnfStyle w:val="000000000000"/>
              <w:rPr>
                <w:rFonts w:ascii="Times New Roman" w:hAnsi="Times New Roman" w:cs="Times New Roman"/>
                <w:i/>
                <w:sz w:val="24"/>
                <w:szCs w:val="24"/>
              </w:rPr>
            </w:pPr>
          </w:p>
        </w:tc>
      </w:tr>
    </w:tbl>
    <w:p w:rsidR="006E1D59" w:rsidRPr="00A80DF8" w:rsidRDefault="006E1D59" w:rsidP="006E1D59">
      <w:pPr>
        <w:spacing w:after="0" w:line="360" w:lineRule="auto"/>
        <w:ind w:firstLine="720"/>
        <w:rPr>
          <w:rFonts w:ascii="Times New Roman" w:hAnsi="Times New Roman" w:cs="Times New Roman"/>
          <w:sz w:val="24"/>
          <w:szCs w:val="24"/>
        </w:rPr>
      </w:pPr>
    </w:p>
    <w:p w:rsidR="006E1D59" w:rsidRPr="00A80DF8" w:rsidRDefault="006E1D59" w:rsidP="006E1D59">
      <w:pPr>
        <w:spacing w:after="0" w:line="360" w:lineRule="auto"/>
        <w:rPr>
          <w:rFonts w:ascii="Times New Roman" w:hAnsi="Times New Roman" w:cs="Times New Roman"/>
          <w:b/>
          <w:sz w:val="24"/>
          <w:szCs w:val="24"/>
        </w:rPr>
      </w:pPr>
      <w:r w:rsidRPr="00A80DF8">
        <w:rPr>
          <w:rFonts w:ascii="Times New Roman" w:hAnsi="Times New Roman" w:cs="Times New Roman"/>
          <w:b/>
          <w:sz w:val="24"/>
          <w:szCs w:val="24"/>
        </w:rPr>
        <w:br w:type="page"/>
      </w:r>
    </w:p>
    <w:p w:rsidR="006E1D59" w:rsidRPr="00A80DF8" w:rsidRDefault="006E1D59" w:rsidP="006E1D59">
      <w:pPr>
        <w:spacing w:after="0" w:line="360" w:lineRule="auto"/>
        <w:jc w:val="center"/>
        <w:rPr>
          <w:rFonts w:ascii="Times New Roman" w:hAnsi="Times New Roman" w:cs="Times New Roman"/>
          <w:b/>
          <w:bCs/>
          <w:sz w:val="24"/>
          <w:szCs w:val="24"/>
        </w:rPr>
      </w:pPr>
      <w:r w:rsidRPr="00A80DF8">
        <w:rPr>
          <w:rFonts w:ascii="Times New Roman" w:hAnsi="Times New Roman" w:cs="Times New Roman"/>
          <w:b/>
          <w:bCs/>
          <w:sz w:val="24"/>
          <w:szCs w:val="24"/>
        </w:rPr>
        <w:lastRenderedPageBreak/>
        <w:t>Appendix III: Critical thematic issues in the future of work literature</w:t>
      </w:r>
    </w:p>
    <w:p w:rsidR="006E1D59" w:rsidRPr="00A80DF8" w:rsidRDefault="006E1D59" w:rsidP="006E1D59">
      <w:pPr>
        <w:spacing w:after="0" w:line="360" w:lineRule="auto"/>
        <w:rPr>
          <w:rFonts w:ascii="Times New Roman" w:hAnsi="Times New Roman" w:cs="Times New Roman"/>
          <w:b/>
          <w:bCs/>
          <w:sz w:val="24"/>
          <w:szCs w:val="24"/>
        </w:rPr>
      </w:pPr>
      <w:r w:rsidRPr="00A80DF8">
        <w:rPr>
          <w:rFonts w:ascii="Times New Roman" w:hAnsi="Times New Roman" w:cs="Times New Roman"/>
          <w:b/>
          <w:bCs/>
          <w:sz w:val="24"/>
          <w:szCs w:val="24"/>
        </w:rPr>
        <w:t>Technological Inevitability</w:t>
      </w:r>
    </w:p>
    <w:p w:rsidR="006E1D59" w:rsidRPr="00A80DF8" w:rsidRDefault="006E1D59" w:rsidP="006E1D59">
      <w:pPr>
        <w:spacing w:after="0" w:line="360" w:lineRule="auto"/>
        <w:ind w:firstLine="720"/>
        <w:rPr>
          <w:rFonts w:ascii="Times New Roman" w:hAnsi="Times New Roman" w:cs="Times New Roman"/>
          <w:sz w:val="24"/>
          <w:szCs w:val="24"/>
        </w:rPr>
      </w:pPr>
      <w:r w:rsidRPr="00A80DF8">
        <w:rPr>
          <w:rFonts w:ascii="Times New Roman" w:hAnsi="Times New Roman" w:cs="Times New Roman"/>
          <w:sz w:val="24"/>
          <w:szCs w:val="24"/>
        </w:rPr>
        <w:t xml:space="preserve">Much of the scientific and gray literature predicts that technology will continue to create an inevitable process of growth and development in society (Little, 2008). However, Winner (1998) suggests that “careful examination of how emerging technologies develop reveals not </w:t>
      </w:r>
      <w:r w:rsidRPr="00A80DF8">
        <w:rPr>
          <w:rFonts w:ascii="Times New Roman" w:hAnsi="Times New Roman" w:cs="Times New Roman"/>
          <w:i/>
          <w:sz w:val="24"/>
          <w:szCs w:val="24"/>
        </w:rPr>
        <w:t>forces</w:t>
      </w:r>
      <w:r w:rsidRPr="00A80DF8">
        <w:rPr>
          <w:rFonts w:ascii="Times New Roman" w:hAnsi="Times New Roman" w:cs="Times New Roman"/>
          <w:sz w:val="24"/>
          <w:szCs w:val="24"/>
        </w:rPr>
        <w:t xml:space="preserve"> or </w:t>
      </w:r>
      <w:r w:rsidRPr="00A80DF8">
        <w:rPr>
          <w:rFonts w:ascii="Times New Roman" w:hAnsi="Times New Roman" w:cs="Times New Roman"/>
          <w:i/>
          <w:sz w:val="24"/>
          <w:szCs w:val="24"/>
        </w:rPr>
        <w:t>laws</w:t>
      </w:r>
      <w:r w:rsidRPr="00A80DF8">
        <w:rPr>
          <w:rFonts w:ascii="Times New Roman" w:hAnsi="Times New Roman" w:cs="Times New Roman"/>
          <w:sz w:val="24"/>
          <w:szCs w:val="24"/>
        </w:rPr>
        <w:t xml:space="preserve"> but instead a panoply of social, cultural and political chaos.” Technological change is a sphere of contingency, negotiation, and conflict in which nothing is historically necessary (Winner, 1998). Supporting the social influence on technology, the ILO (2017a) strongly promoted the concept that social dialogue is key to shaping the future of work. Technology development has been characterized in a model that involves five long waves or surges since the initial Industrial Revolution. Each is about 50-60 years and follows an S-curve pattern on a graph of degree of technological revolution by time (Perez, 2002; Curry, 2015). </w:t>
      </w:r>
    </w:p>
    <w:p w:rsidR="006E1D59" w:rsidRPr="00A80DF8" w:rsidRDefault="006E1D59" w:rsidP="006E1D59">
      <w:pPr>
        <w:spacing w:after="0" w:line="360" w:lineRule="auto"/>
        <w:ind w:firstLine="720"/>
        <w:rPr>
          <w:rFonts w:ascii="Times New Roman" w:hAnsi="Times New Roman" w:cs="Times New Roman"/>
          <w:sz w:val="24"/>
          <w:szCs w:val="24"/>
        </w:rPr>
      </w:pPr>
      <w:r w:rsidRPr="00A80DF8">
        <w:rPr>
          <w:rFonts w:ascii="Times New Roman" w:hAnsi="Times New Roman" w:cs="Times New Roman"/>
          <w:sz w:val="24"/>
          <w:szCs w:val="24"/>
        </w:rPr>
        <w:t>Generally, there are two diverging portrayals in the literature of the future of work: utopian and dystopian. The utopian view is where technology is seen as revolutionizing the workplace and the dystopian view is one where technology hollows out factories and brings the end of work (Curry, 2015). The current anxiety about the future expressed in publications about jobs that can be computerized ignores the historic lesson that technological innovation has traditionally created more jobs than it has displaced, but typically only after a period of turbulent transition (</w:t>
      </w:r>
      <w:proofErr w:type="spellStart"/>
      <w:r w:rsidRPr="00A80DF8">
        <w:rPr>
          <w:rFonts w:ascii="Times New Roman" w:hAnsi="Times New Roman" w:cs="Times New Roman"/>
          <w:sz w:val="24"/>
          <w:szCs w:val="24"/>
        </w:rPr>
        <w:t>Autor</w:t>
      </w:r>
      <w:proofErr w:type="spellEnd"/>
      <w:r w:rsidRPr="00A80DF8">
        <w:rPr>
          <w:rFonts w:ascii="Times New Roman" w:hAnsi="Times New Roman" w:cs="Times New Roman"/>
          <w:sz w:val="24"/>
          <w:szCs w:val="24"/>
        </w:rPr>
        <w:t xml:space="preserve"> et al., 2015; Curry, 2015). The argument that technology leads to unemployment has been dismissed by economists as “the lump of labor fallacy.” This is the idea that there is a fixed amount of work to be done in the world, so any increase in the amount each worker produces reduces the number of jobs (Lemieux, 2014). In contrast, the divergent view is that technological progress helps workers and can complement them in various tasks, making work more valuable and important (Susskind and Susskind, 2015). </w:t>
      </w:r>
    </w:p>
    <w:p w:rsidR="006E1D59" w:rsidRPr="00A80DF8" w:rsidRDefault="006E1D59" w:rsidP="006E1D59">
      <w:pPr>
        <w:spacing w:after="0" w:line="360" w:lineRule="auto"/>
        <w:ind w:firstLine="720"/>
        <w:rPr>
          <w:rFonts w:ascii="Times New Roman" w:hAnsi="Times New Roman" w:cs="Times New Roman"/>
          <w:sz w:val="24"/>
          <w:szCs w:val="24"/>
        </w:rPr>
      </w:pPr>
      <w:r w:rsidRPr="00A80DF8">
        <w:rPr>
          <w:rFonts w:ascii="Times New Roman" w:hAnsi="Times New Roman" w:cs="Times New Roman"/>
          <w:sz w:val="24"/>
          <w:szCs w:val="24"/>
        </w:rPr>
        <w:t xml:space="preserve">There is a rich literature on the history and implication of fears due to technological unemployment and </w:t>
      </w:r>
      <w:proofErr w:type="spellStart"/>
      <w:r w:rsidRPr="00A80DF8">
        <w:rPr>
          <w:rFonts w:ascii="Times New Roman" w:hAnsi="Times New Roman" w:cs="Times New Roman"/>
          <w:sz w:val="24"/>
          <w:szCs w:val="24"/>
        </w:rPr>
        <w:t>catastrophism</w:t>
      </w:r>
      <w:proofErr w:type="spellEnd"/>
      <w:r w:rsidRPr="00A80DF8">
        <w:rPr>
          <w:rFonts w:ascii="Times New Roman" w:hAnsi="Times New Roman" w:cs="Times New Roman"/>
          <w:sz w:val="24"/>
          <w:szCs w:val="24"/>
        </w:rPr>
        <w:t xml:space="preserve"> (see </w:t>
      </w:r>
      <w:proofErr w:type="spellStart"/>
      <w:r w:rsidRPr="00A80DF8">
        <w:rPr>
          <w:rFonts w:ascii="Times New Roman" w:hAnsi="Times New Roman" w:cs="Times New Roman"/>
          <w:sz w:val="24"/>
          <w:szCs w:val="24"/>
        </w:rPr>
        <w:t>Mokyr</w:t>
      </w:r>
      <w:proofErr w:type="spellEnd"/>
      <w:r w:rsidRPr="00A80DF8">
        <w:rPr>
          <w:rFonts w:ascii="Times New Roman" w:hAnsi="Times New Roman" w:cs="Times New Roman"/>
          <w:sz w:val="24"/>
          <w:szCs w:val="24"/>
        </w:rPr>
        <w:t xml:space="preserve"> et al., 2015 for overview). Indeed, concerns about technology and joblessness have occurred quite often throughout history. The argument this time, however, is that it is different with machines acquiring human capabilities. Technology is considered by many commentators as a neutral inevitable force driving displacement of workers, though the future of technological growth is not inevitable but depends on the social and cultural matrix in which it occurs (</w:t>
      </w:r>
      <w:proofErr w:type="spellStart"/>
      <w:r w:rsidRPr="00A80DF8">
        <w:rPr>
          <w:rFonts w:ascii="Times New Roman" w:hAnsi="Times New Roman" w:cs="Times New Roman"/>
          <w:sz w:val="24"/>
          <w:szCs w:val="24"/>
        </w:rPr>
        <w:t>Wajcman</w:t>
      </w:r>
      <w:proofErr w:type="spellEnd"/>
      <w:r w:rsidRPr="00A80DF8">
        <w:rPr>
          <w:rFonts w:ascii="Times New Roman" w:hAnsi="Times New Roman" w:cs="Times New Roman"/>
          <w:sz w:val="24"/>
          <w:szCs w:val="24"/>
        </w:rPr>
        <w:t xml:space="preserve">, 2015). </w:t>
      </w:r>
      <w:proofErr w:type="spellStart"/>
      <w:r w:rsidRPr="00A80DF8">
        <w:rPr>
          <w:rFonts w:ascii="Times New Roman" w:hAnsi="Times New Roman" w:cs="Times New Roman"/>
          <w:sz w:val="24"/>
          <w:szCs w:val="24"/>
        </w:rPr>
        <w:t>Creticos</w:t>
      </w:r>
      <w:proofErr w:type="spellEnd"/>
      <w:r w:rsidRPr="00A80DF8">
        <w:rPr>
          <w:rFonts w:ascii="Times New Roman" w:hAnsi="Times New Roman" w:cs="Times New Roman"/>
          <w:sz w:val="24"/>
          <w:szCs w:val="24"/>
        </w:rPr>
        <w:t xml:space="preserve"> (2018) reported: “In reality, decisions on </w:t>
      </w:r>
      <w:r w:rsidRPr="00A80DF8">
        <w:rPr>
          <w:rFonts w:ascii="Times New Roman" w:hAnsi="Times New Roman" w:cs="Times New Roman"/>
          <w:sz w:val="24"/>
          <w:szCs w:val="24"/>
        </w:rPr>
        <w:lastRenderedPageBreak/>
        <w:t>what and how new technologies are deployed are made by company executives and their boards of directors—not machines. These uses may range from technologies that augment human effects to those that replace workers outright.”</w:t>
      </w:r>
    </w:p>
    <w:p w:rsidR="006E1D59" w:rsidRPr="00A80DF8" w:rsidRDefault="006E1D59" w:rsidP="006E1D59">
      <w:pPr>
        <w:spacing w:after="0" w:line="360" w:lineRule="auto"/>
        <w:ind w:firstLine="720"/>
        <w:rPr>
          <w:rFonts w:ascii="Times New Roman" w:hAnsi="Times New Roman" w:cs="Times New Roman"/>
          <w:sz w:val="24"/>
          <w:szCs w:val="24"/>
        </w:rPr>
      </w:pPr>
    </w:p>
    <w:p w:rsidR="006E1D59" w:rsidRPr="00A80DF8" w:rsidRDefault="006E1D59" w:rsidP="006E1D59">
      <w:pPr>
        <w:spacing w:after="0" w:line="360" w:lineRule="auto"/>
        <w:rPr>
          <w:rFonts w:ascii="Times New Roman" w:hAnsi="Times New Roman" w:cs="Times New Roman"/>
          <w:b/>
          <w:bCs/>
          <w:sz w:val="24"/>
          <w:szCs w:val="24"/>
        </w:rPr>
      </w:pPr>
      <w:r w:rsidRPr="00A80DF8">
        <w:rPr>
          <w:rFonts w:ascii="Times New Roman" w:hAnsi="Times New Roman" w:cs="Times New Roman"/>
          <w:b/>
          <w:bCs/>
          <w:sz w:val="24"/>
          <w:szCs w:val="24"/>
        </w:rPr>
        <w:t>Worker Demographics</w:t>
      </w: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Younger </w:t>
      </w:r>
      <w:r w:rsidRPr="00F46D84">
        <w:rPr>
          <w:rStyle w:val="SubtleEmphasis"/>
          <w:rFonts w:ascii="Times New Roman" w:hAnsi="Times New Roman" w:cs="Times New Roman"/>
          <w:b/>
          <w:bCs/>
          <w:sz w:val="24"/>
          <w:szCs w:val="24"/>
        </w:rPr>
        <w:t>W</w:t>
      </w:r>
      <w:r w:rsidRPr="00860709">
        <w:rPr>
          <w:rStyle w:val="SubtleEmphasis"/>
          <w:rFonts w:ascii="Times New Roman" w:hAnsi="Times New Roman" w:cs="Times New Roman"/>
          <w:b/>
          <w:bCs/>
          <w:sz w:val="24"/>
          <w:szCs w:val="24"/>
        </w:rPr>
        <w:t>orkers</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Younger workers will face a future where t</w:t>
      </w:r>
      <w:r w:rsidRPr="004C5062">
        <w:rPr>
          <w:rFonts w:ascii="Times New Roman" w:hAnsi="Times New Roman" w:cs="Times New Roman"/>
          <w:sz w:val="24"/>
          <w:szCs w:val="24"/>
        </w:rPr>
        <w:t>he demand for advanced cognitive and neurobehavioral skills is increasing whereas the demand for narrow job-specific skills is waning. (</w:t>
      </w:r>
      <w:r w:rsidRPr="009D0C0C">
        <w:rPr>
          <w:rFonts w:ascii="Times New Roman" w:hAnsi="Times New Roman" w:cs="Times New Roman"/>
          <w:sz w:val="24"/>
          <w:szCs w:val="24"/>
        </w:rPr>
        <w:t xml:space="preserve">Krueger and </w:t>
      </w:r>
      <w:proofErr w:type="spellStart"/>
      <w:r w:rsidRPr="009D0C0C">
        <w:rPr>
          <w:rFonts w:ascii="Times New Roman" w:hAnsi="Times New Roman" w:cs="Times New Roman"/>
          <w:sz w:val="24"/>
          <w:szCs w:val="24"/>
        </w:rPr>
        <w:t>Kuman</w:t>
      </w:r>
      <w:proofErr w:type="spellEnd"/>
      <w:r w:rsidRPr="009D0C0C">
        <w:rPr>
          <w:rFonts w:ascii="Times New Roman" w:hAnsi="Times New Roman" w:cs="Times New Roman"/>
          <w:sz w:val="24"/>
          <w:szCs w:val="24"/>
        </w:rPr>
        <w:t xml:space="preserve">, 2004; Cunningham and </w:t>
      </w:r>
      <w:proofErr w:type="spellStart"/>
      <w:r w:rsidRPr="009D0C0C">
        <w:rPr>
          <w:rFonts w:ascii="Times New Roman" w:hAnsi="Times New Roman" w:cs="Times New Roman"/>
          <w:sz w:val="24"/>
          <w:szCs w:val="24"/>
        </w:rPr>
        <w:t>Vi</w:t>
      </w:r>
      <w:r w:rsidRPr="0032310C">
        <w:rPr>
          <w:rFonts w:ascii="Times New Roman" w:hAnsi="Times New Roman" w:cs="Times New Roman"/>
          <w:sz w:val="24"/>
          <w:szCs w:val="24"/>
        </w:rPr>
        <w:t>llaseños</w:t>
      </w:r>
      <w:proofErr w:type="spellEnd"/>
      <w:r w:rsidRPr="0032310C">
        <w:rPr>
          <w:rFonts w:ascii="Times New Roman" w:hAnsi="Times New Roman" w:cs="Times New Roman"/>
          <w:sz w:val="24"/>
          <w:szCs w:val="24"/>
        </w:rPr>
        <w:t xml:space="preserve">, </w:t>
      </w:r>
      <w:r w:rsidRPr="00E732AE">
        <w:rPr>
          <w:rFonts w:ascii="Times New Roman" w:hAnsi="Times New Roman" w:cs="Times New Roman"/>
          <w:sz w:val="24"/>
          <w:szCs w:val="24"/>
        </w:rPr>
        <w:t xml:space="preserve">2016; </w:t>
      </w:r>
      <w:proofErr w:type="spellStart"/>
      <w:r w:rsidRPr="00E732AE">
        <w:rPr>
          <w:rFonts w:ascii="Times New Roman" w:hAnsi="Times New Roman" w:cs="Times New Roman"/>
          <w:sz w:val="24"/>
          <w:szCs w:val="24"/>
        </w:rPr>
        <w:t>Ederer</w:t>
      </w:r>
      <w:proofErr w:type="spellEnd"/>
      <w:r w:rsidRPr="00E732AE">
        <w:rPr>
          <w:rFonts w:ascii="Times New Roman" w:hAnsi="Times New Roman" w:cs="Times New Roman"/>
          <w:sz w:val="24"/>
          <w:szCs w:val="24"/>
        </w:rPr>
        <w:t xml:space="preserve"> et al., 2015; World Bank, 2019). A large share of children that entered school in recent years are projected to work with skills and in jobs that do not yet exist (World Bank, 2019). The general picture from advanced countries is one</w:t>
      </w:r>
      <w:r w:rsidRPr="00900C98">
        <w:rPr>
          <w:rFonts w:ascii="Times New Roman" w:hAnsi="Times New Roman" w:cs="Times New Roman"/>
          <w:sz w:val="24"/>
          <w:szCs w:val="24"/>
        </w:rPr>
        <w:t xml:space="preserve"> of job polarization—the expansion of high-and low-skill jobs and the decline of middle-skilled jobs. “The demand for workers who can undertake </w:t>
      </w:r>
      <w:proofErr w:type="spellStart"/>
      <w:r w:rsidRPr="00900C98">
        <w:rPr>
          <w:rFonts w:ascii="Times New Roman" w:hAnsi="Times New Roman" w:cs="Times New Roman"/>
          <w:sz w:val="24"/>
          <w:szCs w:val="24"/>
        </w:rPr>
        <w:t>nonroutine</w:t>
      </w:r>
      <w:proofErr w:type="spellEnd"/>
      <w:r w:rsidRPr="00900C98">
        <w:rPr>
          <w:rFonts w:ascii="Times New Roman" w:hAnsi="Times New Roman" w:cs="Times New Roman"/>
          <w:sz w:val="24"/>
          <w:szCs w:val="24"/>
        </w:rPr>
        <w:t xml:space="preserve"> cognitive tasks, such as high-skilled research is increasing” (World Bank</w:t>
      </w:r>
      <w:r w:rsidRPr="00936381">
        <w:rPr>
          <w:rFonts w:ascii="Times New Roman" w:hAnsi="Times New Roman" w:cs="Times New Roman"/>
          <w:sz w:val="24"/>
          <w:szCs w:val="24"/>
        </w:rPr>
        <w:t xml:space="preserve">, </w:t>
      </w:r>
      <w:r w:rsidRPr="00A80DF8">
        <w:rPr>
          <w:rFonts w:ascii="Times New Roman" w:hAnsi="Times New Roman" w:cs="Times New Roman"/>
          <w:sz w:val="24"/>
          <w:szCs w:val="24"/>
        </w:rPr>
        <w:t>2019). A major consensus o</w:t>
      </w:r>
      <w:r w:rsidRPr="00D36652">
        <w:rPr>
          <w:rFonts w:ascii="Times New Roman" w:hAnsi="Times New Roman" w:cs="Times New Roman"/>
          <w:sz w:val="24"/>
          <w:szCs w:val="24"/>
        </w:rPr>
        <w:t>f experts surveyed in the Millennium Project Delp</w:t>
      </w:r>
      <w:r w:rsidRPr="00860709">
        <w:rPr>
          <w:rFonts w:ascii="Times New Roman" w:hAnsi="Times New Roman" w:cs="Times New Roman"/>
          <w:sz w:val="24"/>
          <w:szCs w:val="24"/>
        </w:rPr>
        <w:t>hi study (</w:t>
      </w:r>
      <w:proofErr w:type="spellStart"/>
      <w:r w:rsidRPr="00860709">
        <w:rPr>
          <w:rFonts w:ascii="Times New Roman" w:hAnsi="Times New Roman" w:cs="Times New Roman"/>
          <w:sz w:val="24"/>
          <w:szCs w:val="24"/>
        </w:rPr>
        <w:t>Daheim</w:t>
      </w:r>
      <w:proofErr w:type="spellEnd"/>
      <w:r w:rsidRPr="00860709">
        <w:rPr>
          <w:rFonts w:ascii="Times New Roman" w:hAnsi="Times New Roman" w:cs="Times New Roman"/>
          <w:sz w:val="24"/>
          <w:szCs w:val="24"/>
        </w:rPr>
        <w:t xml:space="preserve"> and </w:t>
      </w:r>
      <w:proofErr w:type="spellStart"/>
      <w:r w:rsidRPr="00860709">
        <w:rPr>
          <w:rFonts w:ascii="Times New Roman" w:hAnsi="Times New Roman" w:cs="Times New Roman"/>
          <w:sz w:val="24"/>
          <w:szCs w:val="24"/>
        </w:rPr>
        <w:t>Wintermann</w:t>
      </w:r>
      <w:proofErr w:type="spellEnd"/>
      <w:r w:rsidRPr="00860709">
        <w:rPr>
          <w:rFonts w:ascii="Times New Roman" w:hAnsi="Times New Roman" w:cs="Times New Roman"/>
          <w:sz w:val="24"/>
          <w:szCs w:val="24"/>
        </w:rPr>
        <w:t>, 2016) is the importance of education—“no matter whether they expect that technological development will rapidly eliminate a great number of jobs or whether they tend to see new kinds of work arising, and regardless of the pace of change they expect. They call for a fundamental rethinking of the education system away from learning a profession to the development of a portfolio of abilities and skills” (</w:t>
      </w:r>
      <w:proofErr w:type="spellStart"/>
      <w:r w:rsidRPr="00860709">
        <w:rPr>
          <w:rFonts w:ascii="Times New Roman" w:hAnsi="Times New Roman" w:cs="Times New Roman"/>
          <w:sz w:val="24"/>
          <w:szCs w:val="24"/>
        </w:rPr>
        <w:t>Daheim</w:t>
      </w:r>
      <w:proofErr w:type="spellEnd"/>
      <w:r w:rsidRPr="00860709">
        <w:rPr>
          <w:rFonts w:ascii="Times New Roman" w:hAnsi="Times New Roman" w:cs="Times New Roman"/>
          <w:sz w:val="24"/>
          <w:szCs w:val="24"/>
        </w:rPr>
        <w:t xml:space="preserve"> and </w:t>
      </w:r>
      <w:proofErr w:type="spellStart"/>
      <w:r w:rsidRPr="00860709">
        <w:rPr>
          <w:rFonts w:ascii="Times New Roman" w:hAnsi="Times New Roman" w:cs="Times New Roman"/>
          <w:sz w:val="24"/>
          <w:szCs w:val="24"/>
        </w:rPr>
        <w:t>Wintermann</w:t>
      </w:r>
      <w:proofErr w:type="spellEnd"/>
      <w:r w:rsidRPr="00860709">
        <w:rPr>
          <w:rFonts w:ascii="Times New Roman" w:hAnsi="Times New Roman" w:cs="Times New Roman"/>
          <w:sz w:val="24"/>
          <w:szCs w:val="24"/>
        </w:rPr>
        <w:t>, 2016). Recognition of the lack of skills of future workers is prevalent in the peer-reviewed and gray literature, but there are some competing opinions (</w:t>
      </w:r>
      <w:proofErr w:type="spellStart"/>
      <w:r w:rsidRPr="00860709">
        <w:rPr>
          <w:rFonts w:ascii="Times New Roman" w:hAnsi="Times New Roman" w:cs="Times New Roman"/>
          <w:sz w:val="24"/>
          <w:szCs w:val="24"/>
        </w:rPr>
        <w:t>McGuinness</w:t>
      </w:r>
      <w:proofErr w:type="spellEnd"/>
      <w:r w:rsidRPr="00860709">
        <w:rPr>
          <w:rFonts w:ascii="Times New Roman" w:hAnsi="Times New Roman" w:cs="Times New Roman"/>
          <w:sz w:val="24"/>
          <w:szCs w:val="24"/>
        </w:rPr>
        <w:t xml:space="preserve"> et al., 2017). Overall, there is concern that future workers will lack requisite digital competence skills. </w:t>
      </w:r>
      <w:proofErr w:type="spellStart"/>
      <w:r w:rsidRPr="00860709">
        <w:rPr>
          <w:rFonts w:ascii="Times New Roman" w:hAnsi="Times New Roman" w:cs="Times New Roman"/>
          <w:sz w:val="24"/>
          <w:szCs w:val="24"/>
        </w:rPr>
        <w:t>Degryse</w:t>
      </w:r>
      <w:proofErr w:type="spellEnd"/>
      <w:r w:rsidRPr="00860709">
        <w:rPr>
          <w:rFonts w:ascii="Times New Roman" w:hAnsi="Times New Roman" w:cs="Times New Roman"/>
          <w:sz w:val="24"/>
          <w:szCs w:val="24"/>
        </w:rPr>
        <w:t xml:space="preserve"> (2016) observed that the European Commission considers that one of every two workers lack these skills and “that this situation risks triggering, in the near future, a lack of skilled labor in relation to demand for it.” Workers who lack these skills may have difficulties finding or keep jobs. This absence of skills and precariousness of work may present major stress hazards for young workers.</w:t>
      </w:r>
    </w:p>
    <w:p w:rsidR="006E1D59" w:rsidRPr="00860709" w:rsidRDefault="006E1D59" w:rsidP="006E1D59">
      <w:pPr>
        <w:spacing w:after="0" w:line="360" w:lineRule="auto"/>
        <w:rPr>
          <w:rStyle w:val="SubtleEmphasis"/>
        </w:rPr>
      </w:pP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Older </w:t>
      </w:r>
      <w:r w:rsidRPr="00F46D84">
        <w:rPr>
          <w:rStyle w:val="SubtleEmphasis"/>
          <w:rFonts w:ascii="Times New Roman" w:hAnsi="Times New Roman" w:cs="Times New Roman"/>
          <w:b/>
          <w:bCs/>
          <w:sz w:val="24"/>
          <w:szCs w:val="24"/>
        </w:rPr>
        <w:t>W</w:t>
      </w:r>
      <w:r w:rsidRPr="00860709">
        <w:rPr>
          <w:rStyle w:val="SubtleEmphasis"/>
          <w:rFonts w:ascii="Times New Roman" w:hAnsi="Times New Roman" w:cs="Times New Roman"/>
          <w:b/>
          <w:bCs/>
          <w:sz w:val="24"/>
          <w:szCs w:val="24"/>
        </w:rPr>
        <w:t>orkers</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It is widely acknowledged in the literature that the future of work will play</w:t>
      </w:r>
      <w:r w:rsidRPr="004C5062">
        <w:rPr>
          <w:rFonts w:ascii="Times New Roman" w:hAnsi="Times New Roman" w:cs="Times New Roman"/>
          <w:sz w:val="24"/>
          <w:szCs w:val="24"/>
        </w:rPr>
        <w:t xml:space="preserve"> out against an aging global population. Over the next decades, workers aged 55 years and older will become </w:t>
      </w:r>
      <w:r w:rsidRPr="004C5062">
        <w:rPr>
          <w:rFonts w:ascii="Times New Roman" w:hAnsi="Times New Roman" w:cs="Times New Roman"/>
          <w:sz w:val="24"/>
          <w:szCs w:val="24"/>
        </w:rPr>
        <w:lastRenderedPageBreak/>
        <w:t>one of the fastest growing</w:t>
      </w:r>
      <w:r w:rsidRPr="009D0C0C">
        <w:rPr>
          <w:rFonts w:ascii="Times New Roman" w:hAnsi="Times New Roman" w:cs="Times New Roman"/>
          <w:sz w:val="24"/>
          <w:szCs w:val="24"/>
        </w:rPr>
        <w:t xml:space="preserve"> segments</w:t>
      </w:r>
      <w:r w:rsidRPr="0032310C">
        <w:rPr>
          <w:rFonts w:ascii="Times New Roman" w:hAnsi="Times New Roman" w:cs="Times New Roman"/>
          <w:sz w:val="24"/>
          <w:szCs w:val="24"/>
        </w:rPr>
        <w:t xml:space="preserve"> of the workforce in many countries (</w:t>
      </w:r>
      <w:r w:rsidRPr="00E732AE">
        <w:rPr>
          <w:rFonts w:ascii="Times New Roman" w:hAnsi="Times New Roman" w:cs="Times New Roman"/>
          <w:sz w:val="24"/>
          <w:szCs w:val="24"/>
        </w:rPr>
        <w:t xml:space="preserve">ILO, 2018). Individuals will be working longer due to financial and personal motivations. Advances in technology is one of the most significant drivers of change to the future of work. Foresight (2016) suggests, “These changes may affect how people work, where they work and whether they work at all … As working lives get longer that [worker] will have to adapt to more frequent and significant changes during their working lives. One of the key determinants of older workers’ employment and productivity will be their ability to adapt to these changes including training and </w:t>
      </w:r>
      <w:proofErr w:type="spellStart"/>
      <w:r w:rsidRPr="00E732AE">
        <w:rPr>
          <w:rFonts w:ascii="Times New Roman" w:hAnsi="Times New Roman" w:cs="Times New Roman"/>
          <w:sz w:val="24"/>
          <w:szCs w:val="24"/>
        </w:rPr>
        <w:t>reskilling</w:t>
      </w:r>
      <w:proofErr w:type="spellEnd"/>
      <w:r w:rsidRPr="00E732AE">
        <w:rPr>
          <w:rFonts w:ascii="Times New Roman" w:hAnsi="Times New Roman" w:cs="Times New Roman"/>
          <w:sz w:val="24"/>
          <w:szCs w:val="24"/>
        </w:rPr>
        <w:t>.</w:t>
      </w:r>
      <w:r w:rsidRPr="00900C98">
        <w:rPr>
          <w:rFonts w:ascii="Times New Roman" w:hAnsi="Times New Roman" w:cs="Times New Roman"/>
          <w:sz w:val="24"/>
          <w:szCs w:val="24"/>
        </w:rPr>
        <w:t>” Moreover, long-term chronic health conditions which are already</w:t>
      </w:r>
      <w:r w:rsidRPr="00936381">
        <w:rPr>
          <w:rFonts w:ascii="Times New Roman" w:hAnsi="Times New Roman" w:cs="Times New Roman"/>
          <w:sz w:val="24"/>
          <w:szCs w:val="24"/>
        </w:rPr>
        <w:t xml:space="preserve"> quite prevalent </w:t>
      </w:r>
      <w:r w:rsidRPr="00A80DF8">
        <w:rPr>
          <w:rFonts w:ascii="Times New Roman" w:hAnsi="Times New Roman" w:cs="Times New Roman"/>
          <w:sz w:val="24"/>
          <w:szCs w:val="24"/>
        </w:rPr>
        <w:t xml:space="preserve">will continue to rise </w:t>
      </w:r>
      <w:r w:rsidRPr="00860709">
        <w:rPr>
          <w:rFonts w:ascii="Times New Roman" w:hAnsi="Times New Roman" w:cs="Times New Roman"/>
          <w:sz w:val="24"/>
          <w:szCs w:val="24"/>
        </w:rPr>
        <w:t>and the way these conditions are perceived and managed will become increasingly important determinants of employability (Paton, 2014; Council for Work and Health, 2014).</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t xml:space="preserve">The aging workforce will likely increase the need for government transfer payments through existing programs, may prompt higher taxes, increase resentment about limited job openings, and may raise intergenerational conflicts in some countries between baby boom retirees and working age </w:t>
      </w:r>
      <w:proofErr w:type="spellStart"/>
      <w:r w:rsidRPr="00860709">
        <w:rPr>
          <w:rFonts w:ascii="Times New Roman" w:hAnsi="Times New Roman" w:cs="Times New Roman"/>
          <w:sz w:val="24"/>
          <w:szCs w:val="24"/>
        </w:rPr>
        <w:t>millennials</w:t>
      </w:r>
      <w:proofErr w:type="spellEnd"/>
      <w:r w:rsidRPr="00860709">
        <w:rPr>
          <w:rFonts w:ascii="Times New Roman" w:hAnsi="Times New Roman" w:cs="Times New Roman"/>
          <w:sz w:val="24"/>
          <w:szCs w:val="24"/>
        </w:rPr>
        <w:t xml:space="preserve"> about how societal resources are divided and the extent of economic expansion (Harris et al., 2018; Healy and Williams, 2018). In the future, it is likely that the growth in the overall labor force will be low for the next few decades, particularly in developed countries (Harris et al., 2018) due to decreasing birth rates across the world (McGowan and </w:t>
      </w:r>
      <w:proofErr w:type="spellStart"/>
      <w:r w:rsidRPr="00860709">
        <w:rPr>
          <w:rFonts w:ascii="Times New Roman" w:hAnsi="Times New Roman" w:cs="Times New Roman"/>
          <w:sz w:val="24"/>
          <w:szCs w:val="24"/>
        </w:rPr>
        <w:t>Corrado</w:t>
      </w:r>
      <w:proofErr w:type="spellEnd"/>
      <w:r w:rsidRPr="00860709">
        <w:rPr>
          <w:rFonts w:ascii="Times New Roman" w:hAnsi="Times New Roman" w:cs="Times New Roman"/>
          <w:sz w:val="24"/>
          <w:szCs w:val="24"/>
        </w:rPr>
        <w:t>, 2019). Consequently, there will be a greater need for older individuals to work longer. That said, for older workers to be productive in the future, they will increasingly require a range of skills they may not currently possess (</w:t>
      </w:r>
      <w:proofErr w:type="spellStart"/>
      <w:r w:rsidRPr="00860709">
        <w:rPr>
          <w:rFonts w:ascii="Times New Roman" w:hAnsi="Times New Roman" w:cs="Times New Roman"/>
          <w:sz w:val="24"/>
          <w:szCs w:val="24"/>
        </w:rPr>
        <w:t>Basu</w:t>
      </w:r>
      <w:proofErr w:type="spellEnd"/>
      <w:r w:rsidRPr="00860709">
        <w:rPr>
          <w:rFonts w:ascii="Times New Roman" w:hAnsi="Times New Roman" w:cs="Times New Roman"/>
          <w:sz w:val="24"/>
          <w:szCs w:val="24"/>
        </w:rPr>
        <w:t xml:space="preserve"> et al., 2018). Re-skilling and </w:t>
      </w:r>
      <w:proofErr w:type="spellStart"/>
      <w:r w:rsidRPr="00860709">
        <w:rPr>
          <w:rFonts w:ascii="Times New Roman" w:hAnsi="Times New Roman" w:cs="Times New Roman"/>
          <w:sz w:val="24"/>
          <w:szCs w:val="24"/>
        </w:rPr>
        <w:t>upskilling</w:t>
      </w:r>
      <w:proofErr w:type="spellEnd"/>
      <w:r w:rsidRPr="00860709">
        <w:rPr>
          <w:rFonts w:ascii="Times New Roman" w:hAnsi="Times New Roman" w:cs="Times New Roman"/>
          <w:sz w:val="24"/>
          <w:szCs w:val="24"/>
        </w:rPr>
        <w:t xml:space="preserve"> programs for all workers, and for older workers in particular, will likely be necessary in many sectors. Lifelong learning is needed to address concerns experienced by workers due to a lack of needed skills, but many such programs have low effectiveness due to suboptimal design and inadequate assessment of constraints, particularly on adult learning (World Bank, 2019).</w:t>
      </w:r>
    </w:p>
    <w:p w:rsidR="006E1D59" w:rsidRPr="00860709" w:rsidRDefault="006E1D59" w:rsidP="006E1D59">
      <w:pPr>
        <w:spacing w:after="0" w:line="360" w:lineRule="auto"/>
        <w:rPr>
          <w:rStyle w:val="SubtleEmphasis"/>
          <w:rFonts w:ascii="Times New Roman" w:hAnsi="Times New Roman" w:cs="Times New Roman"/>
          <w:b/>
          <w:bCs/>
          <w:sz w:val="24"/>
          <w:szCs w:val="24"/>
        </w:rPr>
      </w:pP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Women </w:t>
      </w:r>
      <w:r w:rsidRPr="00F46D84">
        <w:rPr>
          <w:rStyle w:val="SubtleEmphasis"/>
          <w:rFonts w:ascii="Times New Roman" w:hAnsi="Times New Roman" w:cs="Times New Roman"/>
          <w:b/>
          <w:bCs/>
          <w:sz w:val="24"/>
          <w:szCs w:val="24"/>
        </w:rPr>
        <w:t>W</w:t>
      </w:r>
      <w:r w:rsidRPr="00860709">
        <w:rPr>
          <w:rStyle w:val="SubtleEmphasis"/>
          <w:rFonts w:ascii="Times New Roman" w:hAnsi="Times New Roman" w:cs="Times New Roman"/>
          <w:b/>
          <w:bCs/>
          <w:sz w:val="24"/>
          <w:szCs w:val="24"/>
        </w:rPr>
        <w:t xml:space="preserve">orkers </w:t>
      </w:r>
    </w:p>
    <w:p w:rsidR="006E1D59" w:rsidRPr="00E732AE"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 xml:space="preserve">The future workforce will be characterized by an increasing number of women. Historically, there has been </w:t>
      </w:r>
      <w:r w:rsidRPr="004C5062">
        <w:rPr>
          <w:rFonts w:ascii="Times New Roman" w:hAnsi="Times New Roman" w:cs="Times New Roman"/>
          <w:sz w:val="24"/>
          <w:szCs w:val="24"/>
        </w:rPr>
        <w:t>a considerable gap in economic opportunities available to women as compared to men (Wo</w:t>
      </w:r>
      <w:r w:rsidRPr="009D0C0C">
        <w:rPr>
          <w:rFonts w:ascii="Times New Roman" w:hAnsi="Times New Roman" w:cs="Times New Roman"/>
          <w:sz w:val="24"/>
          <w:szCs w:val="24"/>
        </w:rPr>
        <w:t xml:space="preserve">rld Bank, </w:t>
      </w:r>
      <w:r w:rsidRPr="0032310C">
        <w:rPr>
          <w:rFonts w:ascii="Times New Roman" w:hAnsi="Times New Roman" w:cs="Times New Roman"/>
          <w:sz w:val="24"/>
          <w:szCs w:val="24"/>
        </w:rPr>
        <w:t xml:space="preserve">2019). Currently, compared to men across all sectors and occupations, </w:t>
      </w:r>
      <w:r w:rsidRPr="00E732AE">
        <w:rPr>
          <w:rFonts w:ascii="Times New Roman" w:hAnsi="Times New Roman" w:cs="Times New Roman"/>
          <w:sz w:val="24"/>
          <w:szCs w:val="24"/>
        </w:rPr>
        <w:t>women perform more routine cognitive tasks, which are most prone to automation (</w:t>
      </w:r>
      <w:proofErr w:type="spellStart"/>
      <w:r w:rsidRPr="00E732AE">
        <w:rPr>
          <w:rFonts w:ascii="Times New Roman" w:hAnsi="Times New Roman" w:cs="Times New Roman"/>
          <w:sz w:val="24"/>
          <w:szCs w:val="24"/>
        </w:rPr>
        <w:t>Brussevich</w:t>
      </w:r>
      <w:proofErr w:type="spellEnd"/>
      <w:r w:rsidRPr="00E732AE">
        <w:rPr>
          <w:rFonts w:ascii="Times New Roman" w:hAnsi="Times New Roman" w:cs="Times New Roman"/>
          <w:sz w:val="24"/>
          <w:szCs w:val="24"/>
        </w:rPr>
        <w:t xml:space="preserve"> et al., 2018). Indeed, new technologies are likely to be disruptive for women’s labor </w:t>
      </w:r>
      <w:r w:rsidRPr="00E732AE">
        <w:rPr>
          <w:rFonts w:ascii="Times New Roman" w:hAnsi="Times New Roman" w:cs="Times New Roman"/>
          <w:sz w:val="24"/>
          <w:szCs w:val="24"/>
        </w:rPr>
        <w:lastRenderedPageBreak/>
        <w:t>market outcomes. While some jobs predominantly held by women will be created, others will be displaced or fundamentally changed in nature (</w:t>
      </w:r>
      <w:proofErr w:type="spellStart"/>
      <w:r w:rsidRPr="00E732AE">
        <w:rPr>
          <w:rFonts w:ascii="Times New Roman" w:hAnsi="Times New Roman" w:cs="Times New Roman"/>
          <w:sz w:val="24"/>
          <w:szCs w:val="24"/>
        </w:rPr>
        <w:t>Brussevich</w:t>
      </w:r>
      <w:proofErr w:type="spellEnd"/>
      <w:r w:rsidRPr="00E732AE">
        <w:rPr>
          <w:rFonts w:ascii="Times New Roman" w:hAnsi="Times New Roman" w:cs="Times New Roman"/>
          <w:sz w:val="24"/>
          <w:szCs w:val="24"/>
        </w:rPr>
        <w:t xml:space="preserve"> et al., 2018). </w:t>
      </w:r>
    </w:p>
    <w:p w:rsidR="006E1D59" w:rsidRPr="00860709" w:rsidRDefault="006E1D59" w:rsidP="006E1D59">
      <w:pPr>
        <w:spacing w:after="0" w:line="360" w:lineRule="auto"/>
        <w:ind w:firstLine="720"/>
        <w:rPr>
          <w:rFonts w:ascii="Times New Roman" w:hAnsi="Times New Roman" w:cs="Times New Roman"/>
          <w:sz w:val="24"/>
          <w:szCs w:val="24"/>
        </w:rPr>
      </w:pPr>
      <w:r w:rsidRPr="00E732AE">
        <w:rPr>
          <w:rFonts w:ascii="Times New Roman" w:hAnsi="Times New Roman" w:cs="Times New Roman"/>
          <w:sz w:val="24"/>
          <w:szCs w:val="24"/>
        </w:rPr>
        <w:t>One indication of the magnitude of these effects is an estimate</w:t>
      </w:r>
      <w:r w:rsidRPr="00900C98">
        <w:rPr>
          <w:rFonts w:ascii="Times New Roman" w:hAnsi="Times New Roman" w:cs="Times New Roman"/>
          <w:sz w:val="24"/>
          <w:szCs w:val="24"/>
        </w:rPr>
        <w:t xml:space="preserve"> that “26 million female jobs in 30 OECD countries, Cyprus, and Singapore, are at risk of being displaced (i.e. facing higher than 70% likelihood of being automated) within the next two decades</w:t>
      </w:r>
      <w:r w:rsidRPr="00936381">
        <w:rPr>
          <w:rFonts w:ascii="Times New Roman" w:hAnsi="Times New Roman" w:cs="Times New Roman"/>
          <w:sz w:val="24"/>
          <w:szCs w:val="24"/>
        </w:rPr>
        <w:t xml:space="preserve"> [</w:t>
      </w:r>
      <w:r w:rsidRPr="00A80DF8">
        <w:rPr>
          <w:rFonts w:ascii="Times New Roman" w:hAnsi="Times New Roman" w:cs="Times New Roman"/>
          <w:sz w:val="24"/>
          <w:szCs w:val="24"/>
        </w:rPr>
        <w:t>…</w:t>
      </w:r>
      <w:r w:rsidRPr="00D36652">
        <w:rPr>
          <w:rFonts w:ascii="Times New Roman" w:hAnsi="Times New Roman" w:cs="Times New Roman"/>
          <w:sz w:val="24"/>
          <w:szCs w:val="24"/>
        </w:rPr>
        <w:t>] less well educated older female workers (aged 40 and older) and those in low-service</w:t>
      </w:r>
      <w:r w:rsidRPr="00860709">
        <w:rPr>
          <w:rFonts w:ascii="Times New Roman" w:hAnsi="Times New Roman" w:cs="Times New Roman"/>
          <w:sz w:val="24"/>
          <w:szCs w:val="24"/>
        </w:rPr>
        <w:t xml:space="preserve"> skill clerical, service, and sales positions are disproportionately exposed to automation” (</w:t>
      </w:r>
      <w:proofErr w:type="spellStart"/>
      <w:r w:rsidRPr="00860709">
        <w:rPr>
          <w:rFonts w:ascii="Times New Roman" w:hAnsi="Times New Roman" w:cs="Times New Roman"/>
          <w:sz w:val="24"/>
          <w:szCs w:val="24"/>
        </w:rPr>
        <w:t>Brussevich</w:t>
      </w:r>
      <w:proofErr w:type="spellEnd"/>
      <w:r w:rsidRPr="00860709">
        <w:rPr>
          <w:rFonts w:ascii="Times New Roman" w:hAnsi="Times New Roman" w:cs="Times New Roman"/>
          <w:sz w:val="24"/>
          <w:szCs w:val="24"/>
        </w:rPr>
        <w:t xml:space="preserve"> et al., 2018). More broadly, 180 million jobs that are at high risk of being displaced globally are held by women (</w:t>
      </w:r>
      <w:proofErr w:type="spellStart"/>
      <w:r w:rsidRPr="00860709">
        <w:rPr>
          <w:rFonts w:ascii="Times New Roman" w:hAnsi="Times New Roman" w:cs="Times New Roman"/>
          <w:sz w:val="24"/>
          <w:szCs w:val="24"/>
        </w:rPr>
        <w:t>Brussevich</w:t>
      </w:r>
      <w:proofErr w:type="spellEnd"/>
      <w:r w:rsidRPr="00860709">
        <w:rPr>
          <w:rFonts w:ascii="Times New Roman" w:hAnsi="Times New Roman" w:cs="Times New Roman"/>
          <w:sz w:val="24"/>
          <w:szCs w:val="24"/>
        </w:rPr>
        <w:t xml:space="preserve"> et al., 2018). </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t>In the near term, women are likely to continue to be underrepresented in science, technology, engineering, and mathematics disciplines, though there are a growing number of efforts to change that disparity. Women in jobs in the future will be at risk of job narrowing or loss if policies to ensure that technological changes support a closing not a widening of gender gaps are supported. This risk is already large because women have always faced barriers in the workplace and to gender parity in education, training, and access to technology and support (</w:t>
      </w:r>
      <w:proofErr w:type="spellStart"/>
      <w:r w:rsidRPr="00860709">
        <w:rPr>
          <w:rFonts w:ascii="Times New Roman" w:hAnsi="Times New Roman" w:cs="Times New Roman"/>
          <w:sz w:val="24"/>
          <w:szCs w:val="24"/>
        </w:rPr>
        <w:t>Brussevich</w:t>
      </w:r>
      <w:proofErr w:type="spellEnd"/>
      <w:r w:rsidRPr="00860709">
        <w:rPr>
          <w:rFonts w:ascii="Times New Roman" w:hAnsi="Times New Roman" w:cs="Times New Roman"/>
          <w:sz w:val="24"/>
          <w:szCs w:val="24"/>
        </w:rPr>
        <w:t xml:space="preserve"> et al., 2018).</w:t>
      </w:r>
    </w:p>
    <w:p w:rsidR="006E1D59" w:rsidRPr="00860709" w:rsidRDefault="006E1D59" w:rsidP="006E1D59">
      <w:pPr>
        <w:spacing w:after="0" w:line="360" w:lineRule="auto"/>
        <w:rPr>
          <w:rStyle w:val="SubtleEmphasis"/>
          <w:rFonts w:ascii="Times New Roman" w:hAnsi="Times New Roman" w:cs="Times New Roman"/>
          <w:b/>
          <w:bCs/>
          <w:sz w:val="24"/>
          <w:szCs w:val="24"/>
        </w:rPr>
      </w:pP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Migrant </w:t>
      </w:r>
      <w:r w:rsidRPr="00F46D84">
        <w:rPr>
          <w:rStyle w:val="SubtleEmphasis"/>
          <w:rFonts w:ascii="Times New Roman" w:hAnsi="Times New Roman" w:cs="Times New Roman"/>
          <w:b/>
          <w:bCs/>
          <w:sz w:val="24"/>
          <w:szCs w:val="24"/>
        </w:rPr>
        <w:t>W</w:t>
      </w:r>
      <w:r w:rsidRPr="00860709">
        <w:rPr>
          <w:rStyle w:val="SubtleEmphasis"/>
          <w:rFonts w:ascii="Times New Roman" w:hAnsi="Times New Roman" w:cs="Times New Roman"/>
          <w:b/>
          <w:bCs/>
          <w:sz w:val="24"/>
          <w:szCs w:val="24"/>
        </w:rPr>
        <w:t xml:space="preserve">orkers </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 xml:space="preserve">Globally, </w:t>
      </w:r>
      <w:r w:rsidRPr="004C5062">
        <w:rPr>
          <w:rFonts w:ascii="Times New Roman" w:hAnsi="Times New Roman" w:cs="Times New Roman"/>
          <w:sz w:val="24"/>
          <w:szCs w:val="24"/>
        </w:rPr>
        <w:t xml:space="preserve">in 2017, </w:t>
      </w:r>
      <w:r w:rsidRPr="009D0C0C">
        <w:rPr>
          <w:rFonts w:ascii="Times New Roman" w:hAnsi="Times New Roman" w:cs="Times New Roman"/>
          <w:sz w:val="24"/>
          <w:szCs w:val="24"/>
        </w:rPr>
        <w:t>there were</w:t>
      </w:r>
      <w:r w:rsidRPr="0032310C">
        <w:rPr>
          <w:rFonts w:ascii="Times New Roman" w:hAnsi="Times New Roman" w:cs="Times New Roman"/>
          <w:sz w:val="24"/>
          <w:szCs w:val="24"/>
        </w:rPr>
        <w:t xml:space="preserve"> more than 164</w:t>
      </w:r>
      <w:r w:rsidRPr="00E732AE">
        <w:rPr>
          <w:rFonts w:ascii="Times New Roman" w:hAnsi="Times New Roman" w:cs="Times New Roman"/>
          <w:sz w:val="24"/>
          <w:szCs w:val="24"/>
        </w:rPr>
        <w:t xml:space="preserve"> million migrant workers, many of whom worked in hazardous environments accounting for approximately 64% of the world migrant populatio</w:t>
      </w:r>
      <w:r w:rsidRPr="00900C98">
        <w:rPr>
          <w:rFonts w:ascii="Times New Roman" w:hAnsi="Times New Roman" w:cs="Times New Roman"/>
          <w:sz w:val="24"/>
          <w:szCs w:val="24"/>
        </w:rPr>
        <w:t>n (IOM, 2019</w:t>
      </w:r>
      <w:r w:rsidRPr="00936381">
        <w:rPr>
          <w:rFonts w:ascii="Times New Roman" w:hAnsi="Times New Roman" w:cs="Times New Roman"/>
          <w:sz w:val="24"/>
          <w:szCs w:val="24"/>
        </w:rPr>
        <w:t xml:space="preserve">). The ongoing description of the future of work often focuses on the impact of technology, which indeed will play a critical role in shaping jobs and </w:t>
      </w:r>
      <w:r w:rsidRPr="00860709">
        <w:rPr>
          <w:rFonts w:ascii="Times New Roman" w:hAnsi="Times New Roman" w:cs="Times New Roman"/>
          <w:sz w:val="24"/>
          <w:szCs w:val="24"/>
        </w:rPr>
        <w:t xml:space="preserve">work. However, the flow of workers within a nation and across borders is also important in shaping the future of work. Migrant workers frequently experience various physical and psychiatric morbidities, and workplace accidents and injuries, superseding those of non-migrant workers (Hargreaves et al., 2019; Flynn and </w:t>
      </w:r>
      <w:proofErr w:type="spellStart"/>
      <w:r w:rsidRPr="00860709">
        <w:rPr>
          <w:rFonts w:ascii="Times New Roman" w:hAnsi="Times New Roman" w:cs="Times New Roman"/>
          <w:sz w:val="24"/>
          <w:szCs w:val="24"/>
        </w:rPr>
        <w:t>Wickramage</w:t>
      </w:r>
      <w:proofErr w:type="spellEnd"/>
      <w:r w:rsidRPr="00860709">
        <w:rPr>
          <w:rFonts w:ascii="Times New Roman" w:hAnsi="Times New Roman" w:cs="Times New Roman"/>
          <w:sz w:val="24"/>
          <w:szCs w:val="24"/>
        </w:rPr>
        <w:t xml:space="preserve">, 2017). Further, migrant workers are at risk of being a ‘global underclass’ and suffering from discriminatory employment practices (ILO, 2017b). Increased migration of workers is likely going to continue to grow worldwide and “the extent to which migrant skills are recognized and linked to meaningful employment becomes an important issue” (ESPAS, 2018). </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lastRenderedPageBreak/>
        <w:t>In some areas of the world, the size of a country’s workforce will shrink without migration, and countries will face a potential shortage of lower and intermediate skilled workers. On the other hand, as the number of migrant workers increases, countries will face increasing difficulties integrating migrants into the host society, as evidenced by the fact that educational system of host countries may have difficulty coping with children and young migrants—the future workers (ESPAS, 2018).</w:t>
      </w:r>
    </w:p>
    <w:p w:rsidR="006E1D59" w:rsidRPr="00860709" w:rsidRDefault="006E1D59" w:rsidP="006E1D59">
      <w:pPr>
        <w:spacing w:after="0" w:line="360" w:lineRule="auto"/>
        <w:rPr>
          <w:rFonts w:ascii="Times New Roman" w:hAnsi="Times New Roman" w:cs="Times New Roman"/>
          <w:sz w:val="24"/>
          <w:szCs w:val="24"/>
        </w:rPr>
      </w:pP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Workers with </w:t>
      </w:r>
      <w:r w:rsidRPr="00F46D84">
        <w:rPr>
          <w:rStyle w:val="SubtleEmphasis"/>
          <w:rFonts w:ascii="Times New Roman" w:hAnsi="Times New Roman" w:cs="Times New Roman"/>
          <w:b/>
          <w:bCs/>
          <w:sz w:val="24"/>
          <w:szCs w:val="24"/>
        </w:rPr>
        <w:t>D</w:t>
      </w:r>
      <w:r w:rsidRPr="00860709">
        <w:rPr>
          <w:rStyle w:val="SubtleEmphasis"/>
          <w:rFonts w:ascii="Times New Roman" w:hAnsi="Times New Roman" w:cs="Times New Roman"/>
          <w:b/>
          <w:bCs/>
          <w:sz w:val="24"/>
          <w:szCs w:val="24"/>
        </w:rPr>
        <w:t>isabilities</w:t>
      </w:r>
    </w:p>
    <w:p w:rsidR="006E1D59" w:rsidRPr="00E732AE"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Current literature</w:t>
      </w:r>
      <w:r w:rsidRPr="004C5062">
        <w:rPr>
          <w:rFonts w:ascii="Times New Roman" w:hAnsi="Times New Roman" w:cs="Times New Roman"/>
          <w:b/>
          <w:sz w:val="24"/>
          <w:szCs w:val="24"/>
        </w:rPr>
        <w:t xml:space="preserve"> </w:t>
      </w:r>
      <w:r w:rsidRPr="009D0C0C">
        <w:rPr>
          <w:rFonts w:ascii="Times New Roman" w:hAnsi="Times New Roman" w:cs="Times New Roman"/>
          <w:sz w:val="24"/>
          <w:szCs w:val="24"/>
        </w:rPr>
        <w:t xml:space="preserve">on the future of work focuses largely on the </w:t>
      </w:r>
      <w:r w:rsidRPr="0032310C">
        <w:rPr>
          <w:rFonts w:ascii="Times New Roman" w:hAnsi="Times New Roman" w:cs="Times New Roman"/>
          <w:sz w:val="24"/>
          <w:szCs w:val="24"/>
        </w:rPr>
        <w:t xml:space="preserve">non-disabled working population and does not often </w:t>
      </w:r>
      <w:r w:rsidRPr="00E732AE">
        <w:rPr>
          <w:rFonts w:ascii="Times New Roman" w:hAnsi="Times New Roman" w:cs="Times New Roman"/>
          <w:sz w:val="24"/>
          <w:szCs w:val="24"/>
        </w:rPr>
        <w:t xml:space="preserve">consider individuals living with disabilities, whether employed or endeavoring to become so. </w:t>
      </w:r>
      <w:proofErr w:type="spellStart"/>
      <w:r w:rsidRPr="00E732AE">
        <w:rPr>
          <w:rFonts w:ascii="Times New Roman" w:hAnsi="Times New Roman" w:cs="Times New Roman"/>
          <w:sz w:val="24"/>
          <w:szCs w:val="24"/>
        </w:rPr>
        <w:t>Kanady</w:t>
      </w:r>
      <w:proofErr w:type="spellEnd"/>
      <w:r w:rsidRPr="00E732AE">
        <w:rPr>
          <w:rFonts w:ascii="Times New Roman" w:hAnsi="Times New Roman" w:cs="Times New Roman"/>
          <w:sz w:val="24"/>
          <w:szCs w:val="24"/>
        </w:rPr>
        <w:t xml:space="preserve"> (2018) notes: “Predictions of the future of work indicate a significant impact in the labor market due to automation, coupled with macroeconomic trends. While the impact may have positive effects, it may also adversely affect people with disabilities who are likely to face even greater barriers to employment. Research points to a disproportionate impact of automation on a population matching the generalized profile of people with disabilities.”</w:t>
      </w:r>
    </w:p>
    <w:p w:rsidR="006E1D59" w:rsidRPr="00860709" w:rsidRDefault="006E1D59" w:rsidP="006E1D59">
      <w:pPr>
        <w:spacing w:after="0" w:line="360" w:lineRule="auto"/>
        <w:ind w:firstLine="720"/>
        <w:rPr>
          <w:rFonts w:ascii="Times New Roman" w:hAnsi="Times New Roman" w:cs="Times New Roman"/>
          <w:sz w:val="24"/>
          <w:szCs w:val="24"/>
        </w:rPr>
      </w:pPr>
      <w:r w:rsidRPr="00E732AE">
        <w:rPr>
          <w:rFonts w:ascii="Times New Roman" w:hAnsi="Times New Roman" w:cs="Times New Roman"/>
          <w:sz w:val="24"/>
          <w:szCs w:val="24"/>
        </w:rPr>
        <w:t xml:space="preserve">While new technologies will also present more opportunities than ever before to improve outcomes for disabled workers, the </w:t>
      </w:r>
      <w:r w:rsidRPr="00900C98">
        <w:rPr>
          <w:rFonts w:ascii="Times New Roman" w:hAnsi="Times New Roman" w:cs="Times New Roman"/>
          <w:sz w:val="24"/>
          <w:szCs w:val="24"/>
        </w:rPr>
        <w:t xml:space="preserve">greatest issue is inclusion now and in future years. In the U.K., </w:t>
      </w:r>
      <w:r w:rsidRPr="00936381">
        <w:rPr>
          <w:rFonts w:ascii="Times New Roman" w:hAnsi="Times New Roman" w:cs="Times New Roman"/>
          <w:sz w:val="24"/>
          <w:szCs w:val="24"/>
        </w:rPr>
        <w:t xml:space="preserve">a disabled worker is twice as likely to move out of work </w:t>
      </w:r>
      <w:r w:rsidRPr="00A80DF8">
        <w:rPr>
          <w:rFonts w:ascii="Times New Roman" w:hAnsi="Times New Roman" w:cs="Times New Roman"/>
          <w:sz w:val="24"/>
          <w:szCs w:val="24"/>
        </w:rPr>
        <w:t>over the course of a yea</w:t>
      </w:r>
      <w:r w:rsidRPr="00D36652">
        <w:rPr>
          <w:rFonts w:ascii="Times New Roman" w:hAnsi="Times New Roman" w:cs="Times New Roman"/>
          <w:sz w:val="24"/>
          <w:szCs w:val="24"/>
        </w:rPr>
        <w:t xml:space="preserve">r, and nearly three times less likely to move into work compared with non-disabled people. </w:t>
      </w:r>
      <w:r w:rsidRPr="00860709">
        <w:rPr>
          <w:rFonts w:ascii="Times New Roman" w:hAnsi="Times New Roman" w:cs="Times New Roman"/>
          <w:sz w:val="24"/>
          <w:szCs w:val="24"/>
        </w:rPr>
        <w:t>Efforts have been made to integrate occupational health with primary and secondary health care programs to promote referral to occupational health services to assist workers with disabilities (Department for Work and Pensions, 2017).</w:t>
      </w:r>
    </w:p>
    <w:p w:rsidR="006E1D59" w:rsidRPr="00860709" w:rsidRDefault="006E1D59" w:rsidP="006E1D59">
      <w:pPr>
        <w:spacing w:after="0" w:line="360" w:lineRule="auto"/>
        <w:rPr>
          <w:rFonts w:ascii="Times New Roman" w:hAnsi="Times New Roman" w:cs="Times New Roman"/>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 xml:space="preserve">Time, </w:t>
      </w:r>
      <w:r w:rsidRPr="00F46D84">
        <w:rPr>
          <w:rStyle w:val="SubtleEmphasis"/>
          <w:rFonts w:ascii="Times New Roman" w:hAnsi="Times New Roman" w:cs="Times New Roman"/>
          <w:b/>
          <w:bCs/>
          <w:i w:val="0"/>
          <w:iCs w:val="0"/>
          <w:sz w:val="24"/>
          <w:szCs w:val="24"/>
        </w:rPr>
        <w:t>W</w:t>
      </w:r>
      <w:r w:rsidRPr="00860709">
        <w:rPr>
          <w:rStyle w:val="SubtleEmphasis"/>
          <w:rFonts w:ascii="Times New Roman" w:hAnsi="Times New Roman" w:cs="Times New Roman"/>
          <w:b/>
          <w:bCs/>
          <w:i w:val="0"/>
          <w:iCs w:val="0"/>
          <w:sz w:val="24"/>
          <w:szCs w:val="24"/>
        </w:rPr>
        <w:t xml:space="preserve">ork, and </w:t>
      </w:r>
      <w:r w:rsidRPr="00F46D84">
        <w:rPr>
          <w:rStyle w:val="SubtleEmphasis"/>
          <w:rFonts w:ascii="Times New Roman" w:hAnsi="Times New Roman" w:cs="Times New Roman"/>
          <w:b/>
          <w:bCs/>
          <w:i w:val="0"/>
          <w:iCs w:val="0"/>
          <w:sz w:val="24"/>
          <w:szCs w:val="24"/>
        </w:rPr>
        <w:t>L</w:t>
      </w:r>
      <w:r w:rsidRPr="00860709">
        <w:rPr>
          <w:rStyle w:val="SubtleEmphasis"/>
          <w:rFonts w:ascii="Times New Roman" w:hAnsi="Times New Roman" w:cs="Times New Roman"/>
          <w:b/>
          <w:bCs/>
          <w:i w:val="0"/>
          <w:iCs w:val="0"/>
          <w:sz w:val="24"/>
          <w:szCs w:val="24"/>
        </w:rPr>
        <w:t>eisure</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 xml:space="preserve">Contemporary </w:t>
      </w:r>
      <w:r w:rsidRPr="004C5062">
        <w:rPr>
          <w:rFonts w:ascii="Times New Roman" w:hAnsi="Times New Roman" w:cs="Times New Roman"/>
          <w:sz w:val="24"/>
          <w:szCs w:val="24"/>
        </w:rPr>
        <w:t>and future societies will work against a backdrop of their perception and experience of time pressure</w:t>
      </w:r>
      <w:r w:rsidRPr="009D0C0C">
        <w:rPr>
          <w:rFonts w:ascii="Times New Roman" w:hAnsi="Times New Roman" w:cs="Times New Roman"/>
          <w:sz w:val="24"/>
          <w:szCs w:val="24"/>
        </w:rPr>
        <w:t>. Time pressure has been defined as the percep</w:t>
      </w:r>
      <w:r w:rsidRPr="0032310C">
        <w:rPr>
          <w:rFonts w:ascii="Times New Roman" w:hAnsi="Times New Roman" w:cs="Times New Roman"/>
          <w:sz w:val="24"/>
          <w:szCs w:val="24"/>
        </w:rPr>
        <w:t>tion that there is not enough time to complete a given amount of work (Cooper et al.,</w:t>
      </w:r>
      <w:r w:rsidRPr="00E732AE">
        <w:rPr>
          <w:rFonts w:ascii="Times New Roman" w:hAnsi="Times New Roman" w:cs="Times New Roman"/>
          <w:sz w:val="24"/>
          <w:szCs w:val="24"/>
        </w:rPr>
        <w:t xml:space="preserve"> 2001). It is a component of the job strain model and relates to job demands (</w:t>
      </w:r>
      <w:proofErr w:type="spellStart"/>
      <w:r w:rsidRPr="00E732AE">
        <w:rPr>
          <w:rFonts w:ascii="Times New Roman" w:hAnsi="Times New Roman" w:cs="Times New Roman"/>
          <w:sz w:val="24"/>
          <w:szCs w:val="24"/>
        </w:rPr>
        <w:t>Karasek</w:t>
      </w:r>
      <w:proofErr w:type="spellEnd"/>
      <w:r w:rsidRPr="00E732AE">
        <w:rPr>
          <w:rFonts w:ascii="Times New Roman" w:hAnsi="Times New Roman" w:cs="Times New Roman"/>
          <w:sz w:val="24"/>
          <w:szCs w:val="24"/>
        </w:rPr>
        <w:t xml:space="preserve">, 1979). While time pressure may have positive aspects, it has generally been found to impair performance, is </w:t>
      </w:r>
      <w:r w:rsidRPr="00900C98">
        <w:rPr>
          <w:rFonts w:ascii="Times New Roman" w:hAnsi="Times New Roman" w:cs="Times New Roman"/>
          <w:sz w:val="24"/>
          <w:szCs w:val="24"/>
        </w:rPr>
        <w:t>linked to constraints in</w:t>
      </w:r>
      <w:r w:rsidRPr="00936381">
        <w:rPr>
          <w:rFonts w:ascii="Times New Roman" w:hAnsi="Times New Roman" w:cs="Times New Roman"/>
          <w:sz w:val="24"/>
          <w:szCs w:val="24"/>
        </w:rPr>
        <w:t xml:space="preserve"> decision</w:t>
      </w:r>
      <w:r w:rsidRPr="00860709">
        <w:rPr>
          <w:rFonts w:ascii="Times New Roman" w:hAnsi="Times New Roman" w:cs="Times New Roman"/>
          <w:sz w:val="24"/>
          <w:szCs w:val="24"/>
        </w:rPr>
        <w:t xml:space="preserve">-making (Ordonez et al., 2015; Moore and </w:t>
      </w:r>
      <w:proofErr w:type="spellStart"/>
      <w:r w:rsidRPr="00860709">
        <w:rPr>
          <w:rFonts w:ascii="Times New Roman" w:hAnsi="Times New Roman" w:cs="Times New Roman"/>
          <w:sz w:val="24"/>
          <w:szCs w:val="24"/>
        </w:rPr>
        <w:t>Tenney</w:t>
      </w:r>
      <w:proofErr w:type="spellEnd"/>
      <w:r w:rsidRPr="00860709">
        <w:rPr>
          <w:rFonts w:ascii="Times New Roman" w:hAnsi="Times New Roman" w:cs="Times New Roman"/>
          <w:sz w:val="24"/>
          <w:szCs w:val="24"/>
        </w:rPr>
        <w:t xml:space="preserve">, 2012) and has also been found to </w:t>
      </w:r>
      <w:r w:rsidRPr="00860709">
        <w:rPr>
          <w:rFonts w:ascii="Times New Roman" w:hAnsi="Times New Roman" w:cs="Times New Roman"/>
          <w:sz w:val="24"/>
          <w:szCs w:val="24"/>
        </w:rPr>
        <w:lastRenderedPageBreak/>
        <w:t>affect compliance with posted warnings and exit signs (</w:t>
      </w:r>
      <w:proofErr w:type="spellStart"/>
      <w:r w:rsidRPr="00860709">
        <w:rPr>
          <w:rFonts w:ascii="Times New Roman" w:hAnsi="Times New Roman" w:cs="Times New Roman"/>
          <w:sz w:val="24"/>
          <w:szCs w:val="24"/>
        </w:rPr>
        <w:t>Meireles</w:t>
      </w:r>
      <w:proofErr w:type="spellEnd"/>
      <w:r w:rsidRPr="00860709">
        <w:rPr>
          <w:rFonts w:ascii="Times New Roman" w:hAnsi="Times New Roman" w:cs="Times New Roman"/>
          <w:sz w:val="24"/>
          <w:szCs w:val="24"/>
        </w:rPr>
        <w:t>, 2015). The prevalence of time pressure has increased in recent decades in some countries (</w:t>
      </w:r>
      <w:proofErr w:type="spellStart"/>
      <w:r w:rsidRPr="00860709">
        <w:rPr>
          <w:rFonts w:ascii="Times New Roman" w:hAnsi="Times New Roman" w:cs="Times New Roman"/>
          <w:sz w:val="24"/>
          <w:szCs w:val="24"/>
        </w:rPr>
        <w:t>Eurofound</w:t>
      </w:r>
      <w:proofErr w:type="spellEnd"/>
      <w:r w:rsidRPr="00860709">
        <w:rPr>
          <w:rFonts w:ascii="Times New Roman" w:hAnsi="Times New Roman" w:cs="Times New Roman"/>
          <w:sz w:val="24"/>
          <w:szCs w:val="24"/>
        </w:rPr>
        <w:t xml:space="preserve"> 2012, 2015a; </w:t>
      </w:r>
      <w:proofErr w:type="spellStart"/>
      <w:r w:rsidRPr="00860709">
        <w:rPr>
          <w:rFonts w:ascii="Times New Roman" w:hAnsi="Times New Roman" w:cs="Times New Roman"/>
          <w:sz w:val="24"/>
          <w:szCs w:val="24"/>
        </w:rPr>
        <w:t>Kubicek</w:t>
      </w:r>
      <w:proofErr w:type="spellEnd"/>
      <w:r w:rsidRPr="00860709">
        <w:rPr>
          <w:rFonts w:ascii="Times New Roman" w:hAnsi="Times New Roman" w:cs="Times New Roman"/>
          <w:sz w:val="24"/>
          <w:szCs w:val="24"/>
        </w:rPr>
        <w:t xml:space="preserve"> et al., 2015) and is projected to increase in the future (Rosa, 2013; </w:t>
      </w:r>
      <w:proofErr w:type="spellStart"/>
      <w:r w:rsidRPr="00860709">
        <w:rPr>
          <w:rFonts w:ascii="Times New Roman" w:hAnsi="Times New Roman" w:cs="Times New Roman"/>
          <w:sz w:val="24"/>
          <w:szCs w:val="24"/>
        </w:rPr>
        <w:t>Wajcman</w:t>
      </w:r>
      <w:proofErr w:type="spellEnd"/>
      <w:r w:rsidRPr="00860709">
        <w:rPr>
          <w:rFonts w:ascii="Times New Roman" w:hAnsi="Times New Roman" w:cs="Times New Roman"/>
          <w:sz w:val="24"/>
          <w:szCs w:val="24"/>
        </w:rPr>
        <w:t xml:space="preserve">, 2015). </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t xml:space="preserve">Social acceleration is a complementary notion experienced by many workers who are described as pressed for time, that is, there is a general perception that there is an acceleration of the pace of social and working life. However, there is no general agreement about the nature and causes of social acceleration (Rosa, 2013; </w:t>
      </w:r>
      <w:proofErr w:type="spellStart"/>
      <w:r w:rsidRPr="00860709">
        <w:rPr>
          <w:rFonts w:ascii="Times New Roman" w:hAnsi="Times New Roman" w:cs="Times New Roman"/>
          <w:sz w:val="24"/>
          <w:szCs w:val="24"/>
        </w:rPr>
        <w:t>Wajcman</w:t>
      </w:r>
      <w:proofErr w:type="spellEnd"/>
      <w:r w:rsidRPr="00860709">
        <w:rPr>
          <w:rFonts w:ascii="Times New Roman" w:hAnsi="Times New Roman" w:cs="Times New Roman"/>
          <w:sz w:val="24"/>
          <w:szCs w:val="24"/>
        </w:rPr>
        <w:t>, 2015). Rosa (2013), identifies the feeling of one’s life getting faster as anchored in the “fear of missing out” and “compulsion to adapt” (</w:t>
      </w:r>
      <w:proofErr w:type="spellStart"/>
      <w:r w:rsidRPr="00860709">
        <w:rPr>
          <w:rFonts w:ascii="Times New Roman" w:hAnsi="Times New Roman" w:cs="Times New Roman"/>
          <w:sz w:val="24"/>
          <w:szCs w:val="24"/>
        </w:rPr>
        <w:t>Vostal</w:t>
      </w:r>
      <w:proofErr w:type="spellEnd"/>
      <w:r w:rsidRPr="00860709">
        <w:rPr>
          <w:rFonts w:ascii="Times New Roman" w:hAnsi="Times New Roman" w:cs="Times New Roman"/>
          <w:sz w:val="24"/>
          <w:szCs w:val="24"/>
        </w:rPr>
        <w:t>, 2014, Rosa, 2013). Social acceleration has been linked to shorter attention spans. A recent study found that collective attention span is narrowing and that this effect occurs with social media, books, web searches, movie popularity, and other items (Lorenz-</w:t>
      </w:r>
      <w:proofErr w:type="spellStart"/>
      <w:r w:rsidRPr="00860709">
        <w:rPr>
          <w:rFonts w:ascii="Times New Roman" w:hAnsi="Times New Roman" w:cs="Times New Roman"/>
          <w:sz w:val="24"/>
          <w:szCs w:val="24"/>
        </w:rPr>
        <w:t>Spreen</w:t>
      </w:r>
      <w:proofErr w:type="spellEnd"/>
      <w:r w:rsidRPr="00860709">
        <w:rPr>
          <w:rFonts w:ascii="Times New Roman" w:hAnsi="Times New Roman" w:cs="Times New Roman"/>
          <w:sz w:val="24"/>
          <w:szCs w:val="24"/>
        </w:rPr>
        <w:t xml:space="preserve"> et al., 2019). </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t xml:space="preserve">Time availability is an important determinant in the relationship between work, leisure, and work-life balance. While many papers and reports identify increased negative alteration of work-life balance in the future, the topic has not been systematically addressed, and the kinds of work-life balance and imbalances experienced by different </w:t>
      </w:r>
      <w:proofErr w:type="spellStart"/>
      <w:r w:rsidRPr="00860709">
        <w:rPr>
          <w:rFonts w:ascii="Times New Roman" w:hAnsi="Times New Roman" w:cs="Times New Roman"/>
          <w:sz w:val="24"/>
          <w:szCs w:val="24"/>
        </w:rPr>
        <w:t>sociodemographic</w:t>
      </w:r>
      <w:proofErr w:type="spellEnd"/>
      <w:r w:rsidRPr="00860709">
        <w:rPr>
          <w:rFonts w:ascii="Times New Roman" w:hAnsi="Times New Roman" w:cs="Times New Roman"/>
          <w:sz w:val="24"/>
          <w:szCs w:val="24"/>
        </w:rPr>
        <w:t xml:space="preserve"> groups in different countries need to be explored. However, if there is increased unemployment or ‘free time’ in the future, as has been widely predicted, more workers will need to address how to utilize that time. Indeed, as Whatley (2018) concluded: “The failure to educate for leisure is not just a lost opportunity; it also poses dangers, especially if large-scale job losses are in the offing […] most people have not been taught to find fulfillment in their free time.”</w:t>
      </w:r>
    </w:p>
    <w:p w:rsidR="006E1D59" w:rsidRPr="00860709" w:rsidRDefault="006E1D59" w:rsidP="006E1D59">
      <w:pPr>
        <w:spacing w:after="0" w:line="360" w:lineRule="auto"/>
        <w:rPr>
          <w:rFonts w:ascii="Times New Roman" w:hAnsi="Times New Roman" w:cs="Times New Roman"/>
          <w:b/>
          <w:bCs/>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Social Isolation and Loneliness</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It i</w:t>
      </w:r>
      <w:r w:rsidRPr="004C5062">
        <w:rPr>
          <w:rFonts w:ascii="Times New Roman" w:hAnsi="Times New Roman" w:cs="Times New Roman"/>
          <w:sz w:val="24"/>
          <w:szCs w:val="24"/>
        </w:rPr>
        <w:t xml:space="preserve">s common in the scenarios of the future of work that social separation and isolation </w:t>
      </w:r>
      <w:r w:rsidRPr="0032310C">
        <w:rPr>
          <w:rFonts w:ascii="Times New Roman" w:hAnsi="Times New Roman" w:cs="Times New Roman"/>
          <w:sz w:val="24"/>
          <w:szCs w:val="24"/>
        </w:rPr>
        <w:t xml:space="preserve">will be </w:t>
      </w:r>
      <w:r w:rsidRPr="00E732AE">
        <w:rPr>
          <w:rFonts w:ascii="Times New Roman" w:hAnsi="Times New Roman" w:cs="Times New Roman"/>
          <w:sz w:val="24"/>
          <w:szCs w:val="24"/>
        </w:rPr>
        <w:t xml:space="preserve">key characteristics (Stacey et al., 2018; </w:t>
      </w:r>
      <w:proofErr w:type="spellStart"/>
      <w:r w:rsidRPr="00E732AE">
        <w:rPr>
          <w:rFonts w:ascii="Times New Roman" w:hAnsi="Times New Roman" w:cs="Times New Roman"/>
          <w:sz w:val="24"/>
          <w:szCs w:val="24"/>
        </w:rPr>
        <w:t>Degryse</w:t>
      </w:r>
      <w:proofErr w:type="spellEnd"/>
      <w:r w:rsidRPr="00E732AE">
        <w:rPr>
          <w:rFonts w:ascii="Times New Roman" w:hAnsi="Times New Roman" w:cs="Times New Roman"/>
          <w:sz w:val="24"/>
          <w:szCs w:val="24"/>
        </w:rPr>
        <w:t xml:space="preserve">, 2016; </w:t>
      </w:r>
      <w:proofErr w:type="spellStart"/>
      <w:r w:rsidRPr="00E732AE">
        <w:rPr>
          <w:rFonts w:ascii="Times New Roman" w:hAnsi="Times New Roman" w:cs="Times New Roman"/>
          <w:sz w:val="24"/>
          <w:szCs w:val="24"/>
        </w:rPr>
        <w:t>DeBruyne</w:t>
      </w:r>
      <w:proofErr w:type="spellEnd"/>
      <w:r w:rsidRPr="00E732AE">
        <w:rPr>
          <w:rFonts w:ascii="Times New Roman" w:hAnsi="Times New Roman" w:cs="Times New Roman"/>
          <w:sz w:val="24"/>
          <w:szCs w:val="24"/>
        </w:rPr>
        <w:t xml:space="preserve"> and </w:t>
      </w:r>
      <w:proofErr w:type="spellStart"/>
      <w:r w:rsidRPr="00E732AE">
        <w:rPr>
          <w:rFonts w:ascii="Times New Roman" w:hAnsi="Times New Roman" w:cs="Times New Roman"/>
          <w:sz w:val="24"/>
          <w:szCs w:val="24"/>
        </w:rPr>
        <w:t>Gerritse</w:t>
      </w:r>
      <w:proofErr w:type="spellEnd"/>
      <w:r w:rsidRPr="00E732AE">
        <w:rPr>
          <w:rFonts w:ascii="Times New Roman" w:hAnsi="Times New Roman" w:cs="Times New Roman"/>
          <w:sz w:val="24"/>
          <w:szCs w:val="24"/>
        </w:rPr>
        <w:t xml:space="preserve">, </w:t>
      </w:r>
      <w:r w:rsidRPr="00900C98">
        <w:rPr>
          <w:rFonts w:ascii="Times New Roman" w:hAnsi="Times New Roman" w:cs="Times New Roman"/>
          <w:sz w:val="24"/>
          <w:szCs w:val="24"/>
        </w:rPr>
        <w:t xml:space="preserve">2018). The geographically and socially fragmented nature of current and future work, the absence of work, the lack of relationships among workers, and aging are associated </w:t>
      </w:r>
      <w:r w:rsidRPr="00936381">
        <w:rPr>
          <w:rFonts w:ascii="Times New Roman" w:hAnsi="Times New Roman" w:cs="Times New Roman"/>
          <w:sz w:val="24"/>
          <w:szCs w:val="24"/>
        </w:rPr>
        <w:t>with loneliness and social isolation (Patel et al.</w:t>
      </w:r>
      <w:r w:rsidRPr="00860709">
        <w:rPr>
          <w:rFonts w:ascii="Times New Roman" w:hAnsi="Times New Roman" w:cs="Times New Roman"/>
          <w:sz w:val="24"/>
          <w:szCs w:val="24"/>
        </w:rPr>
        <w:t>, 2019; Holt-</w:t>
      </w:r>
      <w:proofErr w:type="spellStart"/>
      <w:r w:rsidRPr="00860709">
        <w:rPr>
          <w:rFonts w:ascii="Times New Roman" w:hAnsi="Times New Roman" w:cs="Times New Roman"/>
          <w:sz w:val="24"/>
          <w:szCs w:val="24"/>
        </w:rPr>
        <w:t>Lunstad</w:t>
      </w:r>
      <w:proofErr w:type="spellEnd"/>
      <w:r w:rsidRPr="00860709">
        <w:rPr>
          <w:rFonts w:ascii="Times New Roman" w:hAnsi="Times New Roman" w:cs="Times New Roman"/>
          <w:sz w:val="24"/>
          <w:szCs w:val="24"/>
        </w:rPr>
        <w:t xml:space="preserve"> et al., 2010. Loneliness has been defined as an unpleasant condition where a person feels estranged from or rejected by others and feels deprived of secure and close relationships in his or her social environment (Rook,1984).</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lastRenderedPageBreak/>
        <w:t xml:space="preserve">Loneliness is not a diagnosable condition and there is heterogeneity among the definitions of loneliness. Nevertheless, loneliness has been assessed using validated instruments and found to have an equivalent impact on mortality as smoking 15 cigarettes/day and poses an even greater risk than obesity (Murthy, 2017; </w:t>
      </w:r>
      <w:proofErr w:type="spellStart"/>
      <w:r w:rsidRPr="00860709">
        <w:rPr>
          <w:rFonts w:ascii="Times New Roman" w:hAnsi="Times New Roman" w:cs="Times New Roman"/>
          <w:sz w:val="24"/>
          <w:szCs w:val="24"/>
        </w:rPr>
        <w:t>Nemecek</w:t>
      </w:r>
      <w:proofErr w:type="spellEnd"/>
      <w:r w:rsidRPr="00860709">
        <w:rPr>
          <w:rFonts w:ascii="Times New Roman" w:hAnsi="Times New Roman" w:cs="Times New Roman"/>
          <w:sz w:val="24"/>
          <w:szCs w:val="24"/>
        </w:rPr>
        <w:t>, 2018). Loneliness is a condition that increases a range of physical and psychological disorders (</w:t>
      </w:r>
      <w:proofErr w:type="spellStart"/>
      <w:r w:rsidRPr="00860709">
        <w:rPr>
          <w:rFonts w:ascii="Times New Roman" w:hAnsi="Times New Roman" w:cs="Times New Roman"/>
          <w:sz w:val="24"/>
          <w:szCs w:val="24"/>
        </w:rPr>
        <w:t>Ozcelik</w:t>
      </w:r>
      <w:proofErr w:type="spellEnd"/>
      <w:r w:rsidRPr="00860709">
        <w:rPr>
          <w:rFonts w:ascii="Times New Roman" w:hAnsi="Times New Roman" w:cs="Times New Roman"/>
          <w:sz w:val="24"/>
          <w:szCs w:val="24"/>
        </w:rPr>
        <w:t xml:space="preserve"> and </w:t>
      </w:r>
      <w:proofErr w:type="spellStart"/>
      <w:r w:rsidRPr="00860709">
        <w:rPr>
          <w:rFonts w:ascii="Times New Roman" w:hAnsi="Times New Roman" w:cs="Times New Roman"/>
          <w:sz w:val="24"/>
          <w:szCs w:val="24"/>
        </w:rPr>
        <w:t>Barsade</w:t>
      </w:r>
      <w:proofErr w:type="spellEnd"/>
      <w:r w:rsidRPr="00860709">
        <w:rPr>
          <w:rFonts w:ascii="Times New Roman" w:hAnsi="Times New Roman" w:cs="Times New Roman"/>
          <w:sz w:val="24"/>
          <w:szCs w:val="24"/>
        </w:rPr>
        <w:t xml:space="preserve">, 2018). It is a growing health epidemic in many countries and is projected to continue into the future and affect future workforces as work continues to evolve into being increasingly transactional rather than relational (McMillan, 2019; Jeffrey et al., 2017). </w:t>
      </w: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Globalization</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Globalization has an impact on the nature and quality of work by fostering the concepts of “labor flexibility</w:t>
      </w:r>
      <w:r w:rsidRPr="004C5062">
        <w:rPr>
          <w:rFonts w:ascii="Times New Roman" w:hAnsi="Times New Roman" w:cs="Times New Roman"/>
          <w:sz w:val="24"/>
          <w:szCs w:val="24"/>
        </w:rPr>
        <w:t>,</w:t>
      </w:r>
      <w:r w:rsidRPr="009D0C0C">
        <w:rPr>
          <w:rFonts w:ascii="Times New Roman" w:hAnsi="Times New Roman" w:cs="Times New Roman"/>
          <w:sz w:val="24"/>
          <w:szCs w:val="24"/>
        </w:rPr>
        <w:t>” and nonstandard, disposable work,</w:t>
      </w:r>
      <w:r w:rsidRPr="0032310C">
        <w:rPr>
          <w:rFonts w:ascii="Times New Roman" w:hAnsi="Times New Roman" w:cs="Times New Roman"/>
          <w:sz w:val="24"/>
          <w:szCs w:val="24"/>
        </w:rPr>
        <w:t xml:space="preserve"> which </w:t>
      </w:r>
      <w:r w:rsidRPr="00E732AE">
        <w:rPr>
          <w:rFonts w:ascii="Times New Roman" w:hAnsi="Times New Roman" w:cs="Times New Roman"/>
          <w:sz w:val="24"/>
          <w:szCs w:val="24"/>
        </w:rPr>
        <w:t>are associated with adverse health effects (</w:t>
      </w:r>
      <w:proofErr w:type="spellStart"/>
      <w:r w:rsidRPr="00E732AE">
        <w:rPr>
          <w:rFonts w:ascii="Times New Roman" w:hAnsi="Times New Roman" w:cs="Times New Roman"/>
          <w:sz w:val="24"/>
          <w:szCs w:val="24"/>
        </w:rPr>
        <w:t>Benach</w:t>
      </w:r>
      <w:proofErr w:type="spellEnd"/>
      <w:r w:rsidRPr="00E732AE">
        <w:rPr>
          <w:rFonts w:ascii="Times New Roman" w:hAnsi="Times New Roman" w:cs="Times New Roman"/>
          <w:sz w:val="24"/>
          <w:szCs w:val="24"/>
        </w:rPr>
        <w:t xml:space="preserve"> et al., 2004; </w:t>
      </w:r>
      <w:proofErr w:type="spellStart"/>
      <w:r w:rsidRPr="00E732AE">
        <w:rPr>
          <w:rFonts w:ascii="Times New Roman" w:hAnsi="Times New Roman" w:cs="Times New Roman"/>
          <w:sz w:val="24"/>
          <w:szCs w:val="24"/>
        </w:rPr>
        <w:t>Kawachi</w:t>
      </w:r>
      <w:proofErr w:type="spellEnd"/>
      <w:r w:rsidRPr="00E732AE">
        <w:rPr>
          <w:rFonts w:ascii="Times New Roman" w:hAnsi="Times New Roman" w:cs="Times New Roman"/>
          <w:sz w:val="24"/>
          <w:szCs w:val="24"/>
        </w:rPr>
        <w:t>, 2008). A World Economic Fo</w:t>
      </w:r>
      <w:r w:rsidRPr="00900C98">
        <w:rPr>
          <w:rFonts w:ascii="Times New Roman" w:hAnsi="Times New Roman" w:cs="Times New Roman"/>
          <w:sz w:val="24"/>
          <w:szCs w:val="24"/>
        </w:rPr>
        <w:t>rum publication in 2018</w:t>
      </w:r>
      <w:r w:rsidRPr="00936381">
        <w:rPr>
          <w:rFonts w:ascii="Times New Roman" w:hAnsi="Times New Roman" w:cs="Times New Roman"/>
          <w:sz w:val="24"/>
          <w:szCs w:val="24"/>
        </w:rPr>
        <w:t xml:space="preserve"> advanced the thesis that “major shift in technology, geopolitics, environment and society are combining to give birth to a new phase of globalization—Globa</w:t>
      </w:r>
      <w:r w:rsidRPr="00860709">
        <w:rPr>
          <w:rFonts w:ascii="Times New Roman" w:hAnsi="Times New Roman" w:cs="Times New Roman"/>
          <w:sz w:val="24"/>
          <w:szCs w:val="24"/>
        </w:rPr>
        <w:t xml:space="preserve">lization 4.0—whose trajectory will depend in large measure on how well governance at multiple levels—governments, corporate and international—adapts to these changes.” Three phases of globalization have been identified. The first occurred in 1914, the second extended from World War II to the late 1990s, and the third from the 1990s to the present. While globalization is likely to reach a fourth phase and beyond, it is undergoing some transformations, all of which will continue to affect workers and working conditions (Dobbs et al., 2015). The impact of globalization on jobs and work is likely to be </w:t>
      </w:r>
      <w:proofErr w:type="spellStart"/>
      <w:r w:rsidRPr="00860709">
        <w:rPr>
          <w:rFonts w:ascii="Times New Roman" w:hAnsi="Times New Roman" w:cs="Times New Roman"/>
          <w:sz w:val="24"/>
          <w:szCs w:val="24"/>
        </w:rPr>
        <w:t>heterogenous</w:t>
      </w:r>
      <w:proofErr w:type="spellEnd"/>
      <w:r w:rsidRPr="00860709">
        <w:rPr>
          <w:rFonts w:ascii="Times New Roman" w:hAnsi="Times New Roman" w:cs="Times New Roman"/>
          <w:sz w:val="24"/>
          <w:szCs w:val="24"/>
        </w:rPr>
        <w:t>, playing out differently by country or region, and will need to be addressed between developed and developing countries (</w:t>
      </w:r>
      <w:proofErr w:type="spellStart"/>
      <w:r w:rsidRPr="00860709">
        <w:rPr>
          <w:rFonts w:ascii="Times New Roman" w:hAnsi="Times New Roman" w:cs="Times New Roman"/>
          <w:sz w:val="24"/>
          <w:szCs w:val="24"/>
        </w:rPr>
        <w:t>Chandy</w:t>
      </w:r>
      <w:proofErr w:type="spellEnd"/>
      <w:r w:rsidRPr="00860709">
        <w:rPr>
          <w:rFonts w:ascii="Times New Roman" w:hAnsi="Times New Roman" w:cs="Times New Roman"/>
          <w:sz w:val="24"/>
          <w:szCs w:val="24"/>
        </w:rPr>
        <w:t>, 2016).</w:t>
      </w:r>
    </w:p>
    <w:p w:rsidR="006E1D59" w:rsidRPr="00860709" w:rsidRDefault="006E1D59" w:rsidP="006E1D59">
      <w:pPr>
        <w:spacing w:after="0" w:line="360" w:lineRule="auto"/>
        <w:ind w:firstLine="720"/>
        <w:rPr>
          <w:rFonts w:ascii="Times New Roman" w:hAnsi="Times New Roman" w:cs="Times New Roman"/>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Urbanization</w:t>
      </w:r>
    </w:p>
    <w:p w:rsidR="006E1D59" w:rsidRPr="00E732AE" w:rsidRDefault="006E1D59" w:rsidP="006E1D59">
      <w:pPr>
        <w:spacing w:after="0" w:line="360" w:lineRule="auto"/>
        <w:ind w:firstLine="720"/>
        <w:rPr>
          <w:rFonts w:ascii="Times New Roman" w:hAnsi="Times New Roman" w:cs="Times New Roman"/>
          <w:sz w:val="24"/>
        </w:rPr>
      </w:pPr>
      <w:r w:rsidRPr="00F46D84">
        <w:rPr>
          <w:rFonts w:ascii="Times New Roman" w:hAnsi="Times New Roman" w:cs="Times New Roman"/>
          <w:sz w:val="24"/>
        </w:rPr>
        <w:t>Throughout history and particularly during the industrial era, economic opportunities for work have chiefly existed in cities. By 2050, it is expected that 68% of the world’s population will live in cities where much of the future of work will play out (W</w:t>
      </w:r>
      <w:r w:rsidRPr="004C5062">
        <w:rPr>
          <w:rFonts w:ascii="Times New Roman" w:hAnsi="Times New Roman" w:cs="Times New Roman"/>
          <w:sz w:val="24"/>
        </w:rPr>
        <w:t>E</w:t>
      </w:r>
      <w:r w:rsidRPr="009D0C0C">
        <w:rPr>
          <w:rFonts w:ascii="Times New Roman" w:hAnsi="Times New Roman" w:cs="Times New Roman"/>
          <w:sz w:val="24"/>
        </w:rPr>
        <w:t xml:space="preserve">F, 2018a). The impact of urbanization on the future of work is generally most pronounced in growing digitalization-focused work. These projections of increasing urbanization are in contrast with the high cost of </w:t>
      </w:r>
      <w:r w:rsidRPr="009D0C0C">
        <w:rPr>
          <w:rFonts w:ascii="Times New Roman" w:hAnsi="Times New Roman" w:cs="Times New Roman"/>
          <w:sz w:val="24"/>
        </w:rPr>
        <w:lastRenderedPageBreak/>
        <w:t>living in urban areas which are skewed towa</w:t>
      </w:r>
      <w:r w:rsidRPr="0032310C">
        <w:rPr>
          <w:rFonts w:ascii="Times New Roman" w:hAnsi="Times New Roman" w:cs="Times New Roman"/>
          <w:sz w:val="24"/>
        </w:rPr>
        <w:t>rd accommodating upwardly mobile and wealthy white-collar workers and away from working class segments. Many of these lower paid workers, without quality jobs, will be forced to move to more affordable sections of cities or to suburban and ex-urban regions</w:t>
      </w:r>
      <w:r w:rsidRPr="00E732AE">
        <w:rPr>
          <w:rFonts w:ascii="Times New Roman" w:hAnsi="Times New Roman" w:cs="Times New Roman"/>
          <w:sz w:val="24"/>
        </w:rPr>
        <w:t xml:space="preserve"> and prospectively experience greater resultant psychosocial hazards such as increased stress due to longer commutes and reduced work-life balance (</w:t>
      </w:r>
      <w:proofErr w:type="spellStart"/>
      <w:r w:rsidRPr="00E732AE">
        <w:rPr>
          <w:rFonts w:ascii="Times New Roman" w:hAnsi="Times New Roman" w:cs="Times New Roman"/>
          <w:sz w:val="24"/>
        </w:rPr>
        <w:t>DuPuis</w:t>
      </w:r>
      <w:proofErr w:type="spellEnd"/>
      <w:r w:rsidRPr="00E732AE">
        <w:rPr>
          <w:rFonts w:ascii="Times New Roman" w:hAnsi="Times New Roman" w:cs="Times New Roman"/>
          <w:sz w:val="24"/>
        </w:rPr>
        <w:t xml:space="preserve"> et al., 2016). Against the backdrop of polarized work, cities will also face the issue of providing services for workers if tax revenues are negatively influenced by a digital economy (OECD, 2014). Additionally, many workers will be replaced by machines, through some beneficial aspects of automation will transpire. The potential tension and upheavals associated with automation and job loss are likely to converge in cities. This will also likely lead to increased anxiety, anger, frustrations and potentially violent responses (</w:t>
      </w:r>
      <w:proofErr w:type="spellStart"/>
      <w:r w:rsidRPr="00E732AE">
        <w:rPr>
          <w:rFonts w:ascii="Times New Roman" w:hAnsi="Times New Roman" w:cs="Times New Roman"/>
          <w:sz w:val="24"/>
        </w:rPr>
        <w:t>DuPuis</w:t>
      </w:r>
      <w:proofErr w:type="spellEnd"/>
      <w:r w:rsidRPr="00E732AE">
        <w:rPr>
          <w:rFonts w:ascii="Times New Roman" w:hAnsi="Times New Roman" w:cs="Times New Roman"/>
          <w:sz w:val="24"/>
        </w:rPr>
        <w:t xml:space="preserve"> et al., 2016).</w:t>
      </w:r>
    </w:p>
    <w:p w:rsidR="006E1D59" w:rsidRPr="00936381" w:rsidRDefault="006E1D59" w:rsidP="006E1D59">
      <w:pPr>
        <w:spacing w:after="0" w:line="360" w:lineRule="auto"/>
        <w:ind w:firstLine="720"/>
        <w:rPr>
          <w:rFonts w:ascii="Times New Roman" w:hAnsi="Times New Roman" w:cs="Times New Roman"/>
          <w:sz w:val="24"/>
        </w:rPr>
      </w:pPr>
      <w:r w:rsidRPr="00E732AE">
        <w:rPr>
          <w:rFonts w:ascii="Times New Roman" w:hAnsi="Times New Roman" w:cs="Times New Roman"/>
          <w:sz w:val="24"/>
        </w:rPr>
        <w:t>Urbanization may influence the generation and transmission o</w:t>
      </w:r>
      <w:r w:rsidRPr="00900C98">
        <w:rPr>
          <w:rFonts w:ascii="Times New Roman" w:hAnsi="Times New Roman" w:cs="Times New Roman"/>
          <w:sz w:val="24"/>
        </w:rPr>
        <w:t xml:space="preserve">f new infectious diseases (e.g., SARS or a novel </w:t>
      </w:r>
      <w:proofErr w:type="spellStart"/>
      <w:r w:rsidRPr="00900C98">
        <w:rPr>
          <w:rFonts w:ascii="Times New Roman" w:hAnsi="Times New Roman" w:cs="Times New Roman"/>
          <w:sz w:val="24"/>
        </w:rPr>
        <w:t>coronavirus</w:t>
      </w:r>
      <w:proofErr w:type="spellEnd"/>
      <w:r w:rsidRPr="00900C98">
        <w:rPr>
          <w:rFonts w:ascii="Times New Roman" w:hAnsi="Times New Roman" w:cs="Times New Roman"/>
          <w:sz w:val="24"/>
        </w:rPr>
        <w:t xml:space="preserve">) that will alter the availability of work, work patterns, and productivity workers, such as healthcare workers and first responders may be at minimal risk) (EU-OSHA, 2007). </w:t>
      </w: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Climate-Related Factors</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T</w:t>
      </w:r>
      <w:r w:rsidRPr="004C5062">
        <w:rPr>
          <w:rFonts w:ascii="Times New Roman" w:hAnsi="Times New Roman" w:cs="Times New Roman"/>
          <w:sz w:val="24"/>
          <w:szCs w:val="24"/>
        </w:rPr>
        <w:t>he future of work is likely to be highly influenced by climate-related factors (Maitre et al.</w:t>
      </w:r>
      <w:r w:rsidRPr="009D0C0C">
        <w:rPr>
          <w:rFonts w:ascii="Times New Roman" w:hAnsi="Times New Roman" w:cs="Times New Roman"/>
          <w:sz w:val="24"/>
          <w:szCs w:val="24"/>
        </w:rPr>
        <w:t>,</w:t>
      </w:r>
      <w:r w:rsidRPr="0032310C">
        <w:rPr>
          <w:rFonts w:ascii="Times New Roman" w:hAnsi="Times New Roman" w:cs="Times New Roman"/>
          <w:sz w:val="24"/>
          <w:szCs w:val="24"/>
        </w:rPr>
        <w:t xml:space="preserve"> 2018). A critical feature of the future is that workers (particularly outdoor workers),</w:t>
      </w:r>
      <w:r w:rsidRPr="00E732AE">
        <w:rPr>
          <w:rFonts w:ascii="Times New Roman" w:hAnsi="Times New Roman" w:cs="Times New Roman"/>
          <w:sz w:val="24"/>
          <w:szCs w:val="24"/>
        </w:rPr>
        <w:t xml:space="preserve"> will be required to function in hotter environments, and in those with extreme weather conditions. Outdoor workers will be most vulnerable to climate change. Cho (2019), reported: “Climate change will threaten the bottom line of business in a variety of ways: damaging factories, supply chains and other infrastructures </w:t>
      </w:r>
      <w:r w:rsidRPr="00900C98">
        <w:rPr>
          <w:rFonts w:ascii="Times New Roman" w:hAnsi="Times New Roman" w:cs="Times New Roman"/>
          <w:sz w:val="24"/>
          <w:szCs w:val="24"/>
        </w:rPr>
        <w:t>and disrupt</w:t>
      </w:r>
      <w:r w:rsidRPr="00936381">
        <w:rPr>
          <w:rFonts w:ascii="Times New Roman" w:hAnsi="Times New Roman" w:cs="Times New Roman"/>
          <w:sz w:val="24"/>
          <w:szCs w:val="24"/>
        </w:rPr>
        <w:t>ing</w:t>
      </w:r>
      <w:r w:rsidRPr="00A80DF8">
        <w:rPr>
          <w:rFonts w:ascii="Times New Roman" w:hAnsi="Times New Roman" w:cs="Times New Roman"/>
          <w:sz w:val="24"/>
          <w:szCs w:val="24"/>
        </w:rPr>
        <w:t xml:space="preserve"> transport. Droughts will make water more expensive, which will likely affect the cost of n</w:t>
      </w:r>
      <w:r w:rsidRPr="00860709">
        <w:rPr>
          <w:rFonts w:ascii="Times New Roman" w:hAnsi="Times New Roman" w:cs="Times New Roman"/>
          <w:sz w:val="24"/>
          <w:szCs w:val="24"/>
        </w:rPr>
        <w:t>ew materials, production, energy transport, and insurance.”</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t>Increasing temperatures are likely to result in more workers dying and many more suffering from heat-related adverse effects (</w:t>
      </w:r>
      <w:proofErr w:type="spellStart"/>
      <w:r w:rsidRPr="00860709">
        <w:rPr>
          <w:rFonts w:ascii="Times New Roman" w:hAnsi="Times New Roman" w:cs="Times New Roman"/>
          <w:sz w:val="24"/>
          <w:szCs w:val="24"/>
        </w:rPr>
        <w:t>Kjellstrom</w:t>
      </w:r>
      <w:proofErr w:type="spellEnd"/>
      <w:r w:rsidRPr="00860709">
        <w:rPr>
          <w:rFonts w:ascii="Times New Roman" w:hAnsi="Times New Roman" w:cs="Times New Roman"/>
          <w:sz w:val="24"/>
          <w:szCs w:val="24"/>
        </w:rPr>
        <w:t xml:space="preserve"> et al., 2014; </w:t>
      </w:r>
      <w:proofErr w:type="spellStart"/>
      <w:r w:rsidRPr="00860709">
        <w:rPr>
          <w:rFonts w:ascii="Times New Roman" w:hAnsi="Times New Roman" w:cs="Times New Roman"/>
          <w:sz w:val="24"/>
          <w:szCs w:val="24"/>
        </w:rPr>
        <w:t>Sylla</w:t>
      </w:r>
      <w:proofErr w:type="spellEnd"/>
      <w:r w:rsidRPr="00860709">
        <w:rPr>
          <w:rFonts w:ascii="Times New Roman" w:hAnsi="Times New Roman" w:cs="Times New Roman"/>
          <w:sz w:val="24"/>
          <w:szCs w:val="24"/>
        </w:rPr>
        <w:t xml:space="preserve"> et al., 2018;Schulte et al., 2016; Dong et al., 2019). Climate change may present acute and chronic stressors on workers and this may have severe mental health effects (Clayton et al., 2017). Increasing warmth and precipitation will also expand natural habitats of vectors and put additional workers at risk of exposure to vector-borne diseases and biological hazards (Schulte et al., 2016).</w:t>
      </w:r>
    </w:p>
    <w:p w:rsidR="006E1D59" w:rsidRPr="00860709" w:rsidRDefault="006E1D59" w:rsidP="006E1D59">
      <w:pPr>
        <w:spacing w:after="0" w:line="360" w:lineRule="auto"/>
        <w:ind w:firstLine="720"/>
        <w:rPr>
          <w:rFonts w:ascii="Times New Roman" w:hAnsi="Times New Roman" w:cs="Times New Roman"/>
          <w:sz w:val="24"/>
          <w:szCs w:val="24"/>
        </w:rPr>
      </w:pPr>
      <w:r w:rsidRPr="00860709">
        <w:rPr>
          <w:rFonts w:ascii="Times New Roman" w:hAnsi="Times New Roman" w:cs="Times New Roman"/>
          <w:sz w:val="24"/>
          <w:szCs w:val="24"/>
        </w:rPr>
        <w:lastRenderedPageBreak/>
        <w:t>Clearly, some remediation and climate control efforts will produce new jobs, but many displaced persons may find it more difficult to obtain work than not. Migration due to climate change—both within countries and across borders—is expected, and as an indication of the magnitude, an estimated 143 million individuals will be impacted in three geographical areas, alone (</w:t>
      </w:r>
      <w:proofErr w:type="spellStart"/>
      <w:r w:rsidRPr="00860709">
        <w:rPr>
          <w:rFonts w:ascii="Times New Roman" w:hAnsi="Times New Roman" w:cs="Times New Roman"/>
          <w:sz w:val="24"/>
          <w:szCs w:val="24"/>
        </w:rPr>
        <w:t>Rigaud</w:t>
      </w:r>
      <w:proofErr w:type="spellEnd"/>
      <w:r w:rsidRPr="00860709">
        <w:rPr>
          <w:rFonts w:ascii="Times New Roman" w:hAnsi="Times New Roman" w:cs="Times New Roman"/>
          <w:sz w:val="24"/>
          <w:szCs w:val="24"/>
        </w:rPr>
        <w:t xml:space="preserve"> et al., 2018). It is estimated that by 2030, a global temperature rise of 1.5°C will lead to a global productivity loss, which equates to the displacement of 72 million-full time jobs (Maitre et al., 2018). On average, working capacity of heat-exposed workers is expected to decrease globally over the rest of the century (Dunne et al., 2013).</w:t>
      </w:r>
    </w:p>
    <w:p w:rsidR="006E1D59" w:rsidRPr="00860709" w:rsidRDefault="006E1D59" w:rsidP="006E1D59">
      <w:pPr>
        <w:spacing w:after="0" w:line="360" w:lineRule="auto"/>
        <w:ind w:firstLine="720"/>
        <w:rPr>
          <w:rStyle w:val="SubtleEmphasis"/>
          <w:rFonts w:ascii="Times New Roman" w:hAnsi="Times New Roman" w:cs="Times New Roman"/>
          <w:b/>
          <w:bCs/>
          <w:sz w:val="24"/>
          <w:szCs w:val="24"/>
        </w:rPr>
      </w:pPr>
      <w:r w:rsidRPr="00860709">
        <w:rPr>
          <w:rFonts w:ascii="Times New Roman" w:hAnsi="Times New Roman" w:cs="Times New Roman"/>
          <w:sz w:val="24"/>
          <w:szCs w:val="24"/>
        </w:rPr>
        <w:t>Efforts in geo-engineering to mitigate climate change may create new jobs with known or unknown hazards. Geo-engineering is controversial and generally not sanctioned by world governments. However, if as conditions worsen the chance the pilot efforts may be developed and hazardous conditions for workers might arise (Schulte et al., 2016).</w:t>
      </w:r>
    </w:p>
    <w:p w:rsidR="006E1D59" w:rsidRPr="00F46D84"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Human Enhancement</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Hu</w:t>
      </w:r>
      <w:r w:rsidRPr="004C5062">
        <w:rPr>
          <w:rFonts w:ascii="Times New Roman" w:hAnsi="Times New Roman" w:cs="Times New Roman"/>
          <w:sz w:val="24"/>
          <w:szCs w:val="24"/>
        </w:rPr>
        <w:t>man enhancement encompasses a range of approaches that are designed to restore or improve human perf</w:t>
      </w:r>
      <w:r w:rsidRPr="009D0C0C">
        <w:rPr>
          <w:rFonts w:ascii="Times New Roman" w:hAnsi="Times New Roman" w:cs="Times New Roman"/>
          <w:sz w:val="24"/>
          <w:szCs w:val="24"/>
        </w:rPr>
        <w:t>ormance (Acad</w:t>
      </w:r>
      <w:r w:rsidRPr="0032310C">
        <w:rPr>
          <w:rFonts w:ascii="Times New Roman" w:hAnsi="Times New Roman" w:cs="Times New Roman"/>
          <w:sz w:val="24"/>
          <w:szCs w:val="24"/>
        </w:rPr>
        <w:t>emy of Med</w:t>
      </w:r>
      <w:r w:rsidRPr="00E732AE">
        <w:rPr>
          <w:rFonts w:ascii="Times New Roman" w:hAnsi="Times New Roman" w:cs="Times New Roman"/>
          <w:sz w:val="24"/>
          <w:szCs w:val="24"/>
        </w:rPr>
        <w:t>ical Sciences, 2012). Increased use of worker enhancements in future work</w:t>
      </w:r>
      <w:r w:rsidRPr="00900C98">
        <w:rPr>
          <w:rFonts w:ascii="Times New Roman" w:hAnsi="Times New Roman" w:cs="Times New Roman"/>
          <w:sz w:val="24"/>
          <w:szCs w:val="24"/>
        </w:rPr>
        <w:t xml:space="preserve"> is likely in part due to pressure or demands of employers </w:t>
      </w:r>
      <w:r w:rsidRPr="00936381">
        <w:rPr>
          <w:rFonts w:ascii="Times New Roman" w:hAnsi="Times New Roman" w:cs="Times New Roman"/>
          <w:sz w:val="24"/>
          <w:szCs w:val="24"/>
        </w:rPr>
        <w:t>a</w:t>
      </w:r>
      <w:r w:rsidRPr="00A80DF8">
        <w:rPr>
          <w:rFonts w:ascii="Times New Roman" w:hAnsi="Times New Roman" w:cs="Times New Roman"/>
          <w:sz w:val="24"/>
          <w:szCs w:val="24"/>
        </w:rPr>
        <w:t xml:space="preserve">nd in part due to an aging workforce </w:t>
      </w:r>
      <w:r w:rsidRPr="00860709">
        <w:rPr>
          <w:rFonts w:ascii="Times New Roman" w:hAnsi="Times New Roman" w:cs="Times New Roman"/>
          <w:sz w:val="24"/>
          <w:szCs w:val="24"/>
        </w:rPr>
        <w:t>(</w:t>
      </w:r>
      <w:proofErr w:type="spellStart"/>
      <w:r w:rsidRPr="00860709">
        <w:rPr>
          <w:rFonts w:ascii="Times New Roman" w:hAnsi="Times New Roman" w:cs="Times New Roman"/>
          <w:sz w:val="24"/>
          <w:szCs w:val="24"/>
        </w:rPr>
        <w:t>MarketWatch</w:t>
      </w:r>
      <w:proofErr w:type="spellEnd"/>
      <w:r w:rsidRPr="00860709">
        <w:rPr>
          <w:rFonts w:ascii="Times New Roman" w:hAnsi="Times New Roman" w:cs="Times New Roman"/>
          <w:sz w:val="24"/>
          <w:szCs w:val="24"/>
        </w:rPr>
        <w:t>, 2018). The spectrum of human enhancements includes among others, cognitive and physical enhancements.</w:t>
      </w:r>
    </w:p>
    <w:p w:rsidR="006E1D59" w:rsidRDefault="006E1D59" w:rsidP="006E1D59">
      <w:pPr>
        <w:spacing w:after="0" w:line="360" w:lineRule="auto"/>
        <w:rPr>
          <w:rStyle w:val="SubtleEmphasis"/>
          <w:rFonts w:ascii="Times New Roman" w:hAnsi="Times New Roman" w:cs="Times New Roman"/>
          <w:b/>
          <w:bCs/>
          <w:sz w:val="24"/>
          <w:szCs w:val="24"/>
        </w:rPr>
      </w:pP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Cognitive </w:t>
      </w:r>
      <w:r w:rsidRPr="00F46D84">
        <w:rPr>
          <w:rStyle w:val="SubtleEmphasis"/>
          <w:rFonts w:ascii="Times New Roman" w:hAnsi="Times New Roman" w:cs="Times New Roman"/>
          <w:b/>
          <w:bCs/>
          <w:sz w:val="24"/>
          <w:szCs w:val="24"/>
        </w:rPr>
        <w:t>E</w:t>
      </w:r>
      <w:r w:rsidRPr="00860709">
        <w:rPr>
          <w:rStyle w:val="SubtleEmphasis"/>
          <w:rFonts w:ascii="Times New Roman" w:hAnsi="Times New Roman" w:cs="Times New Roman"/>
          <w:b/>
          <w:bCs/>
          <w:sz w:val="24"/>
          <w:szCs w:val="24"/>
        </w:rPr>
        <w:t>nhancement</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“Cognitive-enhancing drugs are pharmaceutical substances claimed to improve men</w:t>
      </w:r>
      <w:r w:rsidRPr="004C5062">
        <w:rPr>
          <w:rFonts w:ascii="Times New Roman" w:hAnsi="Times New Roman" w:cs="Times New Roman"/>
          <w:sz w:val="24"/>
          <w:szCs w:val="24"/>
        </w:rPr>
        <w:t>tal performance such as focus, concentration, memory or motivation</w:t>
      </w:r>
      <w:r w:rsidRPr="009D0C0C">
        <w:rPr>
          <w:rFonts w:ascii="Times New Roman" w:hAnsi="Times New Roman" w:cs="Times New Roman"/>
          <w:sz w:val="24"/>
          <w:szCs w:val="24"/>
        </w:rPr>
        <w:t xml:space="preserve"> (</w:t>
      </w:r>
      <w:r w:rsidRPr="0032310C">
        <w:rPr>
          <w:rFonts w:ascii="Times New Roman" w:hAnsi="Times New Roman" w:cs="Times New Roman"/>
          <w:sz w:val="24"/>
          <w:szCs w:val="24"/>
        </w:rPr>
        <w:t>Dale and Bloo</w:t>
      </w:r>
      <w:r w:rsidRPr="00E732AE">
        <w:rPr>
          <w:rFonts w:ascii="Times New Roman" w:hAnsi="Times New Roman" w:cs="Times New Roman"/>
          <w:sz w:val="24"/>
          <w:szCs w:val="24"/>
        </w:rPr>
        <w:t xml:space="preserve">mfield, 2016).” In the coming decades, increased use of cognitive enhancing drugs by workers is projected </w:t>
      </w:r>
      <w:r w:rsidRPr="00900C98">
        <w:rPr>
          <w:rFonts w:ascii="Times New Roman" w:hAnsi="Times New Roman" w:cs="Times New Roman"/>
          <w:sz w:val="24"/>
          <w:szCs w:val="24"/>
        </w:rPr>
        <w:t xml:space="preserve">(Dale and Bloomfield, </w:t>
      </w:r>
      <w:r w:rsidRPr="00936381">
        <w:rPr>
          <w:rFonts w:ascii="Times New Roman" w:hAnsi="Times New Roman" w:cs="Times New Roman"/>
          <w:sz w:val="24"/>
          <w:szCs w:val="24"/>
        </w:rPr>
        <w:t>2016). Three main pharmaceutical drugs are comm</w:t>
      </w:r>
      <w:r w:rsidRPr="00A80DF8">
        <w:rPr>
          <w:rFonts w:ascii="Times New Roman" w:hAnsi="Times New Roman" w:cs="Times New Roman"/>
          <w:sz w:val="24"/>
          <w:szCs w:val="24"/>
        </w:rPr>
        <w:t>only associated with cognitive enhancement: amphetamine, methylphenidate;</w:t>
      </w:r>
      <w:r w:rsidRPr="00860709">
        <w:rPr>
          <w:rFonts w:ascii="Times New Roman" w:hAnsi="Times New Roman" w:cs="Times New Roman"/>
          <w:sz w:val="24"/>
          <w:szCs w:val="24"/>
        </w:rPr>
        <w:t xml:space="preserve"> and </w:t>
      </w:r>
      <w:proofErr w:type="spellStart"/>
      <w:r w:rsidRPr="00860709">
        <w:rPr>
          <w:rFonts w:ascii="Times New Roman" w:hAnsi="Times New Roman" w:cs="Times New Roman"/>
          <w:sz w:val="24"/>
          <w:szCs w:val="24"/>
        </w:rPr>
        <w:t>modafinil</w:t>
      </w:r>
      <w:proofErr w:type="spellEnd"/>
      <w:r w:rsidRPr="00860709">
        <w:rPr>
          <w:rFonts w:ascii="Times New Roman" w:hAnsi="Times New Roman" w:cs="Times New Roman"/>
          <w:sz w:val="24"/>
          <w:szCs w:val="24"/>
        </w:rPr>
        <w:t>/</w:t>
      </w:r>
      <w:proofErr w:type="spellStart"/>
      <w:r w:rsidRPr="00860709">
        <w:rPr>
          <w:rFonts w:ascii="Times New Roman" w:hAnsi="Times New Roman" w:cs="Times New Roman"/>
          <w:sz w:val="24"/>
          <w:szCs w:val="24"/>
        </w:rPr>
        <w:t>armodafinil</w:t>
      </w:r>
      <w:proofErr w:type="spellEnd"/>
      <w:r w:rsidRPr="00860709">
        <w:rPr>
          <w:rFonts w:ascii="Times New Roman" w:hAnsi="Times New Roman" w:cs="Times New Roman"/>
          <w:sz w:val="24"/>
          <w:szCs w:val="24"/>
        </w:rPr>
        <w:t xml:space="preserve"> and are predominantly used illicitly. Although they have cognitive effects, they also have physical ones (i.e., heart dysfunction, high blood pressure, tolerance, addiction, mental health, and emotional problems). Further, they can lead to various occupational safety and health problems in the workplace, such as pressure to conform to use such drugs, use of drugs instead of organizational </w:t>
      </w:r>
      <w:r w:rsidRPr="00860709">
        <w:rPr>
          <w:rFonts w:ascii="Times New Roman" w:hAnsi="Times New Roman" w:cs="Times New Roman"/>
          <w:sz w:val="24"/>
          <w:szCs w:val="24"/>
        </w:rPr>
        <w:lastRenderedPageBreak/>
        <w:t>improvement, as well as employer expectations imposed onto employees to work longer hours at greater intensity and pace (Dale and Bloomfield, 2016).</w:t>
      </w:r>
    </w:p>
    <w:p w:rsidR="006E1D59" w:rsidRPr="00860709" w:rsidRDefault="006E1D59" w:rsidP="006E1D59">
      <w:pPr>
        <w:spacing w:after="0" w:line="360" w:lineRule="auto"/>
        <w:rPr>
          <w:rStyle w:val="SubtleEmphasis"/>
        </w:rPr>
      </w:pPr>
    </w:p>
    <w:p w:rsidR="006E1D59" w:rsidRPr="00860709" w:rsidRDefault="006E1D59" w:rsidP="006E1D59">
      <w:pPr>
        <w:spacing w:after="0" w:line="360" w:lineRule="auto"/>
        <w:rPr>
          <w:rStyle w:val="SubtleEmphasis"/>
          <w:rFonts w:ascii="Times New Roman" w:hAnsi="Times New Roman" w:cs="Times New Roman"/>
          <w:b/>
          <w:bCs/>
          <w:sz w:val="24"/>
          <w:szCs w:val="24"/>
        </w:rPr>
      </w:pPr>
      <w:r w:rsidRPr="00860709">
        <w:rPr>
          <w:rStyle w:val="SubtleEmphasis"/>
          <w:rFonts w:ascii="Times New Roman" w:hAnsi="Times New Roman" w:cs="Times New Roman"/>
          <w:b/>
          <w:bCs/>
          <w:sz w:val="24"/>
          <w:szCs w:val="24"/>
        </w:rPr>
        <w:t xml:space="preserve">Physical </w:t>
      </w:r>
      <w:r w:rsidRPr="00F46D84">
        <w:rPr>
          <w:rStyle w:val="SubtleEmphasis"/>
          <w:rFonts w:ascii="Times New Roman" w:hAnsi="Times New Roman" w:cs="Times New Roman"/>
          <w:b/>
          <w:bCs/>
          <w:sz w:val="24"/>
          <w:szCs w:val="24"/>
        </w:rPr>
        <w:t>E</w:t>
      </w:r>
      <w:r w:rsidRPr="00860709">
        <w:rPr>
          <w:rStyle w:val="SubtleEmphasis"/>
          <w:rFonts w:ascii="Times New Roman" w:hAnsi="Times New Roman" w:cs="Times New Roman"/>
          <w:b/>
          <w:bCs/>
          <w:sz w:val="24"/>
          <w:szCs w:val="24"/>
        </w:rPr>
        <w:t>nhancement</w:t>
      </w:r>
    </w:p>
    <w:p w:rsidR="006E1D59" w:rsidRPr="00860709" w:rsidRDefault="006E1D59" w:rsidP="006E1D59">
      <w:pPr>
        <w:spacing w:after="0" w:line="360" w:lineRule="auto"/>
        <w:ind w:firstLine="720"/>
        <w:rPr>
          <w:rFonts w:ascii="Times New Roman" w:hAnsi="Times New Roman" w:cs="Times New Roman"/>
          <w:b/>
          <w:bCs/>
          <w:sz w:val="24"/>
          <w:szCs w:val="24"/>
        </w:rPr>
      </w:pPr>
      <w:r w:rsidRPr="00F46D84">
        <w:rPr>
          <w:rFonts w:ascii="Times New Roman" w:hAnsi="Times New Roman" w:cs="Times New Roman"/>
          <w:sz w:val="24"/>
          <w:szCs w:val="24"/>
        </w:rPr>
        <w:t xml:space="preserve">Also anticipated is the growing use of physical enhancement, including that </w:t>
      </w:r>
      <w:r w:rsidRPr="004C5062">
        <w:rPr>
          <w:rFonts w:ascii="Times New Roman" w:hAnsi="Times New Roman" w:cs="Times New Roman"/>
          <w:sz w:val="24"/>
          <w:szCs w:val="24"/>
        </w:rPr>
        <w:t>which is</w:t>
      </w:r>
      <w:r w:rsidRPr="009D0C0C">
        <w:rPr>
          <w:rFonts w:ascii="Times New Roman" w:hAnsi="Times New Roman" w:cs="Times New Roman"/>
          <w:sz w:val="24"/>
          <w:szCs w:val="24"/>
        </w:rPr>
        <w:t xml:space="preserve"> restorative and tha</w:t>
      </w:r>
      <w:r w:rsidRPr="0032310C">
        <w:rPr>
          <w:rFonts w:ascii="Times New Roman" w:hAnsi="Times New Roman" w:cs="Times New Roman"/>
          <w:sz w:val="24"/>
          <w:szCs w:val="24"/>
        </w:rPr>
        <w:t>t which</w:t>
      </w:r>
      <w:r w:rsidRPr="00E732AE">
        <w:rPr>
          <w:rFonts w:ascii="Times New Roman" w:hAnsi="Times New Roman" w:cs="Times New Roman"/>
          <w:sz w:val="24"/>
          <w:szCs w:val="24"/>
        </w:rPr>
        <w:t xml:space="preserve"> takes individuals beyond the norm. The distinction between the two may influence regulatory activity (Academy of Medical Sci</w:t>
      </w:r>
      <w:r w:rsidRPr="00900C98">
        <w:rPr>
          <w:rFonts w:ascii="Times New Roman" w:hAnsi="Times New Roman" w:cs="Times New Roman"/>
          <w:sz w:val="24"/>
          <w:szCs w:val="24"/>
        </w:rPr>
        <w:t>ence, 2012). The commercial market for technologies to augment human performance is large and growing. Many of the technolog</w:t>
      </w:r>
      <w:r w:rsidRPr="00936381">
        <w:rPr>
          <w:rFonts w:ascii="Times New Roman" w:hAnsi="Times New Roman" w:cs="Times New Roman"/>
          <w:sz w:val="24"/>
          <w:szCs w:val="24"/>
        </w:rPr>
        <w:t>ical and physical enhancements are referred to as exoskel</w:t>
      </w:r>
      <w:r w:rsidRPr="00860709">
        <w:rPr>
          <w:rFonts w:ascii="Times New Roman" w:hAnsi="Times New Roman" w:cs="Times New Roman"/>
          <w:sz w:val="24"/>
          <w:szCs w:val="24"/>
        </w:rPr>
        <w:t xml:space="preserve">etons—wearable external mechanical (powered by electronic or human motion) supporting structures that augment human performance (Young and Ferris, 2017; McGowan, 2018). These devices may be classified as active or passive. There are few peer-reviewed publications on the effectiveness of exoskeletons or their possible hazards, though some early indication of utility has been demonstrated (Butler and Gillette, 2019). Potential hazards that have been forecasted include perceived physical discomfort and shifting the load from the shoulders to the lower back and legs with upper-extremity devices (McGowan, 2018; </w:t>
      </w:r>
      <w:proofErr w:type="spellStart"/>
      <w:r w:rsidRPr="00860709">
        <w:rPr>
          <w:rFonts w:ascii="Times New Roman" w:hAnsi="Times New Roman" w:cs="Times New Roman"/>
          <w:sz w:val="24"/>
          <w:szCs w:val="24"/>
        </w:rPr>
        <w:t>Zingman</w:t>
      </w:r>
      <w:proofErr w:type="spellEnd"/>
      <w:r w:rsidRPr="00860709">
        <w:rPr>
          <w:rFonts w:ascii="Times New Roman" w:hAnsi="Times New Roman" w:cs="Times New Roman"/>
          <w:sz w:val="24"/>
          <w:szCs w:val="24"/>
        </w:rPr>
        <w:t xml:space="preserve"> et al., 2017). Additional hazards consist of increased chest pressure that could negatively impact workers, particularly those with pre-existing conditions (such as Chronic Obstructive Pulmonary Disease), increased load on the spine from the weight that could cause pressure wounds or compressed nerves, and shifting of center of gravity leading to collisions or falls (</w:t>
      </w:r>
      <w:proofErr w:type="spellStart"/>
      <w:r w:rsidRPr="00860709">
        <w:rPr>
          <w:rFonts w:ascii="Times New Roman" w:hAnsi="Times New Roman" w:cs="Times New Roman"/>
          <w:sz w:val="24"/>
          <w:szCs w:val="24"/>
        </w:rPr>
        <w:t>Zingman</w:t>
      </w:r>
      <w:proofErr w:type="spellEnd"/>
      <w:r w:rsidRPr="00860709">
        <w:rPr>
          <w:rFonts w:ascii="Times New Roman" w:hAnsi="Times New Roman" w:cs="Times New Roman"/>
          <w:sz w:val="24"/>
          <w:szCs w:val="24"/>
        </w:rPr>
        <w:t xml:space="preserve"> et al., 2017; </w:t>
      </w:r>
      <w:proofErr w:type="spellStart"/>
      <w:r w:rsidRPr="00860709">
        <w:rPr>
          <w:rFonts w:ascii="Times New Roman" w:hAnsi="Times New Roman" w:cs="Times New Roman"/>
          <w:sz w:val="24"/>
          <w:szCs w:val="24"/>
        </w:rPr>
        <w:t>Federici</w:t>
      </w:r>
      <w:proofErr w:type="spellEnd"/>
      <w:r w:rsidRPr="00860709">
        <w:rPr>
          <w:rFonts w:ascii="Times New Roman" w:hAnsi="Times New Roman" w:cs="Times New Roman"/>
          <w:sz w:val="24"/>
          <w:szCs w:val="24"/>
        </w:rPr>
        <w:t xml:space="preserve"> et al., 2015).</w:t>
      </w: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 xml:space="preserve">Worker </w:t>
      </w:r>
      <w:r w:rsidRPr="00F46D84">
        <w:rPr>
          <w:rStyle w:val="SubtleEmphasis"/>
          <w:rFonts w:ascii="Times New Roman" w:hAnsi="Times New Roman" w:cs="Times New Roman"/>
          <w:b/>
          <w:bCs/>
          <w:i w:val="0"/>
          <w:iCs w:val="0"/>
          <w:sz w:val="24"/>
          <w:szCs w:val="24"/>
        </w:rPr>
        <w:t>M</w:t>
      </w:r>
      <w:r w:rsidRPr="00860709">
        <w:rPr>
          <w:rStyle w:val="SubtleEmphasis"/>
          <w:rFonts w:ascii="Times New Roman" w:hAnsi="Times New Roman" w:cs="Times New Roman"/>
          <w:b/>
          <w:bCs/>
          <w:i w:val="0"/>
          <w:iCs w:val="0"/>
          <w:sz w:val="24"/>
          <w:szCs w:val="24"/>
        </w:rPr>
        <w:t>onitoring</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Worker monitoring may provide information to workers and their employers.</w:t>
      </w:r>
      <w:r w:rsidRPr="004C5062">
        <w:rPr>
          <w:rFonts w:ascii="Times New Roman" w:hAnsi="Times New Roman" w:cs="Times New Roman"/>
          <w:sz w:val="24"/>
          <w:szCs w:val="24"/>
        </w:rPr>
        <w:t xml:space="preserve"> </w:t>
      </w:r>
      <w:r w:rsidRPr="009D0C0C">
        <w:rPr>
          <w:rFonts w:ascii="Times New Roman" w:hAnsi="Times New Roman" w:cs="Times New Roman"/>
          <w:sz w:val="24"/>
          <w:szCs w:val="24"/>
        </w:rPr>
        <w:t>W</w:t>
      </w:r>
      <w:r w:rsidRPr="0032310C">
        <w:rPr>
          <w:rFonts w:ascii="Times New Roman" w:hAnsi="Times New Roman" w:cs="Times New Roman"/>
          <w:sz w:val="24"/>
          <w:szCs w:val="24"/>
        </w:rPr>
        <w:t xml:space="preserve">earable sensors or other monitoring technologies can be worn as a garment or as a separate </w:t>
      </w:r>
      <w:r w:rsidRPr="00E732AE">
        <w:rPr>
          <w:rFonts w:ascii="Times New Roman" w:hAnsi="Times New Roman" w:cs="Times New Roman"/>
          <w:sz w:val="24"/>
          <w:szCs w:val="24"/>
        </w:rPr>
        <w:t xml:space="preserve">indicator strapped to a worker. They can be used for a variety of purposes including evaluating the function and benefits of exoskeletons, as well as physiological states of stress, cognitive processes, behavior, and chemical exposures (EU-OSHA, 2019; </w:t>
      </w:r>
      <w:proofErr w:type="spellStart"/>
      <w:r w:rsidRPr="00E732AE">
        <w:rPr>
          <w:rFonts w:ascii="Times New Roman" w:hAnsi="Times New Roman" w:cs="Times New Roman"/>
          <w:sz w:val="24"/>
          <w:szCs w:val="24"/>
        </w:rPr>
        <w:t>Bandodkar</w:t>
      </w:r>
      <w:proofErr w:type="spellEnd"/>
      <w:r w:rsidRPr="00E732AE">
        <w:rPr>
          <w:rFonts w:ascii="Times New Roman" w:hAnsi="Times New Roman" w:cs="Times New Roman"/>
          <w:sz w:val="24"/>
          <w:szCs w:val="24"/>
        </w:rPr>
        <w:t xml:space="preserve"> et al.,</w:t>
      </w:r>
      <w:r w:rsidRPr="00900C98">
        <w:rPr>
          <w:rFonts w:ascii="Times New Roman" w:hAnsi="Times New Roman" w:cs="Times New Roman"/>
          <w:sz w:val="24"/>
          <w:szCs w:val="24"/>
        </w:rPr>
        <w:t xml:space="preserve"> 2016). Various monitoring technologies have been and are being developed to monitor long-term physical well-being (e.g., cardiovascular issues and immune system functioning), physiologic reactions (e.g., </w:t>
      </w:r>
      <w:r w:rsidRPr="00860709">
        <w:rPr>
          <w:rFonts w:ascii="Times New Roman" w:hAnsi="Times New Roman" w:cs="Times New Roman"/>
          <w:sz w:val="24"/>
          <w:szCs w:val="24"/>
        </w:rPr>
        <w:t xml:space="preserve">these present in communication), behavior (e.g., facial expressions, speech, movements, and touch), and cognitive processes (e.g., perception, memory, and reasoning) (EU-OSHA, 2019). </w:t>
      </w:r>
      <w:r w:rsidRPr="00860709">
        <w:rPr>
          <w:rFonts w:ascii="Times New Roman" w:hAnsi="Times New Roman" w:cs="Times New Roman"/>
          <w:sz w:val="24"/>
          <w:szCs w:val="24"/>
        </w:rPr>
        <w:lastRenderedPageBreak/>
        <w:t>One potential issue and key distinction is not the ability of these technologies to sense well-being, but rather their ability to sense lack of well-being. An equally important challenge is that most sensors generally provide information on individual workers, and thus there are many issues related to privacy, confidentiality, discrimination, and autonomy that can arise and will need careful consideration. The increasing ability to monitor workers may be seen as related to the larger practice of population surveillance by companies capitalizing on large amounts of data on individuals for marketing purposes (</w:t>
      </w:r>
      <w:proofErr w:type="spellStart"/>
      <w:r w:rsidRPr="00860709">
        <w:rPr>
          <w:rFonts w:ascii="Times New Roman" w:hAnsi="Times New Roman" w:cs="Times New Roman"/>
          <w:sz w:val="24"/>
          <w:szCs w:val="24"/>
        </w:rPr>
        <w:t>Zuboff</w:t>
      </w:r>
      <w:proofErr w:type="spellEnd"/>
      <w:r w:rsidRPr="00860709">
        <w:rPr>
          <w:rFonts w:ascii="Times New Roman" w:hAnsi="Times New Roman" w:cs="Times New Roman"/>
          <w:sz w:val="24"/>
          <w:szCs w:val="24"/>
        </w:rPr>
        <w:t>, 2018).</w:t>
      </w:r>
    </w:p>
    <w:p w:rsidR="006E1D59" w:rsidRPr="00860709" w:rsidRDefault="006E1D59" w:rsidP="006E1D59">
      <w:pPr>
        <w:spacing w:after="0" w:line="360" w:lineRule="auto"/>
        <w:ind w:firstLine="720"/>
        <w:rPr>
          <w:rFonts w:ascii="Times New Roman" w:hAnsi="Times New Roman" w:cs="Times New Roman"/>
          <w:b/>
          <w:bCs/>
          <w:sz w:val="24"/>
          <w:szCs w:val="24"/>
        </w:rPr>
      </w:pPr>
      <w:r w:rsidRPr="00860709">
        <w:rPr>
          <w:rFonts w:ascii="Times New Roman" w:hAnsi="Times New Roman" w:cs="Times New Roman"/>
          <w:sz w:val="24"/>
          <w:szCs w:val="24"/>
        </w:rPr>
        <w:t xml:space="preserve">Moore (2018) warned about the dark side of the algorithmic-based monitoring: “Improvements to, and controls over the body are now considered a necessary workplace performance, now as paid part of work, and ultimately are at risk of becoming the most invasive and intimate managerial methods to mask anxiety and the oppression of </w:t>
      </w:r>
      <w:proofErr w:type="spellStart"/>
      <w:r w:rsidRPr="00860709">
        <w:rPr>
          <w:rFonts w:ascii="Times New Roman" w:hAnsi="Times New Roman" w:cs="Times New Roman"/>
          <w:sz w:val="24"/>
          <w:szCs w:val="24"/>
        </w:rPr>
        <w:t>precarity</w:t>
      </w:r>
      <w:proofErr w:type="spellEnd"/>
      <w:r w:rsidRPr="00860709">
        <w:rPr>
          <w:rFonts w:ascii="Times New Roman" w:hAnsi="Times New Roman" w:cs="Times New Roman"/>
          <w:sz w:val="24"/>
          <w:szCs w:val="24"/>
        </w:rPr>
        <w:t xml:space="preserve">.” Moreover, the possibilities for ‘digital management’ of workers can infringe on their autonomy and dignity. They can be monitored and followed in terms of pace of work and periods of </w:t>
      </w:r>
      <w:proofErr w:type="spellStart"/>
      <w:r w:rsidRPr="00860709">
        <w:rPr>
          <w:rFonts w:ascii="Times New Roman" w:hAnsi="Times New Roman" w:cs="Times New Roman"/>
          <w:sz w:val="24"/>
          <w:szCs w:val="24"/>
        </w:rPr>
        <w:t>nonwork</w:t>
      </w:r>
      <w:proofErr w:type="spellEnd"/>
      <w:r w:rsidRPr="00860709">
        <w:rPr>
          <w:rFonts w:ascii="Times New Roman" w:hAnsi="Times New Roman" w:cs="Times New Roman"/>
          <w:sz w:val="24"/>
          <w:szCs w:val="24"/>
        </w:rPr>
        <w:t xml:space="preserve"> during designated work times. Ultimately, they can lead to objectification of workers where they are treated  “as a tool serving someone else’s purposes” (</w:t>
      </w:r>
      <w:proofErr w:type="spellStart"/>
      <w:r w:rsidRPr="00860709">
        <w:rPr>
          <w:rFonts w:ascii="Times New Roman" w:hAnsi="Times New Roman" w:cs="Times New Roman"/>
          <w:sz w:val="24"/>
          <w:szCs w:val="24"/>
        </w:rPr>
        <w:t>Degryse</w:t>
      </w:r>
      <w:proofErr w:type="spellEnd"/>
      <w:r w:rsidRPr="00860709">
        <w:rPr>
          <w:rFonts w:ascii="Times New Roman" w:hAnsi="Times New Roman" w:cs="Times New Roman"/>
          <w:sz w:val="24"/>
          <w:szCs w:val="24"/>
        </w:rPr>
        <w:t>, 2016).</w:t>
      </w: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Advanced Manufacturing</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Advanced manufacturing, including a</w:t>
      </w:r>
      <w:r w:rsidRPr="004C5062">
        <w:rPr>
          <w:rFonts w:ascii="Times New Roman" w:hAnsi="Times New Roman" w:cs="Times New Roman"/>
          <w:sz w:val="24"/>
          <w:szCs w:val="24"/>
        </w:rPr>
        <w:t>dditive manufacturing (3-D printing)</w:t>
      </w:r>
      <w:r w:rsidRPr="009D0C0C">
        <w:rPr>
          <w:rFonts w:ascii="Times New Roman" w:hAnsi="Times New Roman" w:cs="Times New Roman"/>
          <w:sz w:val="24"/>
          <w:szCs w:val="24"/>
        </w:rPr>
        <w:t>,</w:t>
      </w:r>
      <w:r w:rsidRPr="0032310C">
        <w:rPr>
          <w:rFonts w:ascii="Times New Roman" w:hAnsi="Times New Roman" w:cs="Times New Roman"/>
          <w:sz w:val="24"/>
          <w:szCs w:val="24"/>
        </w:rPr>
        <w:t xml:space="preserve"> is a term used to capture recent technology-enabled changes in manufacturing, incorporating elements such as “the use and coordination of information, automation, computation, software, sensing, and networking </w:t>
      </w:r>
      <w:r w:rsidRPr="00E732AE">
        <w:rPr>
          <w:rFonts w:ascii="Times New Roman" w:hAnsi="Times New Roman" w:cs="Times New Roman"/>
          <w:sz w:val="24"/>
          <w:szCs w:val="24"/>
        </w:rPr>
        <w:t xml:space="preserve">“and the use of cutting edge materials and emerging capabilities enabled by the physical and biological sciences (Pomeroy-Carter et al., 2018; </w:t>
      </w:r>
      <w:proofErr w:type="spellStart"/>
      <w:r w:rsidRPr="00E732AE">
        <w:rPr>
          <w:rFonts w:ascii="Times New Roman" w:hAnsi="Times New Roman" w:cs="Times New Roman"/>
          <w:sz w:val="24"/>
          <w:szCs w:val="24"/>
        </w:rPr>
        <w:t>Geraci</w:t>
      </w:r>
      <w:proofErr w:type="spellEnd"/>
      <w:r w:rsidRPr="00E732AE">
        <w:rPr>
          <w:rFonts w:ascii="Times New Roman" w:hAnsi="Times New Roman" w:cs="Times New Roman"/>
          <w:sz w:val="24"/>
          <w:szCs w:val="24"/>
        </w:rPr>
        <w:t xml:space="preserve"> et al.,</w:t>
      </w:r>
      <w:r w:rsidRPr="00900C98">
        <w:rPr>
          <w:rFonts w:ascii="Times New Roman" w:hAnsi="Times New Roman" w:cs="Times New Roman"/>
          <w:sz w:val="24"/>
          <w:szCs w:val="24"/>
        </w:rPr>
        <w:t xml:space="preserve"> 2018). “While many forms of [advanced manufacturing] share some similarities with existing technologies</w:t>
      </w:r>
      <w:r w:rsidRPr="00936381">
        <w:rPr>
          <w:rFonts w:ascii="Times New Roman" w:hAnsi="Times New Roman" w:cs="Times New Roman"/>
          <w:sz w:val="24"/>
          <w:szCs w:val="24"/>
        </w:rPr>
        <w:t>,</w:t>
      </w:r>
      <w:r w:rsidRPr="00A80DF8">
        <w:rPr>
          <w:rFonts w:ascii="Times New Roman" w:hAnsi="Times New Roman" w:cs="Times New Roman"/>
          <w:sz w:val="24"/>
          <w:szCs w:val="24"/>
        </w:rPr>
        <w:t xml:space="preserve"> c</w:t>
      </w:r>
      <w:r w:rsidRPr="00D36652">
        <w:rPr>
          <w:rFonts w:ascii="Times New Roman" w:hAnsi="Times New Roman" w:cs="Times New Roman"/>
          <w:sz w:val="24"/>
          <w:szCs w:val="24"/>
        </w:rPr>
        <w:t>hanges in materials, instrumentation, application, and work can create potential hazards that are either sufficiently distinct as to warrant renewed consideration or entirely new” (Roth et al.</w:t>
      </w:r>
      <w:r w:rsidRPr="00860709">
        <w:rPr>
          <w:rFonts w:ascii="Times New Roman" w:hAnsi="Times New Roman" w:cs="Times New Roman"/>
          <w:sz w:val="24"/>
          <w:szCs w:val="24"/>
        </w:rPr>
        <w:t xml:space="preserve">, 2019). The most prominent potential hazards include inhalation of dusts and fumes, dermal exposure, laser/radiation exposure, UV exposure, explosions, electrical shocks, fatigue, and psychological stress (Roth et al., 2019). It is likely that manufacturing will continue to grow in the future and be accompanied by new and already identified hazards (Roth et al., 2019). Current and future industry will utilize cyber-physical systems such as 3-D printing, the Internet of Things, and autonomous technologies that will limit or remove human controllers from the workforce </w:t>
      </w:r>
      <w:r w:rsidRPr="00860709">
        <w:rPr>
          <w:rFonts w:ascii="Times New Roman" w:hAnsi="Times New Roman" w:cs="Times New Roman"/>
          <w:sz w:val="24"/>
          <w:szCs w:val="24"/>
        </w:rPr>
        <w:lastRenderedPageBreak/>
        <w:t>(Hassall, 2015). Moreover, as Hassall observes: “The next generation of workers are unlikely to have spent their childhood fixing motorized or powered machinery (e.g. radios, music players, motorbikes or motor cars)…this change in experimental knowledge may impact on the ability of human controllers to understand operations at a fundamental level and the real-life impact or consequences that can occur.”</w:t>
      </w: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Fonts w:ascii="Times New Roman" w:hAnsi="Times New Roman" w:cs="Times New Roman"/>
          <w:b/>
          <w:bCs/>
          <w:sz w:val="24"/>
          <w:szCs w:val="24"/>
        </w:rPr>
      </w:pPr>
      <w:r w:rsidRPr="00860709">
        <w:rPr>
          <w:rStyle w:val="SubtleEmphasis"/>
          <w:rFonts w:ascii="Times New Roman" w:hAnsi="Times New Roman" w:cs="Times New Roman"/>
          <w:b/>
          <w:bCs/>
          <w:i w:val="0"/>
          <w:iCs w:val="0"/>
          <w:sz w:val="24"/>
          <w:szCs w:val="24"/>
        </w:rPr>
        <w:t xml:space="preserve">Hazardous </w:t>
      </w:r>
      <w:r w:rsidRPr="00F46D84">
        <w:rPr>
          <w:rStyle w:val="SubtleEmphasis"/>
          <w:rFonts w:ascii="Times New Roman" w:hAnsi="Times New Roman" w:cs="Times New Roman"/>
          <w:b/>
          <w:bCs/>
          <w:i w:val="0"/>
          <w:iCs w:val="0"/>
          <w:sz w:val="24"/>
          <w:szCs w:val="24"/>
        </w:rPr>
        <w:t>E</w:t>
      </w:r>
      <w:r w:rsidRPr="00860709">
        <w:rPr>
          <w:rStyle w:val="SubtleEmphasis"/>
          <w:rFonts w:ascii="Times New Roman" w:hAnsi="Times New Roman" w:cs="Times New Roman"/>
          <w:b/>
          <w:bCs/>
          <w:i w:val="0"/>
          <w:iCs w:val="0"/>
          <w:sz w:val="24"/>
          <w:szCs w:val="24"/>
        </w:rPr>
        <w:t xml:space="preserve">xposures and </w:t>
      </w:r>
      <w:r w:rsidRPr="00F46D84">
        <w:rPr>
          <w:rStyle w:val="SubtleEmphasis"/>
          <w:rFonts w:ascii="Times New Roman" w:hAnsi="Times New Roman" w:cs="Times New Roman"/>
          <w:b/>
          <w:bCs/>
          <w:i w:val="0"/>
          <w:iCs w:val="0"/>
          <w:sz w:val="24"/>
          <w:szCs w:val="24"/>
        </w:rPr>
        <w:t>D</w:t>
      </w:r>
      <w:r w:rsidRPr="00860709">
        <w:rPr>
          <w:rStyle w:val="SubtleEmphasis"/>
          <w:rFonts w:ascii="Times New Roman" w:hAnsi="Times New Roman" w:cs="Times New Roman"/>
          <w:b/>
          <w:bCs/>
          <w:i w:val="0"/>
          <w:iCs w:val="0"/>
          <w:sz w:val="24"/>
          <w:szCs w:val="24"/>
        </w:rPr>
        <w:t>isease</w:t>
      </w:r>
    </w:p>
    <w:p w:rsidR="006E1D59" w:rsidRPr="00E732AE"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Millions of workers globally have been, are, and will be exposed to c</w:t>
      </w:r>
      <w:r w:rsidRPr="004C5062">
        <w:rPr>
          <w:rFonts w:ascii="Times New Roman" w:hAnsi="Times New Roman" w:cs="Times New Roman"/>
          <w:sz w:val="24"/>
          <w:szCs w:val="24"/>
        </w:rPr>
        <w:t>hemi</w:t>
      </w:r>
      <w:r w:rsidRPr="009D0C0C">
        <w:rPr>
          <w:rFonts w:ascii="Times New Roman" w:hAnsi="Times New Roman" w:cs="Times New Roman"/>
          <w:sz w:val="24"/>
          <w:szCs w:val="24"/>
        </w:rPr>
        <w:t>cals and other physical, radiological, biological, and musculoskeletal hazards (</w:t>
      </w:r>
      <w:proofErr w:type="spellStart"/>
      <w:r w:rsidRPr="009D0C0C">
        <w:rPr>
          <w:rFonts w:ascii="Times New Roman" w:hAnsi="Times New Roman" w:cs="Times New Roman"/>
          <w:sz w:val="24"/>
          <w:szCs w:val="24"/>
        </w:rPr>
        <w:t>Fritschi</w:t>
      </w:r>
      <w:proofErr w:type="spellEnd"/>
      <w:r w:rsidRPr="009D0C0C">
        <w:rPr>
          <w:rFonts w:ascii="Times New Roman" w:hAnsi="Times New Roman" w:cs="Times New Roman"/>
          <w:sz w:val="24"/>
          <w:szCs w:val="24"/>
        </w:rPr>
        <w:t xml:space="preserve"> 2019; Calvert et al., 2012; </w:t>
      </w:r>
      <w:proofErr w:type="spellStart"/>
      <w:r w:rsidRPr="009D0C0C">
        <w:rPr>
          <w:rFonts w:ascii="Times New Roman" w:hAnsi="Times New Roman" w:cs="Times New Roman"/>
          <w:sz w:val="24"/>
          <w:szCs w:val="24"/>
        </w:rPr>
        <w:t>Haagsma</w:t>
      </w:r>
      <w:proofErr w:type="spellEnd"/>
      <w:r w:rsidRPr="009D0C0C">
        <w:rPr>
          <w:rFonts w:ascii="Times New Roman" w:hAnsi="Times New Roman" w:cs="Times New Roman"/>
          <w:sz w:val="24"/>
          <w:szCs w:val="24"/>
        </w:rPr>
        <w:t xml:space="preserve"> et al., 2011). A recent report on the first-ever global inventory lists more than 350,000 chemicals and mixtures of chemicals r</w:t>
      </w:r>
      <w:r w:rsidRPr="0032310C">
        <w:rPr>
          <w:rFonts w:ascii="Times New Roman" w:hAnsi="Times New Roman" w:cs="Times New Roman"/>
          <w:sz w:val="24"/>
          <w:szCs w:val="24"/>
        </w:rPr>
        <w:t>egistered for commercial production and use. This is about three times what has been previously believed (Wang et al., 2020). A growing list of chemicals have been demonstrated to be carcinogenic (</w:t>
      </w:r>
      <w:proofErr w:type="spellStart"/>
      <w:r w:rsidRPr="0032310C">
        <w:rPr>
          <w:rFonts w:ascii="Times New Roman" w:hAnsi="Times New Roman" w:cs="Times New Roman"/>
          <w:sz w:val="24"/>
          <w:szCs w:val="24"/>
        </w:rPr>
        <w:t>Siemiatycki</w:t>
      </w:r>
      <w:proofErr w:type="spellEnd"/>
      <w:r w:rsidRPr="0032310C">
        <w:rPr>
          <w:rFonts w:ascii="Times New Roman" w:hAnsi="Times New Roman" w:cs="Times New Roman"/>
          <w:sz w:val="24"/>
          <w:szCs w:val="24"/>
        </w:rPr>
        <w:t xml:space="preserve"> and </w:t>
      </w:r>
      <w:proofErr w:type="spellStart"/>
      <w:r w:rsidRPr="0032310C">
        <w:rPr>
          <w:rFonts w:ascii="Times New Roman" w:hAnsi="Times New Roman" w:cs="Times New Roman"/>
          <w:sz w:val="24"/>
          <w:szCs w:val="24"/>
        </w:rPr>
        <w:t>Rushton</w:t>
      </w:r>
      <w:proofErr w:type="spellEnd"/>
      <w:r w:rsidRPr="0032310C">
        <w:rPr>
          <w:rFonts w:ascii="Times New Roman" w:hAnsi="Times New Roman" w:cs="Times New Roman"/>
          <w:sz w:val="24"/>
          <w:szCs w:val="24"/>
        </w:rPr>
        <w:t xml:space="preserve"> 2020). The proportion of cancer cas</w:t>
      </w:r>
      <w:r w:rsidRPr="00E732AE">
        <w:rPr>
          <w:rFonts w:ascii="Times New Roman" w:hAnsi="Times New Roman" w:cs="Times New Roman"/>
          <w:sz w:val="24"/>
          <w:szCs w:val="24"/>
        </w:rPr>
        <w:t>es attributable to occupation has generally been underestimated but maybe substantial (</w:t>
      </w:r>
      <w:proofErr w:type="spellStart"/>
      <w:r w:rsidRPr="00E732AE">
        <w:rPr>
          <w:rFonts w:ascii="Times New Roman" w:hAnsi="Times New Roman" w:cs="Times New Roman"/>
          <w:sz w:val="24"/>
          <w:szCs w:val="24"/>
        </w:rPr>
        <w:t>Siemiatycki</w:t>
      </w:r>
      <w:proofErr w:type="spellEnd"/>
      <w:r w:rsidRPr="00E732AE">
        <w:rPr>
          <w:rFonts w:ascii="Times New Roman" w:hAnsi="Times New Roman" w:cs="Times New Roman"/>
          <w:sz w:val="24"/>
          <w:szCs w:val="24"/>
        </w:rPr>
        <w:t xml:space="preserve"> and </w:t>
      </w:r>
      <w:proofErr w:type="spellStart"/>
      <w:r w:rsidRPr="00E732AE">
        <w:rPr>
          <w:rFonts w:ascii="Times New Roman" w:hAnsi="Times New Roman" w:cs="Times New Roman"/>
          <w:sz w:val="24"/>
          <w:szCs w:val="24"/>
        </w:rPr>
        <w:t>Rushton</w:t>
      </w:r>
      <w:proofErr w:type="spellEnd"/>
      <w:r w:rsidRPr="00E732AE">
        <w:rPr>
          <w:rFonts w:ascii="Times New Roman" w:hAnsi="Times New Roman" w:cs="Times New Roman"/>
          <w:sz w:val="24"/>
          <w:szCs w:val="24"/>
        </w:rPr>
        <w:t xml:space="preserve"> 2020). In general, it has been estimated that the fraction of cancers attributable to occupational exposure is between 2% and 8% in high-income countries. While prevention of exposure is practiced in high-income countries, the concern for prevention in low-income countries is overshadowed by economic motivation (</w:t>
      </w:r>
      <w:proofErr w:type="spellStart"/>
      <w:r w:rsidRPr="00E732AE">
        <w:rPr>
          <w:rFonts w:ascii="Times New Roman" w:hAnsi="Times New Roman" w:cs="Times New Roman"/>
          <w:sz w:val="24"/>
          <w:szCs w:val="24"/>
        </w:rPr>
        <w:t>Fritschi</w:t>
      </w:r>
      <w:proofErr w:type="spellEnd"/>
      <w:r w:rsidRPr="00E732AE">
        <w:rPr>
          <w:rFonts w:ascii="Times New Roman" w:hAnsi="Times New Roman" w:cs="Times New Roman"/>
          <w:sz w:val="24"/>
          <w:szCs w:val="24"/>
        </w:rPr>
        <w:t xml:space="preserve"> 2019). Various other health effects including dermatological, neurological, reproductive, cardiovascular, and hepatic are likely to continue to occur in workers exposed to occupational chemical hazards (Lentz et al., 2019). Chemical use is projected to increase in the future although the chemical industry will evolve (Valencia, 2013).</w:t>
      </w:r>
    </w:p>
    <w:p w:rsidR="006E1D59" w:rsidRPr="00860709" w:rsidRDefault="006E1D59" w:rsidP="006E1D59">
      <w:pPr>
        <w:spacing w:after="0" w:line="360" w:lineRule="auto"/>
        <w:ind w:firstLine="720"/>
        <w:rPr>
          <w:rFonts w:ascii="Times New Roman" w:hAnsi="Times New Roman" w:cs="Times New Roman"/>
          <w:b/>
          <w:bCs/>
          <w:sz w:val="24"/>
          <w:szCs w:val="24"/>
        </w:rPr>
      </w:pPr>
      <w:r w:rsidRPr="00900C98">
        <w:rPr>
          <w:rFonts w:ascii="Times New Roman" w:hAnsi="Times New Roman" w:cs="Times New Roman"/>
          <w:sz w:val="24"/>
          <w:szCs w:val="24"/>
        </w:rPr>
        <w:t>Other hazardous agents will affect workers in the future. Ultraviolet radiation is believed to account for 60,000 deaths among many outdoor workers and some simulations through the year 2100 indicate that despite expected recovery of the ozone layer, al</w:t>
      </w:r>
      <w:r w:rsidRPr="00936381">
        <w:rPr>
          <w:rFonts w:ascii="Times New Roman" w:hAnsi="Times New Roman" w:cs="Times New Roman"/>
          <w:sz w:val="24"/>
          <w:szCs w:val="24"/>
        </w:rPr>
        <w:t>l-sk</w:t>
      </w:r>
      <w:r w:rsidRPr="00A80DF8">
        <w:rPr>
          <w:rFonts w:ascii="Times New Roman" w:hAnsi="Times New Roman" w:cs="Times New Roman"/>
          <w:sz w:val="24"/>
          <w:szCs w:val="24"/>
        </w:rPr>
        <w:t xml:space="preserve">y UV radiation in northern latitudes is projected to increase (Watanabe et al., 2011). Emerging and re-emerging infectious agents are a large category of hazards that can affect current and future workers in the future. The risk of infectious diseases </w:t>
      </w:r>
      <w:r w:rsidRPr="00860709">
        <w:rPr>
          <w:rFonts w:ascii="Times New Roman" w:hAnsi="Times New Roman" w:cs="Times New Roman"/>
          <w:sz w:val="24"/>
          <w:szCs w:val="24"/>
        </w:rPr>
        <w:t>on work could be large depending on the virulence and transmissibility of the organism and the extent of preventive measures (</w:t>
      </w:r>
      <w:proofErr w:type="spellStart"/>
      <w:r w:rsidRPr="00860709">
        <w:rPr>
          <w:rFonts w:ascii="Times New Roman" w:hAnsi="Times New Roman" w:cs="Times New Roman"/>
          <w:sz w:val="24"/>
          <w:szCs w:val="24"/>
        </w:rPr>
        <w:t>Haagsma</w:t>
      </w:r>
      <w:proofErr w:type="spellEnd"/>
      <w:r w:rsidRPr="00860709">
        <w:rPr>
          <w:rFonts w:ascii="Times New Roman" w:hAnsi="Times New Roman" w:cs="Times New Roman"/>
          <w:sz w:val="24"/>
          <w:szCs w:val="24"/>
        </w:rPr>
        <w:t xml:space="preserve"> et al., 2011; Shearer et al., 2020).</w:t>
      </w:r>
    </w:p>
    <w:p w:rsidR="006E1D59"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lastRenderedPageBreak/>
        <w:t>Biotechnology and Synthetic Biology</w:t>
      </w:r>
    </w:p>
    <w:p w:rsidR="006E1D59" w:rsidRPr="00860709"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Extensive growth of biotechnology could lead to a</w:t>
      </w:r>
      <w:r w:rsidRPr="004C5062">
        <w:rPr>
          <w:rFonts w:ascii="Times New Roman" w:hAnsi="Times New Roman" w:cs="Times New Roman"/>
          <w:sz w:val="24"/>
          <w:szCs w:val="24"/>
        </w:rPr>
        <w:t xml:space="preserve"> glo</w:t>
      </w:r>
      <w:r w:rsidRPr="009D0C0C">
        <w:rPr>
          <w:rFonts w:ascii="Times New Roman" w:hAnsi="Times New Roman" w:cs="Times New Roman"/>
          <w:sz w:val="24"/>
          <w:szCs w:val="24"/>
        </w:rPr>
        <w:t xml:space="preserve">bal </w:t>
      </w:r>
      <w:proofErr w:type="spellStart"/>
      <w:r w:rsidRPr="009D0C0C">
        <w:rPr>
          <w:rFonts w:ascii="Times New Roman" w:hAnsi="Times New Roman" w:cs="Times New Roman"/>
          <w:sz w:val="24"/>
          <w:szCs w:val="24"/>
        </w:rPr>
        <w:t>bioeconomy</w:t>
      </w:r>
      <w:proofErr w:type="spellEnd"/>
      <w:r w:rsidRPr="009D0C0C">
        <w:rPr>
          <w:rFonts w:ascii="Times New Roman" w:hAnsi="Times New Roman" w:cs="Times New Roman"/>
          <w:sz w:val="24"/>
          <w:szCs w:val="24"/>
        </w:rPr>
        <w:t xml:space="preserve"> “where a substantial share of economic output is partly dependent on the development and use of biological materials” (OECD</w:t>
      </w:r>
      <w:r w:rsidRPr="0032310C">
        <w:rPr>
          <w:rFonts w:ascii="Times New Roman" w:hAnsi="Times New Roman" w:cs="Times New Roman"/>
          <w:sz w:val="24"/>
          <w:szCs w:val="24"/>
        </w:rPr>
        <w:t>, 20</w:t>
      </w:r>
      <w:r w:rsidRPr="00E732AE">
        <w:rPr>
          <w:rFonts w:ascii="Times New Roman" w:hAnsi="Times New Roman" w:cs="Times New Roman"/>
          <w:sz w:val="24"/>
          <w:szCs w:val="24"/>
        </w:rPr>
        <w:t>19). By 2030, it is estimated that 35% of chemicals, 80% of pharmaceuticals, and 50% of agricultural output will be based on biotechnology, and that extensive biomedical bioscience research is likely to develop new products for treating disease. The new field of synthetic biology, which is an interdisciplinary field where biotechnology, chemistry, and engineering give</w:t>
      </w:r>
      <w:r w:rsidRPr="00900C98">
        <w:rPr>
          <w:rFonts w:ascii="Times New Roman" w:hAnsi="Times New Roman" w:cs="Times New Roman"/>
          <w:sz w:val="24"/>
          <w:szCs w:val="24"/>
        </w:rPr>
        <w:t xml:space="preserve"> rise to new disciplines that drive the </w:t>
      </w:r>
      <w:proofErr w:type="spellStart"/>
      <w:r w:rsidRPr="00900C98">
        <w:rPr>
          <w:rFonts w:ascii="Times New Roman" w:hAnsi="Times New Roman" w:cs="Times New Roman"/>
          <w:sz w:val="24"/>
          <w:szCs w:val="24"/>
        </w:rPr>
        <w:t>bioeconomy</w:t>
      </w:r>
      <w:proofErr w:type="spellEnd"/>
      <w:r w:rsidRPr="00900C98">
        <w:rPr>
          <w:rFonts w:ascii="Times New Roman" w:hAnsi="Times New Roman" w:cs="Times New Roman"/>
          <w:sz w:val="24"/>
          <w:szCs w:val="24"/>
        </w:rPr>
        <w:t xml:space="preserve"> is focused on creating “something fundamentally new, biological parts or systems, not otherwise found in nature” (NAS</w:t>
      </w:r>
      <w:r w:rsidRPr="00936381">
        <w:rPr>
          <w:rFonts w:ascii="Times New Roman" w:hAnsi="Times New Roman" w:cs="Times New Roman"/>
          <w:sz w:val="24"/>
          <w:szCs w:val="24"/>
        </w:rPr>
        <w:t xml:space="preserve">, </w:t>
      </w:r>
      <w:r w:rsidRPr="00A80DF8">
        <w:rPr>
          <w:rFonts w:ascii="Times New Roman" w:hAnsi="Times New Roman" w:cs="Times New Roman"/>
          <w:sz w:val="24"/>
          <w:szCs w:val="24"/>
        </w:rPr>
        <w:t xml:space="preserve">2017; </w:t>
      </w:r>
      <w:proofErr w:type="spellStart"/>
      <w:r w:rsidRPr="00A80DF8">
        <w:rPr>
          <w:rFonts w:ascii="Times New Roman" w:hAnsi="Times New Roman" w:cs="Times New Roman"/>
          <w:sz w:val="24"/>
          <w:szCs w:val="24"/>
        </w:rPr>
        <w:t>G</w:t>
      </w:r>
      <w:r w:rsidRPr="00D36652">
        <w:rPr>
          <w:rFonts w:ascii="Times New Roman" w:hAnsi="Times New Roman" w:cs="Times New Roman"/>
          <w:sz w:val="24"/>
          <w:szCs w:val="24"/>
        </w:rPr>
        <w:t>ómez-Tatay</w:t>
      </w:r>
      <w:proofErr w:type="spellEnd"/>
      <w:r w:rsidRPr="00D36652">
        <w:rPr>
          <w:rFonts w:ascii="Times New Roman" w:hAnsi="Times New Roman" w:cs="Times New Roman"/>
          <w:sz w:val="24"/>
          <w:szCs w:val="24"/>
        </w:rPr>
        <w:t xml:space="preserve"> and </w:t>
      </w:r>
      <w:proofErr w:type="spellStart"/>
      <w:r w:rsidRPr="00D36652">
        <w:rPr>
          <w:rFonts w:ascii="Times New Roman" w:hAnsi="Times New Roman" w:cs="Times New Roman"/>
          <w:sz w:val="24"/>
          <w:szCs w:val="24"/>
        </w:rPr>
        <w:t>Hern</w:t>
      </w:r>
      <w:r w:rsidRPr="00860709">
        <w:rPr>
          <w:rFonts w:ascii="Times New Roman" w:hAnsi="Times New Roman" w:cs="Times New Roman"/>
          <w:sz w:val="24"/>
          <w:szCs w:val="24"/>
        </w:rPr>
        <w:t>ández-Andreu</w:t>
      </w:r>
      <w:proofErr w:type="spellEnd"/>
      <w:r w:rsidRPr="00860709">
        <w:rPr>
          <w:rFonts w:ascii="Times New Roman" w:hAnsi="Times New Roman" w:cs="Times New Roman"/>
          <w:sz w:val="24"/>
          <w:szCs w:val="24"/>
        </w:rPr>
        <w:t xml:space="preserve">, 2019). Risks from synthetic biology are not known, but the mere concept of a ‘new or re-designed’ life raises concern about the potential impact on workers (Howard et al., 2017; </w:t>
      </w:r>
      <w:proofErr w:type="spellStart"/>
      <w:r w:rsidRPr="00860709">
        <w:rPr>
          <w:rFonts w:ascii="Times New Roman" w:hAnsi="Times New Roman" w:cs="Times New Roman"/>
          <w:sz w:val="24"/>
          <w:szCs w:val="24"/>
        </w:rPr>
        <w:t>Gómez-Tatay</w:t>
      </w:r>
      <w:proofErr w:type="spellEnd"/>
      <w:r w:rsidRPr="00860709">
        <w:rPr>
          <w:rFonts w:ascii="Times New Roman" w:hAnsi="Times New Roman" w:cs="Times New Roman"/>
          <w:sz w:val="24"/>
          <w:szCs w:val="24"/>
        </w:rPr>
        <w:t xml:space="preserve"> and </w:t>
      </w:r>
      <w:proofErr w:type="spellStart"/>
      <w:r w:rsidRPr="00860709">
        <w:rPr>
          <w:rFonts w:ascii="Times New Roman" w:hAnsi="Times New Roman" w:cs="Times New Roman"/>
          <w:sz w:val="24"/>
          <w:szCs w:val="24"/>
        </w:rPr>
        <w:t>Hernández-Andreau</w:t>
      </w:r>
      <w:proofErr w:type="spellEnd"/>
      <w:r w:rsidRPr="00860709">
        <w:rPr>
          <w:rFonts w:ascii="Times New Roman" w:hAnsi="Times New Roman" w:cs="Times New Roman"/>
          <w:sz w:val="24"/>
          <w:szCs w:val="24"/>
        </w:rPr>
        <w:t>, 2019; Hewett et al., 2016). The broad penetration of synthetic biology into the economy means that increasing numbers of workers will be involved along the natural history from research, prototyping, scale up, production, distribution and maintenance. The hazards workers may face are not well-known but could range from immunologic and pathogenic effects, to cancer, and other diseases (Howard et al., 2017).</w:t>
      </w:r>
    </w:p>
    <w:p w:rsidR="006E1D59" w:rsidRPr="00860709" w:rsidRDefault="006E1D59" w:rsidP="006E1D59">
      <w:pPr>
        <w:spacing w:after="0" w:line="360" w:lineRule="auto"/>
        <w:rPr>
          <w:rFonts w:ascii="Times New Roman" w:hAnsi="Times New Roman" w:cs="Times New Roman"/>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Sustainability</w:t>
      </w:r>
    </w:p>
    <w:p w:rsidR="006E1D59" w:rsidRPr="00E732AE" w:rsidRDefault="006E1D59" w:rsidP="006E1D59">
      <w:pPr>
        <w:spacing w:after="0" w:line="360" w:lineRule="auto"/>
        <w:ind w:firstLine="720"/>
        <w:rPr>
          <w:rFonts w:ascii="Times New Roman" w:hAnsi="Times New Roman" w:cs="Times New Roman"/>
          <w:sz w:val="24"/>
          <w:szCs w:val="24"/>
        </w:rPr>
      </w:pPr>
      <w:r w:rsidRPr="00F46D84">
        <w:rPr>
          <w:rFonts w:ascii="Times New Roman" w:hAnsi="Times New Roman" w:cs="Times New Roman"/>
          <w:sz w:val="24"/>
          <w:szCs w:val="24"/>
        </w:rPr>
        <w:t>Sustainability focusing on meeting current needs, without compromising the ability of future generations to meet needs, may influence future work in a number of ways (</w:t>
      </w:r>
      <w:proofErr w:type="spellStart"/>
      <w:r w:rsidRPr="00F46D84">
        <w:rPr>
          <w:rFonts w:ascii="Times New Roman" w:hAnsi="Times New Roman" w:cs="Times New Roman"/>
          <w:sz w:val="24"/>
          <w:szCs w:val="24"/>
        </w:rPr>
        <w:t>Brundtla</w:t>
      </w:r>
      <w:r w:rsidRPr="004C5062">
        <w:rPr>
          <w:rFonts w:ascii="Times New Roman" w:hAnsi="Times New Roman" w:cs="Times New Roman"/>
          <w:sz w:val="24"/>
          <w:szCs w:val="24"/>
        </w:rPr>
        <w:t>nd</w:t>
      </w:r>
      <w:proofErr w:type="spellEnd"/>
      <w:r w:rsidRPr="004C5062">
        <w:rPr>
          <w:rFonts w:ascii="Times New Roman" w:hAnsi="Times New Roman" w:cs="Times New Roman"/>
          <w:sz w:val="24"/>
          <w:szCs w:val="24"/>
        </w:rPr>
        <w:t xml:space="preserve">, 1987). First, many workers (particularly </w:t>
      </w:r>
      <w:proofErr w:type="spellStart"/>
      <w:r w:rsidRPr="004C5062">
        <w:rPr>
          <w:rFonts w:ascii="Times New Roman" w:hAnsi="Times New Roman" w:cs="Times New Roman"/>
          <w:sz w:val="24"/>
          <w:szCs w:val="24"/>
        </w:rPr>
        <w:t>millennials</w:t>
      </w:r>
      <w:proofErr w:type="spellEnd"/>
      <w:r w:rsidRPr="004C5062">
        <w:rPr>
          <w:rFonts w:ascii="Times New Roman" w:hAnsi="Times New Roman" w:cs="Times New Roman"/>
          <w:sz w:val="24"/>
          <w:szCs w:val="24"/>
        </w:rPr>
        <w:t xml:space="preserve"> and generation Z workers</w:t>
      </w:r>
      <w:r w:rsidRPr="009D0C0C">
        <w:rPr>
          <w:rFonts w:ascii="Times New Roman" w:hAnsi="Times New Roman" w:cs="Times New Roman"/>
          <w:sz w:val="24"/>
          <w:szCs w:val="24"/>
        </w:rPr>
        <w:t>) will be seeking satisfying jobs in which purpose and addressing sustainability is a concern. Second, many consumers will be demanding sustainable products. The United Nation</w:t>
      </w:r>
      <w:r w:rsidRPr="0032310C">
        <w:rPr>
          <w:rFonts w:ascii="Times New Roman" w:hAnsi="Times New Roman" w:cs="Times New Roman"/>
          <w:sz w:val="24"/>
          <w:szCs w:val="24"/>
        </w:rPr>
        <w:t xml:space="preserve">s (UN) has developed goals for sustainable development. Many of these goals will have an impact on work in the future, particularly Goal 3: “Ensure healthy lives and promote well-being for all at all ages” and Goal 8, “Promote inclusion and sustainability </w:t>
      </w:r>
      <w:r w:rsidRPr="00E732AE">
        <w:rPr>
          <w:rFonts w:ascii="Times New Roman" w:hAnsi="Times New Roman" w:cs="Times New Roman"/>
          <w:sz w:val="24"/>
          <w:szCs w:val="24"/>
        </w:rPr>
        <w:t xml:space="preserve">growth and decent work for all.” As the UN observes, “sustainable economic growth will require societies to create conditions that allow people to have quality jobs that stimulate the economy and will not harming the environment.” The concept of sustainability has been identified in some of the scenarios collected from the peer and gray literatures and is a factor for work and the way health, safety, and environment, and </w:t>
      </w:r>
      <w:r w:rsidRPr="00E732AE">
        <w:rPr>
          <w:rFonts w:ascii="Times New Roman" w:hAnsi="Times New Roman" w:cs="Times New Roman"/>
          <w:sz w:val="24"/>
          <w:szCs w:val="24"/>
        </w:rPr>
        <w:lastRenderedPageBreak/>
        <w:t>occupational health and safety communities report on health (</w:t>
      </w:r>
      <w:proofErr w:type="spellStart"/>
      <w:r w:rsidRPr="00E732AE">
        <w:rPr>
          <w:rFonts w:ascii="Times New Roman" w:hAnsi="Times New Roman" w:cs="Times New Roman"/>
          <w:sz w:val="24"/>
          <w:szCs w:val="24"/>
        </w:rPr>
        <w:t>iSOS</w:t>
      </w:r>
      <w:proofErr w:type="spellEnd"/>
      <w:r w:rsidRPr="00E732AE">
        <w:rPr>
          <w:rFonts w:ascii="Times New Roman" w:hAnsi="Times New Roman" w:cs="Times New Roman"/>
          <w:sz w:val="24"/>
          <w:szCs w:val="24"/>
        </w:rPr>
        <w:t xml:space="preserve"> 2018). However, it has not been widely seen as a driving factor for the development and content of most scenarios of new jobs. One exception is the report by </w:t>
      </w:r>
      <w:proofErr w:type="spellStart"/>
      <w:r w:rsidRPr="00E732AE">
        <w:rPr>
          <w:rFonts w:ascii="Times New Roman" w:hAnsi="Times New Roman" w:cs="Times New Roman"/>
          <w:sz w:val="24"/>
          <w:szCs w:val="24"/>
        </w:rPr>
        <w:t>Bradbrook</w:t>
      </w:r>
      <w:proofErr w:type="spellEnd"/>
      <w:r w:rsidRPr="00E732AE">
        <w:rPr>
          <w:rFonts w:ascii="Times New Roman" w:hAnsi="Times New Roman" w:cs="Times New Roman"/>
          <w:sz w:val="24"/>
          <w:szCs w:val="24"/>
        </w:rPr>
        <w:t xml:space="preserve"> et al., 2013 the comprehensively reviews green jobs scenarios.</w:t>
      </w:r>
    </w:p>
    <w:p w:rsidR="006E1D59" w:rsidRPr="00E732AE" w:rsidRDefault="006E1D59" w:rsidP="006E1D59">
      <w:pPr>
        <w:spacing w:after="0" w:line="360" w:lineRule="auto"/>
        <w:rPr>
          <w:rStyle w:val="SubtleEmphasis"/>
          <w:rFonts w:ascii="Times New Roman" w:hAnsi="Times New Roman" w:cs="Times New Roman"/>
          <w:b/>
          <w:bCs/>
          <w:i w:val="0"/>
          <w:iCs w:val="0"/>
          <w:sz w:val="24"/>
          <w:szCs w:val="24"/>
        </w:rPr>
      </w:pPr>
    </w:p>
    <w:p w:rsidR="006E1D59" w:rsidRPr="00860709" w:rsidRDefault="006E1D59" w:rsidP="006E1D59">
      <w:pPr>
        <w:spacing w:after="0" w:line="360" w:lineRule="auto"/>
        <w:rPr>
          <w:rStyle w:val="SubtleEmphasis"/>
          <w:rFonts w:ascii="Times New Roman" w:hAnsi="Times New Roman" w:cs="Times New Roman"/>
          <w:b/>
          <w:bCs/>
          <w:i w:val="0"/>
          <w:iCs w:val="0"/>
          <w:sz w:val="24"/>
          <w:szCs w:val="24"/>
        </w:rPr>
      </w:pPr>
      <w:r w:rsidRPr="00860709">
        <w:rPr>
          <w:rStyle w:val="SubtleEmphasis"/>
          <w:rFonts w:ascii="Times New Roman" w:hAnsi="Times New Roman" w:cs="Times New Roman"/>
          <w:b/>
          <w:bCs/>
          <w:i w:val="0"/>
          <w:iCs w:val="0"/>
          <w:sz w:val="24"/>
          <w:szCs w:val="24"/>
        </w:rPr>
        <w:t>Political and Economic Factors</w:t>
      </w:r>
    </w:p>
    <w:p w:rsidR="006E1D59" w:rsidRPr="00860709" w:rsidRDefault="006E1D59" w:rsidP="006E1D59">
      <w:pPr>
        <w:spacing w:after="0" w:line="360" w:lineRule="auto"/>
        <w:ind w:firstLine="720"/>
        <w:rPr>
          <w:rFonts w:ascii="Times New Roman" w:hAnsi="Times New Roman" w:cs="Times New Roman"/>
          <w:sz w:val="24"/>
        </w:rPr>
      </w:pPr>
      <w:r w:rsidRPr="00F46D84">
        <w:rPr>
          <w:rFonts w:ascii="Times New Roman" w:hAnsi="Times New Roman" w:cs="Times New Roman"/>
          <w:sz w:val="24"/>
        </w:rPr>
        <w:t>Many of the sce</w:t>
      </w:r>
      <w:r w:rsidRPr="004C5062">
        <w:rPr>
          <w:rFonts w:ascii="Times New Roman" w:hAnsi="Times New Roman" w:cs="Times New Roman"/>
          <w:sz w:val="24"/>
        </w:rPr>
        <w:t xml:space="preserve">narios identified in the peer and gray literature have at least one element that </w:t>
      </w:r>
      <w:r w:rsidRPr="009D0C0C">
        <w:rPr>
          <w:rFonts w:ascii="Times New Roman" w:hAnsi="Times New Roman" w:cs="Times New Roman"/>
          <w:sz w:val="24"/>
        </w:rPr>
        <w:t xml:space="preserve">characterizes political or economic factors (Ponce de Castillo and </w:t>
      </w:r>
      <w:proofErr w:type="spellStart"/>
      <w:r w:rsidRPr="009D0C0C">
        <w:rPr>
          <w:rFonts w:ascii="Times New Roman" w:hAnsi="Times New Roman" w:cs="Times New Roman"/>
          <w:sz w:val="24"/>
        </w:rPr>
        <w:t>Meinert</w:t>
      </w:r>
      <w:proofErr w:type="spellEnd"/>
      <w:r w:rsidRPr="009D0C0C">
        <w:rPr>
          <w:rFonts w:ascii="Times New Roman" w:hAnsi="Times New Roman" w:cs="Times New Roman"/>
          <w:sz w:val="24"/>
        </w:rPr>
        <w:t xml:space="preserve">, 2016; </w:t>
      </w:r>
      <w:proofErr w:type="spellStart"/>
      <w:r w:rsidRPr="009D0C0C">
        <w:rPr>
          <w:rFonts w:ascii="Times New Roman" w:hAnsi="Times New Roman" w:cs="Times New Roman"/>
          <w:sz w:val="24"/>
        </w:rPr>
        <w:t>Daheim</w:t>
      </w:r>
      <w:proofErr w:type="spellEnd"/>
      <w:r w:rsidRPr="009D0C0C">
        <w:rPr>
          <w:rFonts w:ascii="Times New Roman" w:hAnsi="Times New Roman" w:cs="Times New Roman"/>
          <w:sz w:val="24"/>
        </w:rPr>
        <w:t xml:space="preserve"> and </w:t>
      </w:r>
      <w:proofErr w:type="spellStart"/>
      <w:r w:rsidRPr="009D0C0C">
        <w:rPr>
          <w:rFonts w:ascii="Times New Roman" w:hAnsi="Times New Roman" w:cs="Times New Roman"/>
          <w:sz w:val="24"/>
        </w:rPr>
        <w:t>Wintermann</w:t>
      </w:r>
      <w:proofErr w:type="spellEnd"/>
      <w:r w:rsidRPr="009D0C0C">
        <w:rPr>
          <w:rFonts w:ascii="Times New Roman" w:hAnsi="Times New Roman" w:cs="Times New Roman"/>
          <w:sz w:val="24"/>
        </w:rPr>
        <w:t xml:space="preserve">, 2019; </w:t>
      </w:r>
      <w:proofErr w:type="spellStart"/>
      <w:r w:rsidRPr="009D0C0C">
        <w:rPr>
          <w:rFonts w:ascii="Times New Roman" w:hAnsi="Times New Roman" w:cs="Times New Roman"/>
          <w:sz w:val="24"/>
        </w:rPr>
        <w:t>Dellot</w:t>
      </w:r>
      <w:proofErr w:type="spellEnd"/>
      <w:r w:rsidRPr="009D0C0C">
        <w:rPr>
          <w:rFonts w:ascii="Times New Roman" w:hAnsi="Times New Roman" w:cs="Times New Roman"/>
          <w:sz w:val="24"/>
        </w:rPr>
        <w:t xml:space="preserve"> et al., 2019; Stacey et al., 2018; Brown et al., 2018). T</w:t>
      </w:r>
      <w:r w:rsidRPr="0032310C">
        <w:rPr>
          <w:rFonts w:ascii="Times New Roman" w:hAnsi="Times New Roman" w:cs="Times New Roman"/>
          <w:sz w:val="24"/>
        </w:rPr>
        <w:t xml:space="preserve">he extent to which the evolution of governments and economies include consideration of worker health, safety, autonomy, and well-being, the more at-risk workers will be (Walters and Wadsworth, 2014; </w:t>
      </w:r>
      <w:proofErr w:type="spellStart"/>
      <w:r w:rsidRPr="0032310C">
        <w:rPr>
          <w:rFonts w:ascii="Times New Roman" w:hAnsi="Times New Roman" w:cs="Times New Roman"/>
          <w:sz w:val="24"/>
        </w:rPr>
        <w:t>Lippel</w:t>
      </w:r>
      <w:proofErr w:type="spellEnd"/>
      <w:r w:rsidRPr="0032310C">
        <w:rPr>
          <w:rFonts w:ascii="Times New Roman" w:hAnsi="Times New Roman" w:cs="Times New Roman"/>
          <w:sz w:val="24"/>
        </w:rPr>
        <w:t xml:space="preserve"> et al., 2017). If the strains and hazards in futur</w:t>
      </w:r>
      <w:r w:rsidRPr="00E732AE">
        <w:rPr>
          <w:rFonts w:ascii="Times New Roman" w:hAnsi="Times New Roman" w:cs="Times New Roman"/>
          <w:sz w:val="24"/>
        </w:rPr>
        <w:t>e work are not addressed adequately by regulation, corporate responsibility, collective bargaining and other preventive measures, workers may suffer. One critical need is active labor market measures that will help workers adjust to rapidly changing employment situations induced by technological change. This includes not only interventions in the labor market but upstream in the community and downstream in the workplace (</w:t>
      </w:r>
      <w:proofErr w:type="spellStart"/>
      <w:r w:rsidRPr="00E732AE">
        <w:rPr>
          <w:rFonts w:ascii="Times New Roman" w:hAnsi="Times New Roman" w:cs="Times New Roman"/>
          <w:sz w:val="24"/>
        </w:rPr>
        <w:t>Pyke</w:t>
      </w:r>
      <w:proofErr w:type="spellEnd"/>
      <w:r w:rsidRPr="00E732AE">
        <w:rPr>
          <w:rFonts w:ascii="Times New Roman" w:hAnsi="Times New Roman" w:cs="Times New Roman"/>
          <w:sz w:val="24"/>
        </w:rPr>
        <w:t xml:space="preserve">, 2018). Scenarios that respond to rhetoric related to the ‘problem’ of regulatory burden may have ramifications for worker safety and health (Walters and Wadsworth, 2014). In some cases, “soft law” may be suggested to address such hazards as stress, which has been widely identified in future of work scenarios, as this may prove to achieve more workable solutions to problems of labor relations than regulation. Nevertheless, the tension between an enhanced business environment and the health and safety of workers needs to be addressed (Walters and Wadsworth, 2014; </w:t>
      </w:r>
      <w:proofErr w:type="spellStart"/>
      <w:r w:rsidRPr="00E732AE">
        <w:rPr>
          <w:rFonts w:ascii="Times New Roman" w:hAnsi="Times New Roman" w:cs="Times New Roman"/>
          <w:sz w:val="24"/>
        </w:rPr>
        <w:t>Iavicoli</w:t>
      </w:r>
      <w:proofErr w:type="spellEnd"/>
      <w:r w:rsidRPr="00E732AE">
        <w:rPr>
          <w:rFonts w:ascii="Times New Roman" w:hAnsi="Times New Roman" w:cs="Times New Roman"/>
          <w:sz w:val="24"/>
        </w:rPr>
        <w:t xml:space="preserve"> et al., 2018). T</w:t>
      </w:r>
      <w:r w:rsidRPr="00900C98">
        <w:rPr>
          <w:rFonts w:ascii="Times New Roman" w:hAnsi="Times New Roman" w:cs="Times New Roman"/>
          <w:sz w:val="24"/>
        </w:rPr>
        <w:t>he impact of technology and globalization on jobs is increasing and growing in intensity (Dobbs et al., 2015). These disruptive forces pose a unique set of challenges for governmental policy-makers affecting “labor, fiscal trade, immigration policy, and re</w:t>
      </w:r>
      <w:r w:rsidRPr="00936381">
        <w:rPr>
          <w:rFonts w:ascii="Times New Roman" w:hAnsi="Times New Roman" w:cs="Times New Roman"/>
          <w:sz w:val="24"/>
        </w:rPr>
        <w:t>sources and technology regulation” (Dobbs et al., 2015). Additionally, in the fac</w:t>
      </w:r>
      <w:r w:rsidRPr="00860709">
        <w:rPr>
          <w:rFonts w:ascii="Times New Roman" w:hAnsi="Times New Roman" w:cs="Times New Roman"/>
          <w:sz w:val="24"/>
        </w:rPr>
        <w:t>e of such disruption in the job market, there is a need for governments to consider the adequacy of social safety nets (</w:t>
      </w:r>
      <w:proofErr w:type="spellStart"/>
      <w:r w:rsidRPr="00860709">
        <w:rPr>
          <w:rFonts w:ascii="Times New Roman" w:hAnsi="Times New Roman" w:cs="Times New Roman"/>
          <w:sz w:val="24"/>
        </w:rPr>
        <w:t>Chandy</w:t>
      </w:r>
      <w:proofErr w:type="spellEnd"/>
      <w:r w:rsidRPr="00860709">
        <w:rPr>
          <w:rFonts w:ascii="Times New Roman" w:hAnsi="Times New Roman" w:cs="Times New Roman"/>
          <w:sz w:val="24"/>
        </w:rPr>
        <w:t>, 2016). Finally, worker involvement and participation in all future work matters is vital (</w:t>
      </w:r>
      <w:proofErr w:type="spellStart"/>
      <w:r w:rsidRPr="00860709">
        <w:rPr>
          <w:rFonts w:ascii="Times New Roman" w:hAnsi="Times New Roman" w:cs="Times New Roman"/>
          <w:sz w:val="24"/>
        </w:rPr>
        <w:t>Stollt</w:t>
      </w:r>
      <w:proofErr w:type="spellEnd"/>
      <w:r w:rsidRPr="00860709">
        <w:rPr>
          <w:rFonts w:ascii="Times New Roman" w:hAnsi="Times New Roman" w:cs="Times New Roman"/>
          <w:sz w:val="24"/>
        </w:rPr>
        <w:t xml:space="preserve"> and </w:t>
      </w:r>
      <w:proofErr w:type="spellStart"/>
      <w:r w:rsidRPr="00860709">
        <w:rPr>
          <w:rFonts w:ascii="Times New Roman" w:hAnsi="Times New Roman" w:cs="Times New Roman"/>
          <w:sz w:val="24"/>
        </w:rPr>
        <w:t>Meinert</w:t>
      </w:r>
      <w:proofErr w:type="spellEnd"/>
      <w:r w:rsidRPr="00860709">
        <w:rPr>
          <w:rFonts w:ascii="Times New Roman" w:hAnsi="Times New Roman" w:cs="Times New Roman"/>
          <w:sz w:val="24"/>
        </w:rPr>
        <w:t xml:space="preserve">, 2010; Ponce del Castillo and </w:t>
      </w:r>
      <w:proofErr w:type="spellStart"/>
      <w:r w:rsidRPr="00860709">
        <w:rPr>
          <w:rFonts w:ascii="Times New Roman" w:hAnsi="Times New Roman" w:cs="Times New Roman"/>
          <w:sz w:val="24"/>
        </w:rPr>
        <w:t>Meinert</w:t>
      </w:r>
      <w:proofErr w:type="spellEnd"/>
      <w:r w:rsidRPr="00860709">
        <w:rPr>
          <w:rFonts w:ascii="Times New Roman" w:hAnsi="Times New Roman" w:cs="Times New Roman"/>
          <w:sz w:val="24"/>
        </w:rPr>
        <w:t xml:space="preserve">, 2016; ILO, 2019; Kinder, 2019; </w:t>
      </w:r>
      <w:proofErr w:type="spellStart"/>
      <w:r w:rsidRPr="00860709">
        <w:rPr>
          <w:rFonts w:ascii="Times New Roman" w:hAnsi="Times New Roman" w:cs="Times New Roman"/>
          <w:sz w:val="24"/>
        </w:rPr>
        <w:t>Pyke</w:t>
      </w:r>
      <w:proofErr w:type="spellEnd"/>
      <w:r w:rsidRPr="00860709">
        <w:rPr>
          <w:rFonts w:ascii="Times New Roman" w:hAnsi="Times New Roman" w:cs="Times New Roman"/>
          <w:sz w:val="24"/>
        </w:rPr>
        <w:t xml:space="preserve">, 2018), but opportunities for </w:t>
      </w:r>
      <w:r w:rsidRPr="00860709">
        <w:rPr>
          <w:rFonts w:ascii="Times New Roman" w:hAnsi="Times New Roman" w:cs="Times New Roman"/>
          <w:sz w:val="24"/>
        </w:rPr>
        <w:lastRenderedPageBreak/>
        <w:t xml:space="preserve">workers to have a voice in determining their own future of work were limited in most of the literature assessed. </w:t>
      </w:r>
      <w:r w:rsidRPr="00860709">
        <w:rPr>
          <w:rFonts w:ascii="Times New Roman" w:hAnsi="Times New Roman" w:cs="Times New Roman"/>
          <w:sz w:val="24"/>
        </w:rPr>
        <w:br w:type="page"/>
      </w:r>
    </w:p>
    <w:p w:rsidR="006E1D59" w:rsidRPr="00860709" w:rsidRDefault="006E1D59" w:rsidP="006E1D59">
      <w:pPr>
        <w:spacing w:after="0" w:line="240" w:lineRule="auto"/>
        <w:rPr>
          <w:rFonts w:ascii="Times New Roman" w:hAnsi="Times New Roman" w:cs="Times New Roman"/>
          <w:b/>
          <w:bCs/>
          <w:sz w:val="24"/>
          <w:szCs w:val="24"/>
        </w:rPr>
      </w:pPr>
      <w:r w:rsidRPr="00860709">
        <w:rPr>
          <w:rFonts w:ascii="Times New Roman" w:hAnsi="Times New Roman" w:cs="Times New Roman"/>
          <w:b/>
          <w:bCs/>
          <w:sz w:val="24"/>
          <w:szCs w:val="24"/>
        </w:rPr>
        <w:lastRenderedPageBreak/>
        <w:t>Appendix IV. Broad categorization of future of work scenarios in terms of tasks and skills</w:t>
      </w:r>
    </w:p>
    <w:p w:rsidR="006E1D59" w:rsidRPr="00860709" w:rsidRDefault="006E1D59" w:rsidP="006E1D59">
      <w:pPr>
        <w:spacing w:after="0" w:line="240" w:lineRule="auto"/>
        <w:rPr>
          <w:rFonts w:ascii="Times New Roman" w:hAnsi="Times New Roman" w:cs="Times New Roman"/>
          <w:sz w:val="24"/>
          <w:szCs w:val="24"/>
        </w:rPr>
      </w:pPr>
    </w:p>
    <w:tbl>
      <w:tblPr>
        <w:tblpPr w:leftFromText="180" w:rightFromText="180" w:bottomFromText="160" w:vertAnchor="text" w:horzAnchor="margin" w:tblpY="29"/>
        <w:tblW w:w="9340" w:type="dxa"/>
        <w:tblCellMar>
          <w:left w:w="0" w:type="dxa"/>
          <w:right w:w="0" w:type="dxa"/>
        </w:tblCellMar>
        <w:tblLook w:val="0420"/>
      </w:tblPr>
      <w:tblGrid>
        <w:gridCol w:w="1160"/>
        <w:gridCol w:w="3403"/>
        <w:gridCol w:w="2394"/>
        <w:gridCol w:w="2383"/>
      </w:tblGrid>
      <w:tr w:rsidR="006E1D59" w:rsidRPr="00860709" w:rsidTr="00E43161">
        <w:trPr>
          <w:trHeight w:val="584"/>
        </w:trPr>
        <w:tc>
          <w:tcPr>
            <w:tcW w:w="456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p>
        </w:tc>
        <w:tc>
          <w:tcPr>
            <w:tcW w:w="477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Nature of Skills</w:t>
            </w:r>
          </w:p>
        </w:tc>
      </w:tr>
      <w:tr w:rsidR="006E1D59" w:rsidRPr="00860709" w:rsidTr="00E43161">
        <w:trPr>
          <w:trHeight w:val="584"/>
        </w:trPr>
        <w:tc>
          <w:tcPr>
            <w:tcW w:w="1160"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Nature</w:t>
            </w:r>
          </w:p>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of</w:t>
            </w:r>
          </w:p>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Tasks</w:t>
            </w:r>
          </w:p>
          <w:p w:rsidR="006E1D59" w:rsidRPr="00860709" w:rsidRDefault="006E1D59" w:rsidP="00E43161">
            <w:pPr>
              <w:spacing w:after="0" w:line="240" w:lineRule="auto"/>
              <w:rPr>
                <w:rFonts w:ascii="Times New Roman" w:hAnsi="Times New Roman" w:cs="Times New Roman"/>
                <w:sz w:val="24"/>
              </w:rPr>
            </w:pPr>
          </w:p>
        </w:tc>
        <w:tc>
          <w:tcPr>
            <w:tcW w:w="3403" w:type="dxa"/>
            <w:vMerge w:val="restart"/>
            <w:tcBorders>
              <w:top w:val="single" w:sz="8" w:space="0" w:color="000000"/>
              <w:left w:val="single" w:sz="8" w:space="0" w:color="000000"/>
              <w:right w:val="single" w:sz="8" w:space="0" w:color="000000"/>
            </w:tcBorders>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Routine</w:t>
            </w:r>
          </w:p>
          <w:p w:rsidR="006E1D59" w:rsidRPr="00860709" w:rsidRDefault="006E1D59" w:rsidP="00E43161">
            <w:pPr>
              <w:spacing w:after="0" w:line="240" w:lineRule="auto"/>
              <w:rPr>
                <w:rFonts w:ascii="Times New Roman" w:hAnsi="Times New Roman" w:cs="Times New Roman"/>
                <w:sz w:val="24"/>
              </w:rPr>
            </w:pPr>
          </w:p>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Non-Routine</w:t>
            </w:r>
          </w:p>
        </w:tc>
        <w:tc>
          <w:tcPr>
            <w:tcW w:w="2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Cognitive</w:t>
            </w:r>
          </w:p>
        </w:tc>
        <w:tc>
          <w:tcPr>
            <w:tcW w:w="2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Manual</w:t>
            </w:r>
          </w:p>
        </w:tc>
      </w:tr>
      <w:tr w:rsidR="006E1D59" w:rsidRPr="00860709" w:rsidTr="00E43161">
        <w:trPr>
          <w:trHeight w:val="584"/>
        </w:trPr>
        <w:tc>
          <w:tcPr>
            <w:tcW w:w="1160" w:type="dxa"/>
            <w:vMerge/>
            <w:tcBorders>
              <w:left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p>
        </w:tc>
        <w:tc>
          <w:tcPr>
            <w:tcW w:w="3403" w:type="dxa"/>
            <w:vMerge/>
            <w:tcBorders>
              <w:left w:val="single" w:sz="8" w:space="0" w:color="000000"/>
              <w:right w:val="single" w:sz="8" w:space="0" w:color="000000"/>
            </w:tcBorders>
          </w:tcPr>
          <w:p w:rsidR="006E1D59" w:rsidRPr="00860709" w:rsidRDefault="006E1D59" w:rsidP="00E43161">
            <w:pPr>
              <w:spacing w:after="0" w:line="240" w:lineRule="auto"/>
              <w:rPr>
                <w:rFonts w:ascii="Times New Roman" w:hAnsi="Times New Roman" w:cs="Times New Roman"/>
                <w:sz w:val="24"/>
              </w:rPr>
            </w:pPr>
          </w:p>
        </w:tc>
        <w:tc>
          <w:tcPr>
            <w:tcW w:w="2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Non-routine cognitive</w:t>
            </w:r>
          </w:p>
        </w:tc>
        <w:tc>
          <w:tcPr>
            <w:tcW w:w="2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Non-routine manual</w:t>
            </w:r>
          </w:p>
        </w:tc>
      </w:tr>
      <w:tr w:rsidR="006E1D59" w:rsidRPr="00860709" w:rsidTr="00E43161">
        <w:trPr>
          <w:trHeight w:val="584"/>
        </w:trPr>
        <w:tc>
          <w:tcPr>
            <w:tcW w:w="1160" w:type="dxa"/>
            <w:vMerge/>
            <w:tcBorders>
              <w:left w:val="single" w:sz="8" w:space="0" w:color="000000"/>
              <w:bottom w:val="single" w:sz="8" w:space="0" w:color="000000"/>
              <w:right w:val="single" w:sz="8" w:space="0" w:color="000000"/>
            </w:tcBorders>
            <w:vAlign w:val="center"/>
            <w:hideMark/>
          </w:tcPr>
          <w:p w:rsidR="006E1D59" w:rsidRPr="00860709" w:rsidRDefault="006E1D59" w:rsidP="00E43161">
            <w:pPr>
              <w:spacing w:after="0" w:line="240" w:lineRule="auto"/>
              <w:rPr>
                <w:rFonts w:ascii="Times New Roman" w:hAnsi="Times New Roman" w:cs="Times New Roman"/>
                <w:sz w:val="24"/>
              </w:rPr>
            </w:pPr>
          </w:p>
        </w:tc>
        <w:tc>
          <w:tcPr>
            <w:tcW w:w="3403" w:type="dxa"/>
            <w:vMerge/>
            <w:tcBorders>
              <w:left w:val="single" w:sz="8" w:space="0" w:color="000000"/>
              <w:bottom w:val="single" w:sz="8" w:space="0" w:color="000000"/>
              <w:right w:val="single" w:sz="8" w:space="0" w:color="000000"/>
            </w:tcBorders>
          </w:tcPr>
          <w:p w:rsidR="006E1D59" w:rsidRPr="00860709" w:rsidRDefault="006E1D59" w:rsidP="00E43161">
            <w:pPr>
              <w:spacing w:after="0" w:line="240" w:lineRule="auto"/>
              <w:rPr>
                <w:rFonts w:ascii="Times New Roman" w:hAnsi="Times New Roman" w:cs="Times New Roman"/>
                <w:sz w:val="24"/>
              </w:rPr>
            </w:pPr>
          </w:p>
        </w:tc>
        <w:tc>
          <w:tcPr>
            <w:tcW w:w="23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Routine cognitive</w:t>
            </w:r>
          </w:p>
        </w:tc>
        <w:tc>
          <w:tcPr>
            <w:tcW w:w="23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6E1D59" w:rsidRPr="00860709" w:rsidRDefault="006E1D59" w:rsidP="00E43161">
            <w:pPr>
              <w:spacing w:after="0" w:line="240" w:lineRule="auto"/>
              <w:rPr>
                <w:rFonts w:ascii="Times New Roman" w:hAnsi="Times New Roman" w:cs="Times New Roman"/>
                <w:sz w:val="24"/>
              </w:rPr>
            </w:pPr>
            <w:r w:rsidRPr="00860709">
              <w:rPr>
                <w:rFonts w:ascii="Times New Roman" w:hAnsi="Times New Roman" w:cs="Times New Roman"/>
                <w:sz w:val="24"/>
              </w:rPr>
              <w:t>Routine manual</w:t>
            </w:r>
          </w:p>
        </w:tc>
      </w:tr>
    </w:tbl>
    <w:p w:rsidR="006E1D59" w:rsidRPr="00F46D84" w:rsidRDefault="006E1D59" w:rsidP="006E1D59">
      <w:pPr>
        <w:spacing w:after="0" w:line="240" w:lineRule="auto"/>
        <w:rPr>
          <w:rFonts w:ascii="Times New Roman" w:hAnsi="Times New Roman" w:cs="Times New Roman"/>
          <w:szCs w:val="24"/>
        </w:rPr>
      </w:pPr>
      <w:r w:rsidRPr="00860709">
        <w:rPr>
          <w:rFonts w:ascii="Times New Roman" w:hAnsi="Times New Roman" w:cs="Times New Roman"/>
          <w:kern w:val="24"/>
          <w:sz w:val="20"/>
        </w:rPr>
        <w:t xml:space="preserve">Based on </w:t>
      </w:r>
      <w:proofErr w:type="spellStart"/>
      <w:r w:rsidRPr="00860709">
        <w:rPr>
          <w:rFonts w:ascii="Times New Roman" w:hAnsi="Times New Roman" w:cs="Times New Roman"/>
          <w:kern w:val="24"/>
          <w:sz w:val="20"/>
        </w:rPr>
        <w:t>Autor</w:t>
      </w:r>
      <w:proofErr w:type="spellEnd"/>
      <w:r w:rsidRPr="00860709">
        <w:rPr>
          <w:rFonts w:ascii="Times New Roman" w:hAnsi="Times New Roman" w:cs="Times New Roman"/>
          <w:kern w:val="24"/>
          <w:sz w:val="20"/>
        </w:rPr>
        <w:t xml:space="preserve"> et al., 2003; Healy et al., 2017; </w:t>
      </w:r>
      <w:proofErr w:type="spellStart"/>
      <w:r w:rsidRPr="00860709">
        <w:rPr>
          <w:rFonts w:ascii="Times New Roman" w:hAnsi="Times New Roman" w:cs="Times New Roman"/>
          <w:kern w:val="24"/>
          <w:sz w:val="20"/>
        </w:rPr>
        <w:t>Acemoglu</w:t>
      </w:r>
      <w:proofErr w:type="spellEnd"/>
      <w:r w:rsidRPr="00860709">
        <w:rPr>
          <w:rFonts w:ascii="Times New Roman" w:hAnsi="Times New Roman" w:cs="Times New Roman"/>
          <w:kern w:val="24"/>
          <w:sz w:val="20"/>
        </w:rPr>
        <w:t xml:space="preserve"> and </w:t>
      </w:r>
      <w:proofErr w:type="spellStart"/>
      <w:r w:rsidRPr="00860709">
        <w:rPr>
          <w:rFonts w:ascii="Times New Roman" w:hAnsi="Times New Roman" w:cs="Times New Roman"/>
          <w:kern w:val="24"/>
          <w:sz w:val="20"/>
        </w:rPr>
        <w:t>Autor</w:t>
      </w:r>
      <w:proofErr w:type="spellEnd"/>
      <w:r w:rsidRPr="00860709">
        <w:rPr>
          <w:rFonts w:ascii="Times New Roman" w:hAnsi="Times New Roman" w:cs="Times New Roman"/>
          <w:kern w:val="24"/>
          <w:sz w:val="20"/>
        </w:rPr>
        <w:t>, 2010; Chang and Huynh, 2016.</w:t>
      </w:r>
    </w:p>
    <w:p w:rsidR="006E1D59" w:rsidRPr="004C5062" w:rsidRDefault="006E1D59" w:rsidP="006E1D59">
      <w:pPr>
        <w:spacing w:after="0" w:line="360" w:lineRule="auto"/>
      </w:pPr>
    </w:p>
    <w:p w:rsidR="006E1D59" w:rsidRPr="0032310C" w:rsidRDefault="006E1D59" w:rsidP="006E1D59">
      <w:pPr>
        <w:spacing w:after="0" w:line="360" w:lineRule="auto"/>
      </w:pPr>
    </w:p>
    <w:p w:rsidR="00C80A6D" w:rsidRDefault="00C80A6D"/>
    <w:sectPr w:rsidR="00C80A6D" w:rsidSect="00282C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C6F" w:rsidRDefault="00DA3C6F">
      <w:pPr>
        <w:spacing w:after="0" w:line="240" w:lineRule="auto"/>
      </w:pPr>
      <w:r>
        <w:separator/>
      </w:r>
    </w:p>
  </w:endnote>
  <w:endnote w:type="continuationSeparator" w:id="0">
    <w:p w:rsidR="00DA3C6F" w:rsidRDefault="00DA3C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29350914"/>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AB769E" w:rsidRPr="005177FA" w:rsidRDefault="006E1D59">
            <w:pPr>
              <w:pStyle w:val="Footer"/>
              <w:jc w:val="right"/>
              <w:rPr>
                <w:rFonts w:ascii="Times New Roman" w:hAnsi="Times New Roman" w:cs="Times New Roman"/>
              </w:rPr>
            </w:pPr>
            <w:r w:rsidRPr="005177FA">
              <w:rPr>
                <w:rFonts w:ascii="Times New Roman" w:hAnsi="Times New Roman" w:cs="Times New Roman"/>
              </w:rPr>
              <w:t xml:space="preserve">Page </w:t>
            </w:r>
            <w:r w:rsidR="00282C9D" w:rsidRPr="005177FA">
              <w:rPr>
                <w:rFonts w:ascii="Times New Roman" w:hAnsi="Times New Roman" w:cs="Times New Roman"/>
                <w:sz w:val="24"/>
                <w:szCs w:val="24"/>
              </w:rPr>
              <w:fldChar w:fldCharType="begin"/>
            </w:r>
            <w:r w:rsidRPr="005177FA">
              <w:rPr>
                <w:rFonts w:ascii="Times New Roman" w:hAnsi="Times New Roman" w:cs="Times New Roman"/>
              </w:rPr>
              <w:instrText xml:space="preserve"> PAGE </w:instrText>
            </w:r>
            <w:r w:rsidR="00282C9D" w:rsidRPr="005177FA">
              <w:rPr>
                <w:rFonts w:ascii="Times New Roman" w:hAnsi="Times New Roman" w:cs="Times New Roman"/>
                <w:sz w:val="24"/>
                <w:szCs w:val="24"/>
              </w:rPr>
              <w:fldChar w:fldCharType="separate"/>
            </w:r>
            <w:r w:rsidR="00BD3AA9">
              <w:rPr>
                <w:rFonts w:ascii="Times New Roman" w:hAnsi="Times New Roman" w:cs="Times New Roman"/>
                <w:noProof/>
              </w:rPr>
              <w:t>1</w:t>
            </w:r>
            <w:r w:rsidR="00282C9D" w:rsidRPr="005177FA">
              <w:rPr>
                <w:rFonts w:ascii="Times New Roman" w:hAnsi="Times New Roman" w:cs="Times New Roman"/>
                <w:sz w:val="24"/>
                <w:szCs w:val="24"/>
              </w:rPr>
              <w:fldChar w:fldCharType="end"/>
            </w:r>
            <w:r w:rsidRPr="005177FA">
              <w:rPr>
                <w:rFonts w:ascii="Times New Roman" w:hAnsi="Times New Roman" w:cs="Times New Roman"/>
              </w:rPr>
              <w:t xml:space="preserve"> of </w:t>
            </w:r>
            <w:r w:rsidR="00282C9D" w:rsidRPr="005177FA">
              <w:rPr>
                <w:rFonts w:ascii="Times New Roman" w:hAnsi="Times New Roman" w:cs="Times New Roman"/>
                <w:sz w:val="24"/>
                <w:szCs w:val="24"/>
              </w:rPr>
              <w:fldChar w:fldCharType="begin"/>
            </w:r>
            <w:r w:rsidRPr="005177FA">
              <w:rPr>
                <w:rFonts w:ascii="Times New Roman" w:hAnsi="Times New Roman" w:cs="Times New Roman"/>
              </w:rPr>
              <w:instrText xml:space="preserve"> NUMPAGES  </w:instrText>
            </w:r>
            <w:r w:rsidR="00282C9D" w:rsidRPr="005177FA">
              <w:rPr>
                <w:rFonts w:ascii="Times New Roman" w:hAnsi="Times New Roman" w:cs="Times New Roman"/>
                <w:sz w:val="24"/>
                <w:szCs w:val="24"/>
              </w:rPr>
              <w:fldChar w:fldCharType="separate"/>
            </w:r>
            <w:r w:rsidR="00BD3AA9">
              <w:rPr>
                <w:rFonts w:ascii="Times New Roman" w:hAnsi="Times New Roman" w:cs="Times New Roman"/>
                <w:noProof/>
              </w:rPr>
              <w:t>19</w:t>
            </w:r>
            <w:r w:rsidR="00282C9D" w:rsidRPr="005177FA">
              <w:rPr>
                <w:rFonts w:ascii="Times New Roman" w:hAnsi="Times New Roman" w:cs="Times New Roman"/>
                <w:sz w:val="24"/>
                <w:szCs w:val="24"/>
              </w:rPr>
              <w:fldChar w:fldCharType="end"/>
            </w:r>
          </w:p>
        </w:sdtContent>
      </w:sdt>
    </w:sdtContent>
  </w:sdt>
  <w:p w:rsidR="00AB769E" w:rsidRPr="005177FA" w:rsidRDefault="00DA3C6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C6F" w:rsidRDefault="00DA3C6F">
      <w:pPr>
        <w:spacing w:after="0" w:line="240" w:lineRule="auto"/>
      </w:pPr>
      <w:r>
        <w:separator/>
      </w:r>
    </w:p>
  </w:footnote>
  <w:footnote w:type="continuationSeparator" w:id="0">
    <w:p w:rsidR="00DA3C6F" w:rsidRDefault="00DA3C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65AB5"/>
    <w:multiLevelType w:val="hybridMultilevel"/>
    <w:tmpl w:val="27544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rsids>
    <w:rsidRoot w:val="006E1D59"/>
    <w:rsid w:val="00282C9D"/>
    <w:rsid w:val="006E1D59"/>
    <w:rsid w:val="00871EAE"/>
    <w:rsid w:val="00BD3AA9"/>
    <w:rsid w:val="00C80A6D"/>
    <w:rsid w:val="00DA3C6F"/>
    <w:rsid w:val="00E52AA6"/>
    <w:rsid w:val="00EE36BC"/>
    <w:rsid w:val="00F401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5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1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59"/>
  </w:style>
  <w:style w:type="table" w:customStyle="1" w:styleId="GridTable1LightAccent3">
    <w:name w:val="Grid Table 1 Light Accent 3"/>
    <w:basedOn w:val="TableNormal"/>
    <w:uiPriority w:val="46"/>
    <w:rsid w:val="006E1D59"/>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E1D59"/>
    <w:pPr>
      <w:ind w:left="720"/>
      <w:contextualSpacing/>
    </w:pPr>
  </w:style>
  <w:style w:type="character" w:styleId="SubtleEmphasis">
    <w:name w:val="Subtle Emphasis"/>
    <w:basedOn w:val="DefaultParagraphFont"/>
    <w:uiPriority w:val="19"/>
    <w:qFormat/>
    <w:rsid w:val="006E1D59"/>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6268</Words>
  <Characters>35732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Keenan, Amanda K. (CDC/NIOSH/DSI)</dc:creator>
  <cp:lastModifiedBy>samanthaponton</cp:lastModifiedBy>
  <cp:revision>3</cp:revision>
  <dcterms:created xsi:type="dcterms:W3CDTF">2020-05-01T13:40:00Z</dcterms:created>
  <dcterms:modified xsi:type="dcterms:W3CDTF">2020-05-01T13:40:00Z</dcterms:modified>
</cp:coreProperties>
</file>