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940E0" w14:textId="77777777" w:rsidR="00C108FC" w:rsidRDefault="00A4373C" w:rsidP="00C108FC">
      <w:pPr>
        <w:pStyle w:val="Title"/>
        <w:rPr>
          <w:sz w:val="30"/>
          <w:szCs w:val="30"/>
        </w:rPr>
      </w:pPr>
      <w:r w:rsidRPr="00BD18AE">
        <w:rPr>
          <w:sz w:val="30"/>
          <w:szCs w:val="30"/>
        </w:rPr>
        <w:t>SUPPLEMENT</w:t>
      </w:r>
      <w:r w:rsidR="005C5FBF" w:rsidRPr="00BD18AE">
        <w:rPr>
          <w:sz w:val="30"/>
          <w:szCs w:val="30"/>
        </w:rPr>
        <w:t xml:space="preserve">: </w:t>
      </w:r>
      <w:r w:rsidR="00C108FC" w:rsidRPr="00C108FC">
        <w:rPr>
          <w:sz w:val="30"/>
          <w:szCs w:val="30"/>
        </w:rPr>
        <w:t>Probabilistic reconstruction of measles transmission clusters from routinely collected surveillance data.</w:t>
      </w:r>
    </w:p>
    <w:p w14:paraId="48EA852D" w14:textId="2B4FAC14" w:rsidR="00BD18AE" w:rsidRDefault="00BD18AE" w:rsidP="00C108FC">
      <w:pPr>
        <w:pStyle w:val="Title"/>
        <w:rPr>
          <w:rFonts w:eastAsiaTheme="minorHAnsi"/>
        </w:rPr>
      </w:pPr>
      <w:r>
        <w:rPr>
          <w:rFonts w:eastAsiaTheme="minorHAnsi"/>
        </w:rPr>
        <w:t>Authors:</w:t>
      </w:r>
    </w:p>
    <w:p w14:paraId="6803E25E" w14:textId="7060F8F6" w:rsidR="00BD18AE" w:rsidRDefault="00BD18AE" w:rsidP="00BD18AE">
      <w:pPr>
        <w:rPr>
          <w:vertAlign w:val="superscript"/>
        </w:rPr>
      </w:pPr>
      <w:r>
        <w:t>Alexis Robert</w:t>
      </w:r>
      <w:r>
        <w:rPr>
          <w:vertAlign w:val="superscript"/>
        </w:rPr>
        <w:t>1,2</w:t>
      </w:r>
      <w:r>
        <w:t>, Adam J. Kucharski</w:t>
      </w:r>
      <w:r>
        <w:rPr>
          <w:vertAlign w:val="superscript"/>
        </w:rPr>
        <w:t>1,2</w:t>
      </w:r>
      <w:r>
        <w:t>, Paul A. Gasta</w:t>
      </w:r>
      <w:r w:rsidRPr="00BD18AE">
        <w:t>ñ</w:t>
      </w:r>
      <w:r>
        <w:t>aduy</w:t>
      </w:r>
      <w:r>
        <w:rPr>
          <w:vertAlign w:val="superscript"/>
        </w:rPr>
        <w:t>3</w:t>
      </w:r>
      <w:r>
        <w:t>, Prabasaj Paul</w:t>
      </w:r>
      <w:r>
        <w:rPr>
          <w:vertAlign w:val="superscript"/>
        </w:rPr>
        <w:t>4</w:t>
      </w:r>
      <w:r>
        <w:t>, Sebastian Funk</w:t>
      </w:r>
      <w:r>
        <w:rPr>
          <w:vertAlign w:val="superscript"/>
        </w:rPr>
        <w:t>1,2</w:t>
      </w:r>
    </w:p>
    <w:p w14:paraId="781013E0" w14:textId="77777777" w:rsidR="00BD18AE" w:rsidRDefault="00BD18AE" w:rsidP="00BD18AE">
      <w:pPr>
        <w:pStyle w:val="Heading1"/>
        <w:numPr>
          <w:ilvl w:val="0"/>
          <w:numId w:val="0"/>
        </w:numPr>
        <w:ind w:left="360" w:hanging="360"/>
        <w:rPr>
          <w:rFonts w:eastAsiaTheme="minorHAnsi"/>
        </w:rPr>
      </w:pPr>
      <w:r>
        <w:rPr>
          <w:rFonts w:eastAsiaTheme="minorHAnsi"/>
        </w:rPr>
        <w:t>Authors’ affiliations:</w:t>
      </w:r>
    </w:p>
    <w:p w14:paraId="1BD76F83" w14:textId="77777777" w:rsidR="00BD18AE" w:rsidRDefault="00BD18AE" w:rsidP="00BD18AE">
      <w:r>
        <w:t>1. Centre for the Mathematical Modelling of Infectious Diseases, London School of Hygiene &amp; Tropical Medicine, Keppel Street, London, UK</w:t>
      </w:r>
    </w:p>
    <w:p w14:paraId="32DDC73D" w14:textId="77777777" w:rsidR="00BD18AE" w:rsidRDefault="00BD18AE" w:rsidP="00BD18AE">
      <w:r>
        <w:t>2. Department of Infectious Disease Epidemiology, London School of Hygiene &amp; Tropical Medicine, Keppel Street, London, UK</w:t>
      </w:r>
    </w:p>
    <w:p w14:paraId="0131300D" w14:textId="77777777" w:rsidR="00BD18AE" w:rsidRDefault="00BD18AE" w:rsidP="00BD18AE">
      <w:r>
        <w:t>3. Division of Viral Diseases, Centers for Disease Control and Prevention, Atlanta, Georgia</w:t>
      </w:r>
    </w:p>
    <w:p w14:paraId="74A7C4BB" w14:textId="6DD3A350" w:rsidR="004916A7" w:rsidRPr="00D57277" w:rsidRDefault="00BD18AE">
      <w:pPr>
        <w:rPr>
          <w:color w:val="2A2A2A"/>
          <w:shd w:val="clear" w:color="auto" w:fill="FFFFFF"/>
        </w:rPr>
      </w:pPr>
      <w:r w:rsidRPr="00D57277">
        <w:t>4.</w:t>
      </w:r>
      <w:r w:rsidRPr="00D57277">
        <w:rPr>
          <w:color w:val="2A2A2A"/>
          <w:shd w:val="clear" w:color="auto" w:fill="FFFFFF"/>
        </w:rPr>
        <w:t xml:space="preserve"> </w:t>
      </w:r>
      <w:r w:rsidR="00D57277" w:rsidRPr="00D57277">
        <w:rPr>
          <w:color w:val="2A2A2A"/>
          <w:shd w:val="clear" w:color="auto" w:fill="FFFFFF"/>
        </w:rPr>
        <w:t>Division of Healthcare Quality Promotion, Centers for Disease Control and Prevention</w:t>
      </w:r>
      <w:r w:rsidRPr="00D57277">
        <w:rPr>
          <w:color w:val="2A2A2A"/>
          <w:shd w:val="clear" w:color="auto" w:fill="FFFFFF"/>
        </w:rPr>
        <w:t>, Atlanta, Georgia</w:t>
      </w:r>
    </w:p>
    <w:p w14:paraId="43F8DD91" w14:textId="77777777" w:rsidR="009928D3" w:rsidRDefault="009928D3"/>
    <w:p w14:paraId="702F46BD" w14:textId="6160A3F9" w:rsidR="0026049D" w:rsidRDefault="004C3D22" w:rsidP="00B413A3">
      <w:pPr>
        <w:pStyle w:val="Heading1"/>
      </w:pPr>
      <w:r w:rsidRPr="00D41341">
        <w:t>Description of the US dataset</w:t>
      </w:r>
    </w:p>
    <w:p w14:paraId="4F42E5F6" w14:textId="77777777" w:rsidR="0026049D" w:rsidRDefault="0026049D" w:rsidP="005C1A08">
      <w:pPr>
        <w:keepNext/>
        <w:contextualSpacing/>
      </w:pPr>
    </w:p>
    <w:p w14:paraId="25FC2EBE" w14:textId="10282C11" w:rsidR="005C1A08" w:rsidRDefault="002D43E6" w:rsidP="005C1A08">
      <w:pPr>
        <w:keepNext/>
        <w:contextualSpacing/>
      </w:pPr>
      <w:r>
        <w:rPr>
          <w:rFonts w:ascii="Calibri" w:eastAsia="Calibri" w:hAnsi="Calibri" w:cs="Times New Roman"/>
          <w:b/>
          <w:noProof/>
          <w:sz w:val="26"/>
          <w:szCs w:val="26"/>
          <w:lang w:eastAsia="en-GB"/>
        </w:rPr>
        <w:drawing>
          <wp:inline distT="0" distB="0" distL="0" distR="0" wp14:anchorId="3E628755" wp14:editId="3F50B6EF">
            <wp:extent cx="4800000" cy="3600000"/>
            <wp:effectExtent l="0" t="0" r="635" b="635"/>
            <wp:docPr id="5" name="Picture 5" descr="H:\PhD\Study\Output\clusters_USA\figures_comp_epi\Figure_supp_desc_d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hD\Study\Output\clusters_USA\figures_comp_epi\Figure_supp_desc_dat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000" cy="3600000"/>
                    </a:xfrm>
                    <a:prstGeom prst="rect">
                      <a:avLst/>
                    </a:prstGeom>
                    <a:noFill/>
                    <a:ln>
                      <a:noFill/>
                    </a:ln>
                  </pic:spPr>
                </pic:pic>
              </a:graphicData>
            </a:graphic>
          </wp:inline>
        </w:drawing>
      </w:r>
    </w:p>
    <w:p w14:paraId="152F383E" w14:textId="6A7544F8" w:rsidR="00312343" w:rsidRDefault="005C1A08" w:rsidP="005C1A08">
      <w:pPr>
        <w:pStyle w:val="Caption"/>
        <w:jc w:val="center"/>
        <w:rPr>
          <w:rFonts w:ascii="Calibri" w:eastAsia="Calibri" w:hAnsi="Calibri" w:cs="Times New Roman"/>
          <w:b/>
          <w:sz w:val="28"/>
          <w:szCs w:val="28"/>
        </w:rPr>
      </w:pPr>
      <w:bookmarkStart w:id="0" w:name="_Ref17148909"/>
      <w:r>
        <w:t xml:space="preserve">Figure </w:t>
      </w:r>
      <w:r w:rsidR="0026049D">
        <w:t>S</w:t>
      </w:r>
      <w:r w:rsidR="00026A27">
        <w:fldChar w:fldCharType="begin"/>
      </w:r>
      <w:r w:rsidR="00026A27">
        <w:instrText xml:space="preserve"> SEQ Figure \* ARABIC </w:instrText>
      </w:r>
      <w:r w:rsidR="00026A27">
        <w:fldChar w:fldCharType="separate"/>
      </w:r>
      <w:r w:rsidR="00310D8D">
        <w:rPr>
          <w:noProof/>
        </w:rPr>
        <w:t>1</w:t>
      </w:r>
      <w:r w:rsidR="00026A27">
        <w:rPr>
          <w:noProof/>
        </w:rPr>
        <w:fldChar w:fldCharType="end"/>
      </w:r>
      <w:bookmarkEnd w:id="0"/>
      <w:r>
        <w:t xml:space="preserve">: </w:t>
      </w:r>
      <w:r w:rsidR="00BA1B9F">
        <w:t>Description of the cases and clusters reported in the United States between 200</w:t>
      </w:r>
      <w:r w:rsidR="00A27541">
        <w:t>1</w:t>
      </w:r>
      <w:r w:rsidR="00BA1B9F">
        <w:t xml:space="preserve"> and 2016. </w:t>
      </w:r>
      <w:r w:rsidRPr="00AF133D">
        <w:t xml:space="preserve">Panel A: number of </w:t>
      </w:r>
      <w:r>
        <w:t>clusters reported per state in the contact tracing investigations (5 clusters cover several states)</w:t>
      </w:r>
      <w:r w:rsidRPr="00AF133D">
        <w:t xml:space="preserve"> and Panel B: </w:t>
      </w:r>
      <w:r w:rsidR="00583C53">
        <w:t>Age distribution of the</w:t>
      </w:r>
      <w:r w:rsidRPr="00AF133D">
        <w:t xml:space="preserve"> cases</w:t>
      </w:r>
      <w:r w:rsidR="005774A5">
        <w:t>.</w:t>
      </w:r>
      <w:r w:rsidR="00F4043A">
        <w:t xml:space="preserve"> Data from CDC’s </w:t>
      </w:r>
      <w:r w:rsidR="00F4043A" w:rsidRPr="00F4043A">
        <w:t>National Notifiable Disease Surveillance System</w:t>
      </w:r>
      <w:r w:rsidR="00F4043A">
        <w:t>.</w:t>
      </w:r>
      <w:r w:rsidR="00D41EC6">
        <w:t xml:space="preserve"> Hawaii and Alaska and not shown in Panel A.</w:t>
      </w:r>
    </w:p>
    <w:p w14:paraId="63197235" w14:textId="31B2DB0F" w:rsidR="004C3D22" w:rsidRDefault="004C3D22" w:rsidP="004C3D22">
      <w:pPr>
        <w:contextualSpacing/>
        <w:rPr>
          <w:rFonts w:ascii="Calibri" w:eastAsia="Calibri" w:hAnsi="Calibri" w:cs="Times New Roman"/>
          <w:b/>
          <w:sz w:val="28"/>
          <w:szCs w:val="28"/>
        </w:rPr>
      </w:pPr>
    </w:p>
    <w:p w14:paraId="2147A900" w14:textId="77777777" w:rsidR="00694DA0" w:rsidRDefault="00694DA0" w:rsidP="00694DA0">
      <w:pPr>
        <w:pStyle w:val="Heading1"/>
      </w:pPr>
      <w:r>
        <w:lastRenderedPageBreak/>
        <w:t>Evaluation cluster matching</w:t>
      </w:r>
    </w:p>
    <w:p w14:paraId="552B23A4" w14:textId="77777777" w:rsidR="00694DA0" w:rsidRDefault="00694DA0" w:rsidP="00694DA0">
      <w:pPr>
        <w:keepNext/>
      </w:pPr>
      <w:r>
        <w:rPr>
          <w:noProof/>
          <w:lang w:eastAsia="en-GB"/>
        </w:rPr>
        <w:drawing>
          <wp:inline distT="0" distB="0" distL="0" distR="0" wp14:anchorId="59BE785F" wp14:editId="7B1CB457">
            <wp:extent cx="4501123" cy="3600000"/>
            <wp:effectExtent l="0" t="0" r="0" b="635"/>
            <wp:docPr id="21" name="Picture 21" descr="H:\PhD\Study\Measles_clustering_susc\Supp_eval_clus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PhD\Study\Measles_clustering_susc\Supp_eval_cluster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1123" cy="3600000"/>
                    </a:xfrm>
                    <a:prstGeom prst="rect">
                      <a:avLst/>
                    </a:prstGeom>
                    <a:noFill/>
                    <a:ln>
                      <a:noFill/>
                    </a:ln>
                  </pic:spPr>
                </pic:pic>
              </a:graphicData>
            </a:graphic>
          </wp:inline>
        </w:drawing>
      </w:r>
    </w:p>
    <w:p w14:paraId="67BCEA23" w14:textId="556F1D7A" w:rsidR="00B2190F" w:rsidRPr="00B2190F" w:rsidRDefault="00694DA0" w:rsidP="00B2190F">
      <w:pPr>
        <w:pStyle w:val="Caption"/>
      </w:pPr>
      <w:r>
        <w:t>Figure S</w:t>
      </w:r>
      <w:r w:rsidR="00026A27">
        <w:fldChar w:fldCharType="begin"/>
      </w:r>
      <w:r w:rsidR="00026A27">
        <w:instrText xml:space="preserve"> SEQ Figure \</w:instrText>
      </w:r>
      <w:r w:rsidR="00026A27">
        <w:instrText xml:space="preserve">* ARABIC </w:instrText>
      </w:r>
      <w:r w:rsidR="00026A27">
        <w:fldChar w:fldCharType="separate"/>
      </w:r>
      <w:r>
        <w:rPr>
          <w:noProof/>
        </w:rPr>
        <w:t>2</w:t>
      </w:r>
      <w:r w:rsidR="00026A27">
        <w:rPr>
          <w:noProof/>
        </w:rPr>
        <w:fldChar w:fldCharType="end"/>
      </w:r>
      <w:r>
        <w:t>: Confidence interval</w:t>
      </w:r>
      <w:r w:rsidR="00787C72">
        <w:t>s</w:t>
      </w:r>
      <w:r>
        <w:t xml:space="preserve"> of the sensitivity (right panels) and precision (left panels) of the cluster</w:t>
      </w:r>
      <w:r w:rsidR="00D41EC6">
        <w:t>s</w:t>
      </w:r>
      <w:r>
        <w:t xml:space="preserve"> </w:t>
      </w:r>
      <w:r w:rsidR="00D41EC6">
        <w:t>of</w:t>
      </w:r>
      <w:r>
        <w:t xml:space="preserve"> each case in the different runs.</w:t>
      </w:r>
      <w:r w:rsidR="00B76733" w:rsidRPr="00B76733">
        <w:t xml:space="preserve"> </w:t>
      </w:r>
      <w:r w:rsidR="00B76733">
        <w:t>For each case, the sensitivity is</w:t>
      </w:r>
      <w:r w:rsidR="00B76733" w:rsidRPr="00E512A3">
        <w:t xml:space="preserve"> the proportion of cases from the reference cluster that were </w:t>
      </w:r>
      <w:r w:rsidR="00B76733">
        <w:t xml:space="preserve">correctly </w:t>
      </w:r>
      <w:r w:rsidR="00B76733" w:rsidRPr="00E512A3">
        <w:t>inferred</w:t>
      </w:r>
      <w:r w:rsidR="00B76733">
        <w:t>, the precision is</w:t>
      </w:r>
      <w:r w:rsidR="00B76733" w:rsidRPr="00E512A3">
        <w:t xml:space="preserve"> the proportion of cases </w:t>
      </w:r>
      <w:r w:rsidR="00B76733">
        <w:t>from the</w:t>
      </w:r>
      <w:r w:rsidR="00B76733" w:rsidRPr="00E512A3">
        <w:t xml:space="preserve"> inferred cluster</w:t>
      </w:r>
      <w:r w:rsidR="00B76733">
        <w:t xml:space="preserve"> that were part of reference cluster. </w:t>
      </w:r>
      <w:r>
        <w:t xml:space="preserve"> Grey areas represent the 95% credibility intervals, and the black line represents the median values of sensitivity or precision across </w:t>
      </w:r>
      <w:r w:rsidR="00357607">
        <w:t xml:space="preserve">all </w:t>
      </w:r>
      <w:r>
        <w:t>iterations.</w:t>
      </w:r>
      <w:r w:rsidR="00B2190F">
        <w:br w:type="page"/>
      </w:r>
    </w:p>
    <w:p w14:paraId="676169FC" w14:textId="2D9C7EE5" w:rsidR="00B35199" w:rsidRPr="003E5E3A" w:rsidRDefault="00B35199" w:rsidP="00B35199">
      <w:pPr>
        <w:pStyle w:val="Heading1"/>
      </w:pPr>
      <w:r>
        <w:lastRenderedPageBreak/>
        <w:t>Posterior distribution and convergence</w:t>
      </w:r>
    </w:p>
    <w:p w14:paraId="1F2BE588" w14:textId="77777777" w:rsidR="00B35199" w:rsidRDefault="00B35199" w:rsidP="00B35199">
      <w:pPr>
        <w:keepNext/>
      </w:pPr>
      <w:r>
        <w:rPr>
          <w:noProof/>
          <w:lang w:eastAsia="en-GB"/>
        </w:rPr>
        <w:drawing>
          <wp:inline distT="0" distB="0" distL="0" distR="0" wp14:anchorId="1B904254" wp14:editId="084D4EC9">
            <wp:extent cx="4501123" cy="3600000"/>
            <wp:effectExtent l="0" t="0" r="0" b="635"/>
            <wp:docPr id="22" name="Picture 22" descr="H:\PhD\Study\Measles_clustering_susc\Supp_p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PhD\Study\Measles_clustering_susc\Supp_pos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1123" cy="3600000"/>
                    </a:xfrm>
                    <a:prstGeom prst="rect">
                      <a:avLst/>
                    </a:prstGeom>
                    <a:noFill/>
                    <a:ln>
                      <a:noFill/>
                    </a:ln>
                  </pic:spPr>
                </pic:pic>
              </a:graphicData>
            </a:graphic>
          </wp:inline>
        </w:drawing>
      </w:r>
    </w:p>
    <w:p w14:paraId="5DB2C157" w14:textId="269763EE" w:rsidR="00EE3C03" w:rsidRDefault="00B35199" w:rsidP="00B35199">
      <w:pPr>
        <w:pStyle w:val="Caption"/>
      </w:pPr>
      <w:r>
        <w:t>Figure S</w:t>
      </w:r>
      <w:r w:rsidR="00026A27">
        <w:fldChar w:fldCharType="begin"/>
      </w:r>
      <w:r w:rsidR="00026A27">
        <w:instrText xml:space="preserve"> SEQ Figure \* ARABIC </w:instrText>
      </w:r>
      <w:r w:rsidR="00026A27">
        <w:fldChar w:fldCharType="separate"/>
      </w:r>
      <w:r w:rsidR="00B413A3">
        <w:rPr>
          <w:noProof/>
        </w:rPr>
        <w:t>3</w:t>
      </w:r>
      <w:r w:rsidR="00026A27">
        <w:rPr>
          <w:noProof/>
        </w:rPr>
        <w:fldChar w:fldCharType="end"/>
      </w:r>
      <w:r>
        <w:t xml:space="preserve">: Trace of the posterior </w:t>
      </w:r>
      <w:r w:rsidR="00EE3C03">
        <w:t>value of the MCMC runs</w:t>
      </w:r>
      <w:r w:rsidR="00B413A3">
        <w:t xml:space="preserve"> after removing the burnin section and thinning</w:t>
      </w:r>
      <w:r w:rsidR="00EE3C03">
        <w:t xml:space="preserve">. A: Ideal imports;  B: Epi imports; C: Absolute threshold, </w:t>
      </w:r>
      <m:oMath>
        <m:r>
          <w:rPr>
            <w:rFonts w:ascii="Cambria Math" w:hAnsi="Cambria Math"/>
          </w:rPr>
          <m:t>k=0.05</m:t>
        </m:r>
      </m:oMath>
      <w:r w:rsidR="00EE3C03">
        <w:t xml:space="preserve"> D:  Absolute threshold, </w:t>
      </w:r>
      <m:oMath>
        <m:r>
          <w:rPr>
            <w:rFonts w:ascii="Cambria Math" w:hAnsi="Cambria Math"/>
          </w:rPr>
          <m:t>k=0.05</m:t>
        </m:r>
      </m:oMath>
      <w:r w:rsidR="00EE3C03">
        <w:rPr>
          <w:rFonts w:eastAsiaTheme="minorEastAsia"/>
        </w:rPr>
        <w:t xml:space="preserve"> with prior information on imports</w:t>
      </w:r>
      <w:r w:rsidR="00EE3C03">
        <w:t xml:space="preserve">; E: Absolute threshold, </w:t>
      </w:r>
      <m:oMath>
        <m:r>
          <w:rPr>
            <w:rFonts w:ascii="Cambria Math" w:hAnsi="Cambria Math"/>
          </w:rPr>
          <m:t>k=0.1</m:t>
        </m:r>
      </m:oMath>
      <w:r w:rsidR="00EE3C03">
        <w:rPr>
          <w:rFonts w:eastAsiaTheme="minorEastAsia"/>
        </w:rPr>
        <w:t>;</w:t>
      </w:r>
      <w:r w:rsidR="00EE3C03">
        <w:t xml:space="preserve">  F: Relative threshold </w:t>
      </w:r>
      <w:r w:rsidR="00B413A3">
        <w:rPr>
          <w:rFonts w:eastAsiaTheme="minorEastAsia"/>
        </w:rPr>
        <w:t xml:space="preserve">upper </w:t>
      </w:r>
      <m:oMath>
        <m:r>
          <w:rPr>
            <w:rFonts w:ascii="Cambria Math" w:hAnsi="Cambria Math"/>
          </w:rPr>
          <m:t xml:space="preserve">λ=97.5% </m:t>
        </m:r>
      </m:oMath>
      <w:r w:rsidR="00EE3C03">
        <w:rPr>
          <w:rFonts w:eastAsiaTheme="minorEastAsia"/>
        </w:rPr>
        <w:t>quantile.</w:t>
      </w:r>
    </w:p>
    <w:p w14:paraId="1CCCBB35" w14:textId="77777777" w:rsidR="007F7572" w:rsidRPr="004C3D22" w:rsidRDefault="007F7572" w:rsidP="004C3D22">
      <w:pPr>
        <w:contextualSpacing/>
        <w:rPr>
          <w:rFonts w:ascii="Calibri" w:eastAsia="Calibri" w:hAnsi="Calibri" w:cs="Times New Roman"/>
          <w:b/>
          <w:sz w:val="28"/>
          <w:szCs w:val="28"/>
        </w:rPr>
      </w:pPr>
    </w:p>
    <w:p w14:paraId="08EAA690" w14:textId="77777777" w:rsidR="00B2190F" w:rsidRDefault="00B2190F">
      <w:pPr>
        <w:rPr>
          <w:rFonts w:ascii="Calibri" w:eastAsia="Calibri" w:hAnsi="Calibri" w:cs="Times New Roman"/>
          <w:b/>
          <w:sz w:val="28"/>
          <w:szCs w:val="28"/>
        </w:rPr>
      </w:pPr>
      <w:r>
        <w:br w:type="page"/>
      </w:r>
    </w:p>
    <w:p w14:paraId="780D384F" w14:textId="0629B3FD" w:rsidR="004C3D22" w:rsidRDefault="004C3D22" w:rsidP="00D41341">
      <w:pPr>
        <w:pStyle w:val="Heading1"/>
      </w:pPr>
      <w:r>
        <w:lastRenderedPageBreak/>
        <w:t>Clusters stratified by state</w:t>
      </w:r>
    </w:p>
    <w:p w14:paraId="34D24985" w14:textId="112662F1" w:rsidR="00457662" w:rsidRPr="00D41341" w:rsidRDefault="00457662" w:rsidP="00D41341">
      <w:pPr>
        <w:pStyle w:val="Heading2"/>
      </w:pPr>
      <w:r w:rsidRPr="00D41341">
        <w:t>Scenario 1</w:t>
      </w:r>
    </w:p>
    <w:p w14:paraId="08AE83E8" w14:textId="77777777" w:rsidR="005C1A08" w:rsidRDefault="005C1A08" w:rsidP="005C1A08">
      <w:pPr>
        <w:contextualSpacing/>
        <w:rPr>
          <w:rFonts w:ascii="Calibri" w:eastAsia="Calibri" w:hAnsi="Calibri" w:cs="Times New Roman"/>
          <w:b/>
          <w:sz w:val="28"/>
          <w:szCs w:val="28"/>
        </w:rPr>
      </w:pPr>
    </w:p>
    <w:p w14:paraId="075A02E4" w14:textId="26F8D54B" w:rsidR="00216614" w:rsidRDefault="0041593C" w:rsidP="00216614">
      <w:pPr>
        <w:keepNext/>
        <w:contextualSpacing/>
      </w:pPr>
      <w:r>
        <w:rPr>
          <w:noProof/>
          <w:lang w:eastAsia="en-GB"/>
        </w:rPr>
        <w:drawing>
          <wp:inline distT="0" distB="0" distL="0" distR="0" wp14:anchorId="72577318" wp14:editId="6C549A07">
            <wp:extent cx="4800177" cy="3600000"/>
            <wp:effectExtent l="0" t="0" r="635" b="635"/>
            <wp:docPr id="9" name="Picture 9" descr="H:\PhD\Study\Measles_clustering_susc\Supp_fit_state_id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PhD\Study\Measles_clustering_susc\Supp_fit_state_idea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177" cy="3600000"/>
                    </a:xfrm>
                    <a:prstGeom prst="rect">
                      <a:avLst/>
                    </a:prstGeom>
                    <a:noFill/>
                    <a:ln>
                      <a:noFill/>
                    </a:ln>
                  </pic:spPr>
                </pic:pic>
              </a:graphicData>
            </a:graphic>
          </wp:inline>
        </w:drawing>
      </w:r>
    </w:p>
    <w:p w14:paraId="12465A86" w14:textId="72BC6F1D" w:rsidR="00610AF7" w:rsidRDefault="00610AF7" w:rsidP="00216614">
      <w:pPr>
        <w:keepNext/>
        <w:contextualSpacing/>
      </w:pPr>
    </w:p>
    <w:p w14:paraId="7C0FC146" w14:textId="1E1C060D" w:rsidR="0056344E" w:rsidRDefault="00216614" w:rsidP="00216614">
      <w:pPr>
        <w:pStyle w:val="Caption"/>
        <w:rPr>
          <w:rFonts w:ascii="Calibri" w:eastAsia="Calibri" w:hAnsi="Calibri" w:cs="Times New Roman"/>
          <w:b/>
          <w:sz w:val="28"/>
          <w:szCs w:val="28"/>
        </w:rPr>
      </w:pPr>
      <w:r>
        <w:t xml:space="preserve">Figure </w:t>
      </w:r>
      <w:r w:rsidR="0026049D">
        <w:t>S</w:t>
      </w:r>
      <w:r w:rsidR="00026A27">
        <w:fldChar w:fldCharType="begin"/>
      </w:r>
      <w:r w:rsidR="00026A27">
        <w:instrText xml:space="preserve"> SEQ Figure \* ARABIC </w:instrText>
      </w:r>
      <w:r w:rsidR="00026A27">
        <w:fldChar w:fldCharType="separate"/>
      </w:r>
      <w:r w:rsidR="00B413A3">
        <w:rPr>
          <w:noProof/>
        </w:rPr>
        <w:t>4</w:t>
      </w:r>
      <w:r w:rsidR="00026A27">
        <w:rPr>
          <w:noProof/>
        </w:rPr>
        <w:fldChar w:fldCharType="end"/>
      </w:r>
      <w:r w:rsidR="00B728D1">
        <w:t>: Comparison of the inferred and reference c</w:t>
      </w:r>
      <w:r>
        <w:t>luster size distribution</w:t>
      </w:r>
      <w:r w:rsidR="00B728D1">
        <w:t>s</w:t>
      </w:r>
      <w:r>
        <w:t xml:space="preserve"> in the nine states with most cases declared between 2001 and 2016 </w:t>
      </w:r>
      <w:r w:rsidR="00B728D1">
        <w:t>in scenario 1.</w:t>
      </w:r>
      <w:r w:rsidR="00412FBC" w:rsidRPr="00412FBC">
        <w:t xml:space="preserve"> Arrows represent the 95% credibility intervals of each estimate.</w:t>
      </w:r>
    </w:p>
    <w:p w14:paraId="2443B46F" w14:textId="77777777" w:rsidR="00B2190F" w:rsidRDefault="00B2190F">
      <w:pPr>
        <w:rPr>
          <w:rFonts w:ascii="Calibri" w:eastAsia="Calibri" w:hAnsi="Calibri" w:cs="Times New Roman"/>
          <w:b/>
          <w:sz w:val="28"/>
          <w:szCs w:val="28"/>
        </w:rPr>
      </w:pPr>
      <w:r>
        <w:br w:type="page"/>
      </w:r>
    </w:p>
    <w:p w14:paraId="389D6EE3" w14:textId="2D0497E3" w:rsidR="00457662" w:rsidRDefault="00457662" w:rsidP="00D41341">
      <w:pPr>
        <w:pStyle w:val="Heading2"/>
      </w:pPr>
      <w:r>
        <w:lastRenderedPageBreak/>
        <w:t>Scenario 2</w:t>
      </w:r>
    </w:p>
    <w:p w14:paraId="3F03D59B" w14:textId="77777777" w:rsidR="005C1A08" w:rsidRDefault="005C1A08" w:rsidP="005C1A08">
      <w:pPr>
        <w:contextualSpacing/>
        <w:rPr>
          <w:rFonts w:ascii="Calibri" w:eastAsia="Calibri" w:hAnsi="Calibri" w:cs="Times New Roman"/>
          <w:b/>
          <w:sz w:val="28"/>
          <w:szCs w:val="28"/>
        </w:rPr>
      </w:pPr>
    </w:p>
    <w:p w14:paraId="522AC17C" w14:textId="09C24899" w:rsidR="00B728D1" w:rsidRDefault="0041593C" w:rsidP="00B728D1">
      <w:pPr>
        <w:keepNext/>
        <w:contextualSpacing/>
      </w:pPr>
      <w:r>
        <w:rPr>
          <w:noProof/>
          <w:lang w:eastAsia="en-GB"/>
        </w:rPr>
        <w:drawing>
          <wp:inline distT="0" distB="0" distL="0" distR="0" wp14:anchorId="54EEE219" wp14:editId="722B4165">
            <wp:extent cx="4800177" cy="3600000"/>
            <wp:effectExtent l="0" t="0" r="635" b="635"/>
            <wp:docPr id="10" name="Picture 10" descr="H:\PhD\Study\Measles_clustering_susc\Supp_fit_state_im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PhD\Study\Measles_clustering_susc\Supp_fit_state_impor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177" cy="3600000"/>
                    </a:xfrm>
                    <a:prstGeom prst="rect">
                      <a:avLst/>
                    </a:prstGeom>
                    <a:noFill/>
                    <a:ln>
                      <a:noFill/>
                    </a:ln>
                  </pic:spPr>
                </pic:pic>
              </a:graphicData>
            </a:graphic>
          </wp:inline>
        </w:drawing>
      </w:r>
    </w:p>
    <w:p w14:paraId="76314087" w14:textId="41CBD92C" w:rsidR="0056344E" w:rsidRDefault="00B728D1" w:rsidP="00B728D1">
      <w:pPr>
        <w:pStyle w:val="Caption"/>
        <w:rPr>
          <w:rFonts w:ascii="Calibri" w:eastAsia="Calibri" w:hAnsi="Calibri" w:cs="Times New Roman"/>
          <w:b/>
          <w:sz w:val="28"/>
          <w:szCs w:val="28"/>
        </w:rPr>
      </w:pPr>
      <w:r>
        <w:t xml:space="preserve">Figure </w:t>
      </w:r>
      <w:r w:rsidR="0026049D">
        <w:t>S</w:t>
      </w:r>
      <w:r w:rsidR="00026A27">
        <w:fldChar w:fldCharType="begin"/>
      </w:r>
      <w:r w:rsidR="00026A27">
        <w:instrText xml:space="preserve"> SEQ Figure \* ARABIC </w:instrText>
      </w:r>
      <w:r w:rsidR="00026A27">
        <w:fldChar w:fldCharType="separate"/>
      </w:r>
      <w:r w:rsidR="00B413A3">
        <w:rPr>
          <w:noProof/>
        </w:rPr>
        <w:t>5</w:t>
      </w:r>
      <w:r w:rsidR="00026A27">
        <w:rPr>
          <w:noProof/>
        </w:rPr>
        <w:fldChar w:fldCharType="end"/>
      </w:r>
      <w:r>
        <w:t xml:space="preserve">: </w:t>
      </w:r>
      <w:r w:rsidRPr="00E94FA4">
        <w:t>Comparison of the inferred and reference cluster size distributions in the nine states with most cases declared betw</w:t>
      </w:r>
      <w:r>
        <w:t>een 2001 and 2016 in scenario 2.</w:t>
      </w:r>
      <w:r w:rsidR="00FB6B8B" w:rsidRPr="00FB6B8B">
        <w:t xml:space="preserve"> Arrows represent the 95% credibility intervals of each estimate.</w:t>
      </w:r>
    </w:p>
    <w:p w14:paraId="78A53A55" w14:textId="77777777" w:rsidR="007F7572" w:rsidRDefault="007F7572" w:rsidP="0056344E">
      <w:pPr>
        <w:contextualSpacing/>
        <w:rPr>
          <w:rFonts w:ascii="Calibri" w:eastAsia="Calibri" w:hAnsi="Calibri" w:cs="Times New Roman"/>
          <w:b/>
          <w:sz w:val="28"/>
          <w:szCs w:val="28"/>
        </w:rPr>
      </w:pPr>
    </w:p>
    <w:p w14:paraId="1620BE3A" w14:textId="77777777" w:rsidR="00B2190F" w:rsidRDefault="00B2190F">
      <w:pPr>
        <w:rPr>
          <w:rFonts w:ascii="Calibri" w:eastAsia="Calibri" w:hAnsi="Calibri" w:cs="Times New Roman"/>
          <w:b/>
          <w:sz w:val="28"/>
          <w:szCs w:val="28"/>
        </w:rPr>
      </w:pPr>
      <w:r>
        <w:br w:type="page"/>
      </w:r>
    </w:p>
    <w:p w14:paraId="06206C51" w14:textId="546DDF6A" w:rsidR="0056344E" w:rsidRPr="0056344E" w:rsidRDefault="00457662" w:rsidP="00D41341">
      <w:pPr>
        <w:pStyle w:val="Heading2"/>
      </w:pPr>
      <w:r>
        <w:lastRenderedPageBreak/>
        <w:t>Scenario 3</w:t>
      </w:r>
    </w:p>
    <w:p w14:paraId="6AEFA5CC" w14:textId="29DA0629" w:rsidR="00457662" w:rsidRDefault="00457662" w:rsidP="00D41341">
      <w:pPr>
        <w:pStyle w:val="Heading3"/>
      </w:pPr>
      <w:r>
        <w:t xml:space="preserve">Absolute </w:t>
      </w:r>
      <w:r w:rsidRPr="00D41341">
        <w:t>threshold</w:t>
      </w:r>
      <w:r>
        <w:t xml:space="preserve"> </w:t>
      </w:r>
      <m:oMath>
        <m:r>
          <m:rPr>
            <m:sty m:val="bi"/>
          </m:rPr>
          <w:rPr>
            <w:rFonts w:ascii="Cambria Math" w:hAnsi="Cambria Math"/>
          </w:rPr>
          <m:t>k=0.05</m:t>
        </m:r>
      </m:oMath>
    </w:p>
    <w:p w14:paraId="2C2B23BE" w14:textId="77777777" w:rsidR="005C1A08" w:rsidRDefault="005C1A08" w:rsidP="005C1A08">
      <w:pPr>
        <w:contextualSpacing/>
        <w:rPr>
          <w:rFonts w:ascii="Calibri" w:eastAsia="Calibri" w:hAnsi="Calibri" w:cs="Times New Roman"/>
          <w:b/>
          <w:sz w:val="28"/>
          <w:szCs w:val="28"/>
        </w:rPr>
      </w:pPr>
    </w:p>
    <w:p w14:paraId="3504B29F" w14:textId="33717D4C" w:rsidR="00B728D1" w:rsidRDefault="0041593C" w:rsidP="00B728D1">
      <w:pPr>
        <w:keepNext/>
        <w:contextualSpacing/>
      </w:pPr>
      <w:r>
        <w:rPr>
          <w:noProof/>
          <w:lang w:eastAsia="en-GB"/>
        </w:rPr>
        <w:drawing>
          <wp:inline distT="0" distB="0" distL="0" distR="0" wp14:anchorId="0062976C" wp14:editId="41935B82">
            <wp:extent cx="4800177" cy="3600000"/>
            <wp:effectExtent l="0" t="0" r="635" b="635"/>
            <wp:docPr id="11" name="Picture 11" descr="H:\PhD\Study\Measles_clustering_susc\Supp_fit_state_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PhD\Study\Measles_clustering_susc\Supp_fit_state_00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0177" cy="3600000"/>
                    </a:xfrm>
                    <a:prstGeom prst="rect">
                      <a:avLst/>
                    </a:prstGeom>
                    <a:noFill/>
                    <a:ln>
                      <a:noFill/>
                    </a:ln>
                  </pic:spPr>
                </pic:pic>
              </a:graphicData>
            </a:graphic>
          </wp:inline>
        </w:drawing>
      </w:r>
    </w:p>
    <w:p w14:paraId="7617557C" w14:textId="41FAEE18" w:rsidR="0056344E" w:rsidRDefault="00B728D1" w:rsidP="00B728D1">
      <w:pPr>
        <w:pStyle w:val="Caption"/>
        <w:rPr>
          <w:rFonts w:ascii="Calibri" w:eastAsia="Calibri" w:hAnsi="Calibri" w:cs="Times New Roman"/>
          <w:b/>
          <w:sz w:val="28"/>
          <w:szCs w:val="28"/>
        </w:rPr>
      </w:pPr>
      <w:r>
        <w:t xml:space="preserve">Figure </w:t>
      </w:r>
      <w:r w:rsidR="0026049D">
        <w:t>S</w:t>
      </w:r>
      <w:r w:rsidR="00026A27">
        <w:fldChar w:fldCharType="begin"/>
      </w:r>
      <w:r w:rsidR="00026A27">
        <w:instrText xml:space="preserve"> SEQ Figure \* ARABIC </w:instrText>
      </w:r>
      <w:r w:rsidR="00026A27">
        <w:fldChar w:fldCharType="separate"/>
      </w:r>
      <w:r w:rsidR="00B413A3">
        <w:rPr>
          <w:noProof/>
        </w:rPr>
        <w:t>6</w:t>
      </w:r>
      <w:r w:rsidR="00026A27">
        <w:rPr>
          <w:noProof/>
        </w:rPr>
        <w:fldChar w:fldCharType="end"/>
      </w:r>
      <w:r>
        <w:t xml:space="preserve">: </w:t>
      </w:r>
      <w:r w:rsidRPr="00863EBA">
        <w:t>Comparison of the inferred and reference cluster size distributions in the nine states with most cases declared bet</w:t>
      </w:r>
      <w:r>
        <w:t>ween 2001 and 2016 in scenari</w:t>
      </w:r>
      <w:r w:rsidR="00B6530C">
        <w:t xml:space="preserve">o 3, with an absolute threshold </w:t>
      </w:r>
      <m:oMath>
        <m:r>
          <w:rPr>
            <w:rFonts w:ascii="Cambria Math" w:hAnsi="Cambria Math"/>
          </w:rPr>
          <m:t>k=0.05</m:t>
        </m:r>
      </m:oMath>
      <w:r>
        <w:rPr>
          <w:rFonts w:eastAsiaTheme="minorEastAsia"/>
        </w:rPr>
        <w:t xml:space="preserve"> and no prior information on the import status of cases.</w:t>
      </w:r>
      <w:r w:rsidR="00FB6B8B" w:rsidRPr="00FB6B8B">
        <w:t xml:space="preserve"> </w:t>
      </w:r>
      <w:r w:rsidR="00FB6B8B" w:rsidRPr="00FB6B8B">
        <w:rPr>
          <w:rFonts w:eastAsiaTheme="minorEastAsia"/>
        </w:rPr>
        <w:t>Arrows represent the 95% credibility intervals of each estimate.</w:t>
      </w:r>
    </w:p>
    <w:p w14:paraId="64B0F1FA" w14:textId="77777777" w:rsidR="007F7572" w:rsidRDefault="007F7572" w:rsidP="0056344E">
      <w:pPr>
        <w:contextualSpacing/>
        <w:rPr>
          <w:rFonts w:ascii="Calibri" w:eastAsia="Calibri" w:hAnsi="Calibri" w:cs="Times New Roman"/>
          <w:b/>
          <w:sz w:val="28"/>
          <w:szCs w:val="28"/>
        </w:rPr>
      </w:pPr>
    </w:p>
    <w:p w14:paraId="6D164A64" w14:textId="77777777" w:rsidR="00B2190F" w:rsidRDefault="00B2190F">
      <w:pPr>
        <w:rPr>
          <w:rFonts w:ascii="Calibri" w:eastAsia="Calibri" w:hAnsi="Calibri" w:cs="Times New Roman"/>
          <w:b/>
          <w:sz w:val="28"/>
          <w:szCs w:val="28"/>
        </w:rPr>
      </w:pPr>
      <w:r>
        <w:br w:type="page"/>
      </w:r>
    </w:p>
    <w:p w14:paraId="785EA74B" w14:textId="012E6CF3" w:rsidR="0056344E" w:rsidRPr="0056344E" w:rsidRDefault="000F3351" w:rsidP="00D41341">
      <w:pPr>
        <w:pStyle w:val="Heading3"/>
      </w:pPr>
      <w:r>
        <w:lastRenderedPageBreak/>
        <w:t xml:space="preserve">Relative </w:t>
      </w:r>
      <w:r w:rsidRPr="000F3351">
        <w:t xml:space="preserve">threshold </w:t>
      </w:r>
      <m:oMath>
        <m:r>
          <m:rPr>
            <m:sty m:val="bi"/>
          </m:rPr>
          <w:rPr>
            <w:rFonts w:ascii="Cambria Math" w:hAnsi="Cambria Math"/>
          </w:rPr>
          <m:t>k=95%</m:t>
        </m:r>
      </m:oMath>
    </w:p>
    <w:p w14:paraId="3086BE09" w14:textId="6AC4FAB3" w:rsidR="00B728D1" w:rsidRDefault="0041593C" w:rsidP="00B728D1">
      <w:pPr>
        <w:keepNext/>
        <w:contextualSpacing/>
      </w:pPr>
      <w:r>
        <w:rPr>
          <w:noProof/>
          <w:lang w:eastAsia="en-GB"/>
        </w:rPr>
        <w:drawing>
          <wp:inline distT="0" distB="0" distL="0" distR="0" wp14:anchorId="2910AB3C" wp14:editId="3510A61B">
            <wp:extent cx="4800177" cy="3600000"/>
            <wp:effectExtent l="0" t="0" r="635" b="635"/>
            <wp:docPr id="12" name="Picture 12" descr="H:\PhD\Study\Measles_clustering_susc\Supp_fit_state_0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PhD\Study\Measles_clustering_susc\Supp_fit_state_09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0177" cy="3600000"/>
                    </a:xfrm>
                    <a:prstGeom prst="rect">
                      <a:avLst/>
                    </a:prstGeom>
                    <a:noFill/>
                    <a:ln>
                      <a:noFill/>
                    </a:ln>
                  </pic:spPr>
                </pic:pic>
              </a:graphicData>
            </a:graphic>
          </wp:inline>
        </w:drawing>
      </w:r>
    </w:p>
    <w:p w14:paraId="017B75B1" w14:textId="01EF494A" w:rsidR="0056344E" w:rsidRPr="000F3351" w:rsidRDefault="00B728D1" w:rsidP="00B728D1">
      <w:pPr>
        <w:pStyle w:val="Caption"/>
        <w:rPr>
          <w:rFonts w:ascii="Calibri" w:eastAsia="Calibri" w:hAnsi="Calibri" w:cs="Times New Roman"/>
          <w:b/>
          <w:sz w:val="28"/>
          <w:szCs w:val="28"/>
        </w:rPr>
      </w:pPr>
      <w:r>
        <w:t xml:space="preserve">Figure </w:t>
      </w:r>
      <w:r w:rsidR="0026049D">
        <w:t>S</w:t>
      </w:r>
      <w:r w:rsidR="00026A27">
        <w:fldChar w:fldCharType="begin"/>
      </w:r>
      <w:r w:rsidR="00026A27">
        <w:instrText xml:space="preserve"> SEQ Figure \* ARABIC </w:instrText>
      </w:r>
      <w:r w:rsidR="00026A27">
        <w:fldChar w:fldCharType="separate"/>
      </w:r>
      <w:r w:rsidR="00B413A3">
        <w:rPr>
          <w:noProof/>
        </w:rPr>
        <w:t>7</w:t>
      </w:r>
      <w:r w:rsidR="00026A27">
        <w:rPr>
          <w:noProof/>
        </w:rPr>
        <w:fldChar w:fldCharType="end"/>
      </w:r>
      <w:r>
        <w:t xml:space="preserve">: </w:t>
      </w:r>
      <w:r w:rsidRPr="00E1753D">
        <w:t>Comparison of the inferred and reference cluster size distributions in the nine states with most cases declared bet</w:t>
      </w:r>
      <w:r>
        <w:t>ween 2001 and 2016 in scenario 3, with a relative threshold</w:t>
      </w:r>
      <m:oMath>
        <m:r>
          <w:rPr>
            <w:rFonts w:ascii="Cambria Math" w:hAnsi="Cambria Math"/>
          </w:rPr>
          <m:t xml:space="preserve"> k=95%</m:t>
        </m:r>
      </m:oMath>
      <w:r>
        <w:rPr>
          <w:rFonts w:eastAsiaTheme="minorEastAsia"/>
        </w:rPr>
        <w:t xml:space="preserve"> and no prior information on the import status of cases</w:t>
      </w:r>
      <w:r w:rsidRPr="00E1753D">
        <w:t>.</w:t>
      </w:r>
      <w:r w:rsidR="00FB6B8B" w:rsidRPr="00FB6B8B">
        <w:t xml:space="preserve"> Arrows represent the 95% credibility intervals of each estimate.</w:t>
      </w:r>
    </w:p>
    <w:p w14:paraId="6A40C26F" w14:textId="77777777" w:rsidR="00B2190F" w:rsidRDefault="00B2190F">
      <w:pPr>
        <w:rPr>
          <w:rFonts w:ascii="Calibri" w:eastAsia="Calibri" w:hAnsi="Calibri" w:cs="Times New Roman"/>
          <w:b/>
          <w:sz w:val="28"/>
          <w:szCs w:val="28"/>
        </w:rPr>
      </w:pPr>
      <w:r>
        <w:br w:type="page"/>
      </w:r>
    </w:p>
    <w:p w14:paraId="58FE61D0" w14:textId="0B30CD4D" w:rsidR="00457662" w:rsidRDefault="00457662" w:rsidP="00D41341">
      <w:pPr>
        <w:pStyle w:val="Heading3"/>
      </w:pPr>
      <w:r>
        <w:lastRenderedPageBreak/>
        <w:t xml:space="preserve">Epidemiological imports, and absolute threshold </w:t>
      </w:r>
      <m:oMath>
        <m:r>
          <m:rPr>
            <m:sty m:val="bi"/>
          </m:rPr>
          <w:rPr>
            <w:rFonts w:ascii="Cambria Math" w:hAnsi="Cambria Math"/>
          </w:rPr>
          <m:t>k=0.05</m:t>
        </m:r>
      </m:oMath>
    </w:p>
    <w:p w14:paraId="3D54139B" w14:textId="7FED7A2A" w:rsidR="00B6530C" w:rsidRDefault="0041593C" w:rsidP="00B6530C">
      <w:pPr>
        <w:keepNext/>
        <w:contextualSpacing/>
      </w:pPr>
      <w:r>
        <w:rPr>
          <w:noProof/>
          <w:lang w:eastAsia="en-GB"/>
        </w:rPr>
        <w:drawing>
          <wp:inline distT="0" distB="0" distL="0" distR="0" wp14:anchorId="1F4163A1" wp14:editId="573BF620">
            <wp:extent cx="4800177" cy="3600000"/>
            <wp:effectExtent l="0" t="0" r="635" b="635"/>
            <wp:docPr id="13" name="Picture 13" descr="H:\PhD\Study\Measles_clustering_susc\Supp_fit_state_005_w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PhD\Study\Measles_clustering_susc\Supp_fit_state_005_w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0177" cy="3600000"/>
                    </a:xfrm>
                    <a:prstGeom prst="rect">
                      <a:avLst/>
                    </a:prstGeom>
                    <a:noFill/>
                    <a:ln>
                      <a:noFill/>
                    </a:ln>
                  </pic:spPr>
                </pic:pic>
              </a:graphicData>
            </a:graphic>
          </wp:inline>
        </w:drawing>
      </w:r>
    </w:p>
    <w:p w14:paraId="1D1AAFF1" w14:textId="029E8B6E" w:rsidR="0056344E" w:rsidRDefault="00B6530C" w:rsidP="00B6530C">
      <w:pPr>
        <w:pStyle w:val="Caption"/>
        <w:rPr>
          <w:rFonts w:eastAsiaTheme="minorEastAsia"/>
        </w:rPr>
      </w:pPr>
      <w:r>
        <w:t xml:space="preserve">Figure </w:t>
      </w:r>
      <w:r w:rsidR="0026049D">
        <w:t>S</w:t>
      </w:r>
      <w:r w:rsidR="00026A27">
        <w:fldChar w:fldCharType="begin"/>
      </w:r>
      <w:r w:rsidR="00026A27">
        <w:instrText xml:space="preserve"> SEQ Figure \* ARABIC </w:instrText>
      </w:r>
      <w:r w:rsidR="00026A27">
        <w:fldChar w:fldCharType="separate"/>
      </w:r>
      <w:r w:rsidR="00B413A3">
        <w:rPr>
          <w:noProof/>
        </w:rPr>
        <w:t>8</w:t>
      </w:r>
      <w:r w:rsidR="00026A27">
        <w:rPr>
          <w:noProof/>
        </w:rPr>
        <w:fldChar w:fldCharType="end"/>
      </w:r>
      <w:r>
        <w:t xml:space="preserve">: </w:t>
      </w:r>
      <w:r w:rsidRPr="00332429">
        <w:t>Comparison of the inferred and reference cluster size distributions in the nine states with most cases declared between 2001 and 2016 in scenario</w:t>
      </w:r>
      <w:r>
        <w:t xml:space="preserve"> 3, with an absolute threshold </w:t>
      </w:r>
      <m:oMath>
        <m:r>
          <w:rPr>
            <w:rFonts w:ascii="Cambria Math" w:hAnsi="Cambria Math"/>
          </w:rPr>
          <m:t>k=0.05</m:t>
        </m:r>
      </m:oMath>
      <w:r>
        <w:rPr>
          <w:rFonts w:eastAsiaTheme="minorEastAsia"/>
        </w:rPr>
        <w:t xml:space="preserve"> and using the import status distribution from the contact tracing investigations as prior information.</w:t>
      </w:r>
      <w:r w:rsidR="00FB6B8B" w:rsidRPr="00FB6B8B">
        <w:t xml:space="preserve"> </w:t>
      </w:r>
      <w:r w:rsidR="00FB6B8B" w:rsidRPr="00FB6B8B">
        <w:rPr>
          <w:rFonts w:eastAsiaTheme="minorEastAsia"/>
        </w:rPr>
        <w:t>Arrows represent the 95% credibility intervals of each estimate.</w:t>
      </w:r>
    </w:p>
    <w:p w14:paraId="5425E2AC" w14:textId="77777777" w:rsidR="00B2190F" w:rsidRDefault="00B2190F">
      <w:pPr>
        <w:rPr>
          <w:rFonts w:ascii="Calibri" w:eastAsia="Calibri" w:hAnsi="Calibri" w:cs="Times New Roman"/>
          <w:b/>
          <w:sz w:val="28"/>
          <w:szCs w:val="28"/>
        </w:rPr>
      </w:pPr>
      <w:r>
        <w:br w:type="page"/>
      </w:r>
    </w:p>
    <w:p w14:paraId="1BCF9F41" w14:textId="517016C2" w:rsidR="00B413A3" w:rsidRDefault="00B413A3" w:rsidP="00B413A3">
      <w:pPr>
        <w:pStyle w:val="Heading1"/>
      </w:pPr>
      <w:r>
        <w:lastRenderedPageBreak/>
        <w:t>Parameter estimates</w:t>
      </w:r>
    </w:p>
    <w:p w14:paraId="071D4AB9" w14:textId="77777777" w:rsidR="00B413A3" w:rsidRDefault="00B413A3" w:rsidP="00B413A3">
      <w:pPr>
        <w:keepNext/>
        <w:contextualSpacing/>
      </w:pPr>
      <w:r>
        <w:rPr>
          <w:noProof/>
          <w:lang w:eastAsia="en-GB"/>
        </w:rPr>
        <w:drawing>
          <wp:inline distT="0" distB="0" distL="0" distR="0" wp14:anchorId="627158E9" wp14:editId="316CD549">
            <wp:extent cx="4802130" cy="3600000"/>
            <wp:effectExtent l="0" t="0" r="0" b="635"/>
            <wp:docPr id="19" name="Picture 19" descr="H:\PhD\Study\Measles_clustering_susc\Supp_fig_para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PhD\Study\Measles_clustering_susc\Supp_fig_param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2130" cy="3600000"/>
                    </a:xfrm>
                    <a:prstGeom prst="rect">
                      <a:avLst/>
                    </a:prstGeom>
                    <a:noFill/>
                    <a:ln>
                      <a:noFill/>
                    </a:ln>
                  </pic:spPr>
                </pic:pic>
              </a:graphicData>
            </a:graphic>
          </wp:inline>
        </w:drawing>
      </w:r>
    </w:p>
    <w:p w14:paraId="5F716229" w14:textId="6CE9CA8E" w:rsidR="00B413A3" w:rsidRPr="00B413A3" w:rsidRDefault="00B413A3" w:rsidP="00B413A3">
      <w:pPr>
        <w:pStyle w:val="Caption"/>
      </w:pPr>
      <w:bookmarkStart w:id="1" w:name="_Ref17149206"/>
      <w:r>
        <w:t>Figure S</w:t>
      </w:r>
      <w:r w:rsidR="00026A27">
        <w:fldChar w:fldCharType="begin"/>
      </w:r>
      <w:r w:rsidR="00026A27">
        <w:instrText xml:space="preserve"> SEQ Figure \* ARABIC </w:instrText>
      </w:r>
      <w:r w:rsidR="00026A27">
        <w:fldChar w:fldCharType="separate"/>
      </w:r>
      <w:r>
        <w:rPr>
          <w:noProof/>
        </w:rPr>
        <w:t>9</w:t>
      </w:r>
      <w:r w:rsidR="00026A27">
        <w:rPr>
          <w:noProof/>
        </w:rPr>
        <w:fldChar w:fldCharType="end"/>
      </w:r>
      <w:bookmarkEnd w:id="1"/>
      <w:r>
        <w:t>: Estimation of A) the report ratio</w:t>
      </w:r>
      <m:oMath>
        <m:r>
          <w:rPr>
            <w:rFonts w:ascii="Cambria Math" w:hAnsi="Cambria Math"/>
          </w:rPr>
          <m:t xml:space="preserve"> ρ</m:t>
        </m:r>
      </m:oMath>
      <w:r>
        <w:t xml:space="preserve">, B) the spatial parameter </w:t>
      </w:r>
      <m:oMath>
        <m:r>
          <w:rPr>
            <w:rFonts w:ascii="Cambria Math" w:hAnsi="Cambria Math"/>
          </w:rPr>
          <m:t>a</m:t>
        </m:r>
      </m:oMath>
      <w:r>
        <w:t xml:space="preserve"> and C) the spatial parameter </w:t>
      </w:r>
      <m:oMath>
        <m:r>
          <w:rPr>
            <w:rFonts w:ascii="Cambria Math" w:hAnsi="Cambria Math"/>
          </w:rPr>
          <m:t>b</m:t>
        </m:r>
      </m:oMath>
      <w:r>
        <w:t xml:space="preserve"> in each scenario. The dots represent the median estimate, and the arrows correspond to the 95% credibility interval. The estimates were obtained after burnin and thinning.</w:t>
      </w:r>
    </w:p>
    <w:p w14:paraId="508402C2" w14:textId="77777777" w:rsidR="00B413A3" w:rsidRPr="004C3D22" w:rsidRDefault="00B413A3" w:rsidP="00B413A3">
      <w:pPr>
        <w:pStyle w:val="Heading1"/>
      </w:pPr>
      <w:r>
        <w:t>Distance between transmission</w:t>
      </w:r>
    </w:p>
    <w:p w14:paraId="736AB214" w14:textId="77777777" w:rsidR="00B413A3" w:rsidRDefault="00B413A3" w:rsidP="00B413A3"/>
    <w:p w14:paraId="5F3E8ECB" w14:textId="77777777" w:rsidR="00B413A3" w:rsidRDefault="00B413A3" w:rsidP="00B413A3">
      <w:pPr>
        <w:keepNext/>
      </w:pPr>
      <w:r>
        <w:rPr>
          <w:noProof/>
          <w:lang w:eastAsia="en-GB"/>
        </w:rPr>
        <w:drawing>
          <wp:inline distT="0" distB="0" distL="0" distR="0" wp14:anchorId="4FC4D2E3" wp14:editId="4CDB2CCD">
            <wp:extent cx="4802400" cy="1202198"/>
            <wp:effectExtent l="0" t="0" r="0" b="0"/>
            <wp:docPr id="17" name="Picture 17" descr="H:\PhD\Study\Measles_clustering_susc\Supp_dist_h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PhD\Study\Measles_clustering_susc\Supp_dist_his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02400" cy="1202198"/>
                    </a:xfrm>
                    <a:prstGeom prst="rect">
                      <a:avLst/>
                    </a:prstGeom>
                    <a:noFill/>
                    <a:ln>
                      <a:noFill/>
                    </a:ln>
                  </pic:spPr>
                </pic:pic>
              </a:graphicData>
            </a:graphic>
          </wp:inline>
        </w:drawing>
      </w:r>
    </w:p>
    <w:p w14:paraId="7DF8E061" w14:textId="4F8A6829" w:rsidR="00B413A3" w:rsidRPr="00AF3542" w:rsidRDefault="00B413A3" w:rsidP="00B413A3">
      <w:pPr>
        <w:pStyle w:val="Caption"/>
        <w:rPr>
          <w:rFonts w:ascii="Calibri" w:eastAsia="Calibri" w:hAnsi="Calibri" w:cs="Times New Roman"/>
          <w:b/>
          <w:sz w:val="28"/>
          <w:szCs w:val="28"/>
        </w:rPr>
      </w:pPr>
      <w:r>
        <w:t>Figure S</w:t>
      </w:r>
      <w:r w:rsidR="00026A27">
        <w:fldChar w:fldCharType="begin"/>
      </w:r>
      <w:r w:rsidR="00026A27">
        <w:instrText xml:space="preserve"> SEQ Figure \* ARABIC </w:instrText>
      </w:r>
      <w:r w:rsidR="00026A27">
        <w:fldChar w:fldCharType="separate"/>
      </w:r>
      <w:r>
        <w:rPr>
          <w:noProof/>
        </w:rPr>
        <w:t>10</w:t>
      </w:r>
      <w:r w:rsidR="00026A27">
        <w:rPr>
          <w:noProof/>
        </w:rPr>
        <w:fldChar w:fldCharType="end"/>
      </w:r>
      <w:r>
        <w:t>:</w:t>
      </w:r>
      <w:r w:rsidRPr="00AF3542">
        <w:t xml:space="preserve"> </w:t>
      </w:r>
      <w:r>
        <w:t xml:space="preserve">Distribution of the distance between connected cases in scenario 1, scenario 3 without prior and scenario 3 with prior information. Arrows correspond to the 95% credibility interval. </w:t>
      </w:r>
    </w:p>
    <w:p w14:paraId="5CF8229F" w14:textId="77777777" w:rsidR="00B2190F" w:rsidRDefault="00B2190F">
      <w:pPr>
        <w:rPr>
          <w:rFonts w:ascii="Calibri" w:eastAsia="Calibri" w:hAnsi="Calibri" w:cs="Times New Roman"/>
          <w:b/>
          <w:sz w:val="28"/>
          <w:szCs w:val="28"/>
        </w:rPr>
      </w:pPr>
      <w:r>
        <w:br w:type="page"/>
      </w:r>
    </w:p>
    <w:p w14:paraId="77A65E56" w14:textId="4C75C44A" w:rsidR="00B413A3" w:rsidRDefault="00B413A3" w:rsidP="00B413A3">
      <w:pPr>
        <w:pStyle w:val="Heading1"/>
      </w:pPr>
      <w:r>
        <w:lastRenderedPageBreak/>
        <w:t>Impact of different components of likelihood</w:t>
      </w:r>
    </w:p>
    <w:p w14:paraId="447E100A" w14:textId="77777777" w:rsidR="00B413A3" w:rsidRDefault="00B413A3" w:rsidP="00B413A3">
      <w:pPr>
        <w:keepNext/>
      </w:pPr>
      <w:r>
        <w:rPr>
          <w:noProof/>
        </w:rPr>
        <w:drawing>
          <wp:inline distT="0" distB="0" distL="0" distR="0" wp14:anchorId="557C768F" wp14:editId="22DD3B72">
            <wp:extent cx="4797520" cy="3600000"/>
            <wp:effectExtent l="0" t="0" r="317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97520" cy="3600000"/>
                    </a:xfrm>
                    <a:prstGeom prst="rect">
                      <a:avLst/>
                    </a:prstGeom>
                    <a:noFill/>
                    <a:ln>
                      <a:noFill/>
                    </a:ln>
                  </pic:spPr>
                </pic:pic>
              </a:graphicData>
            </a:graphic>
          </wp:inline>
        </w:drawing>
      </w:r>
    </w:p>
    <w:p w14:paraId="3A7C6037" w14:textId="52856790" w:rsidR="00B413A3" w:rsidRPr="00B413A3" w:rsidRDefault="00B413A3" w:rsidP="00B413A3">
      <w:pPr>
        <w:pStyle w:val="Caption"/>
      </w:pPr>
      <w:r>
        <w:t>Figure S</w:t>
      </w:r>
      <w:r w:rsidR="00026A27">
        <w:fldChar w:fldCharType="begin"/>
      </w:r>
      <w:r w:rsidR="00026A27">
        <w:instrText xml:space="preserve"> SEQ Figure \* ARABIC </w:instrText>
      </w:r>
      <w:r w:rsidR="00026A27">
        <w:fldChar w:fldCharType="separate"/>
      </w:r>
      <w:r>
        <w:rPr>
          <w:noProof/>
        </w:rPr>
        <w:t>11</w:t>
      </w:r>
      <w:r w:rsidR="00026A27">
        <w:rPr>
          <w:noProof/>
        </w:rPr>
        <w:fldChar w:fldCharType="end"/>
      </w:r>
      <w:r>
        <w:t>:</w:t>
      </w:r>
      <w:r w:rsidR="009B402F">
        <w:t xml:space="preserve"> </w:t>
      </w:r>
      <w:r w:rsidR="009B402F" w:rsidRPr="009B402F">
        <w:t>Description of transmission clusters inferred</w:t>
      </w:r>
      <w:r w:rsidR="009B402F">
        <w:t xml:space="preserve"> excluding certain components of the likelihood. In this example, the import status of import was not inferred, and taken from the ancestor in each cluster (Scenario 1</w:t>
      </w:r>
      <w:r w:rsidR="0097306E">
        <w:t>)</w:t>
      </w:r>
      <w:r w:rsidR="009B402F" w:rsidRPr="009B402F">
        <w:t>. Panel A: Cluster size distribution</w:t>
      </w:r>
      <w:r w:rsidR="006B0A5E">
        <w:t xml:space="preserve"> using 1) only the time component of likelihood; 2) time and genotype; 3) time genotype and age; 4) time, genotype and space; </w:t>
      </w:r>
      <w:r w:rsidR="009B402F" w:rsidRPr="009B402F">
        <w:t xml:space="preserve">compared to the reference clusters (lighgrey). Arrows represent the 95% credibility intervals of each estimate. Only clusters containing at least 2 cases are represented. </w:t>
      </w:r>
      <w:r w:rsidR="001E5191">
        <w:t>Inset</w:t>
      </w:r>
      <w:r w:rsidR="009B402F" w:rsidRPr="009B402F">
        <w:t>: Number of imports and number of isolated cases (singletons). For each scenario, the horizontal dark line represents the number of imports that are also imports in the reference clusters, same for singletons. Panel B: Heatmap representing the precision and sensitivity of the clusters for each case</w:t>
      </w:r>
      <w:r w:rsidR="008066F9">
        <w:t xml:space="preserve"> when only time and genotype are used to infer the transmission clusters</w:t>
      </w:r>
      <w:r w:rsidR="009B402F" w:rsidRPr="009B402F">
        <w:t xml:space="preserve">, </w:t>
      </w:r>
      <w:r w:rsidR="008066F9">
        <w:t xml:space="preserve">the </w:t>
      </w:r>
      <w:r w:rsidR="009B402F" w:rsidRPr="009B402F">
        <w:t xml:space="preserve">cases </w:t>
      </w:r>
      <w:r w:rsidR="00CB3CB7">
        <w:t>we</w:t>
      </w:r>
      <w:r w:rsidR="009B402F" w:rsidRPr="009B402F">
        <w:t>re classified in a category depending on the proportion of their reference cluster that were inferred in the same cluster (x-axis) and the proportion of mismatches in the inferred cluster. Panel C: Same</w:t>
      </w:r>
      <w:r w:rsidR="00B67F28">
        <w:t xml:space="preserve"> for time, genotype and space</w:t>
      </w:r>
      <w:r w:rsidR="009B402F" w:rsidRPr="009B402F">
        <w:t>.</w:t>
      </w:r>
    </w:p>
    <w:p w14:paraId="554EFA6C" w14:textId="2B5E340B" w:rsidR="004C3D22" w:rsidRDefault="004C3D22" w:rsidP="00D41341">
      <w:pPr>
        <w:pStyle w:val="Heading1"/>
      </w:pPr>
      <w:r>
        <w:t>Number of secondary transmissions, overall and per state</w:t>
      </w:r>
    </w:p>
    <w:p w14:paraId="44AAF19E" w14:textId="75ADC724" w:rsidR="00110179" w:rsidRDefault="00312343" w:rsidP="00D41341">
      <w:pPr>
        <w:pStyle w:val="Heading2"/>
      </w:pPr>
      <w:r>
        <w:t>Overall</w:t>
      </w:r>
    </w:p>
    <w:p w14:paraId="26BDA395" w14:textId="77777777" w:rsidR="00174D4F" w:rsidRDefault="00174D4F" w:rsidP="00174D4F">
      <w:pPr>
        <w:contextualSpacing/>
        <w:rPr>
          <w:rFonts w:ascii="Calibri" w:eastAsia="Calibri" w:hAnsi="Calibri" w:cs="Times New Roman"/>
          <w:b/>
          <w:sz w:val="28"/>
          <w:szCs w:val="28"/>
        </w:rPr>
      </w:pPr>
    </w:p>
    <w:p w14:paraId="53B9E92E" w14:textId="4A0E5E13" w:rsidR="005E60FE" w:rsidRDefault="0041593C" w:rsidP="005E60FE">
      <w:pPr>
        <w:keepNext/>
        <w:contextualSpacing/>
      </w:pPr>
      <w:r>
        <w:rPr>
          <w:noProof/>
          <w:lang w:eastAsia="en-GB"/>
        </w:rPr>
        <w:drawing>
          <wp:inline distT="0" distB="0" distL="0" distR="0" wp14:anchorId="50C28E56" wp14:editId="284EC53B">
            <wp:extent cx="4802400" cy="1442424"/>
            <wp:effectExtent l="0" t="0" r="0" b="5715"/>
            <wp:docPr id="16" name="Picture 16" descr="H:\PhD\Study\Measles_clustering_susc\Supp_sec_h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PhD\Study\Measles_clustering_susc\Supp_sec_hist.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02400" cy="1442424"/>
                    </a:xfrm>
                    <a:prstGeom prst="rect">
                      <a:avLst/>
                    </a:prstGeom>
                    <a:noFill/>
                    <a:ln>
                      <a:noFill/>
                    </a:ln>
                  </pic:spPr>
                </pic:pic>
              </a:graphicData>
            </a:graphic>
          </wp:inline>
        </w:drawing>
      </w:r>
    </w:p>
    <w:p w14:paraId="0AE7C8F0" w14:textId="71AADF69" w:rsidR="00174D4F" w:rsidRDefault="005E60FE" w:rsidP="005E60FE">
      <w:pPr>
        <w:pStyle w:val="Caption"/>
        <w:rPr>
          <w:rFonts w:ascii="Calibri" w:eastAsia="Calibri" w:hAnsi="Calibri" w:cs="Times New Roman"/>
          <w:b/>
          <w:sz w:val="28"/>
          <w:szCs w:val="28"/>
        </w:rPr>
      </w:pPr>
      <w:r>
        <w:t xml:space="preserve">Figure </w:t>
      </w:r>
      <w:r w:rsidR="0026049D">
        <w:t>S</w:t>
      </w:r>
      <w:r w:rsidR="00026A27">
        <w:fldChar w:fldCharType="begin"/>
      </w:r>
      <w:r w:rsidR="00026A27">
        <w:instrText xml:space="preserve"> SEQ Figure \* ARABIC </w:instrText>
      </w:r>
      <w:r w:rsidR="00026A27">
        <w:fldChar w:fldCharType="separate"/>
      </w:r>
      <w:r w:rsidR="00B413A3">
        <w:rPr>
          <w:noProof/>
        </w:rPr>
        <w:t>12</w:t>
      </w:r>
      <w:r w:rsidR="00026A27">
        <w:rPr>
          <w:noProof/>
        </w:rPr>
        <w:fldChar w:fldCharType="end"/>
      </w:r>
      <w:r>
        <w:t>:</w:t>
      </w:r>
      <w:r w:rsidR="003000AB">
        <w:t xml:space="preserve"> Distribution of the number of secondary cases caused by each case in scenario 1, scenario 3 without prior and scenario 3 with prior information. Arrows correspond to the 95% credibility interval. Cases were classified in groups of transmitter (no further transmission; 1-2 subsequent cases; 3-4 subsequent cases and more than 5 subsequent cases).</w:t>
      </w:r>
    </w:p>
    <w:p w14:paraId="7B196230" w14:textId="77777777" w:rsidR="00B2190F" w:rsidRDefault="00B2190F">
      <w:pPr>
        <w:rPr>
          <w:rFonts w:ascii="Calibri" w:eastAsia="Calibri" w:hAnsi="Calibri" w:cs="Times New Roman"/>
          <w:b/>
          <w:sz w:val="28"/>
          <w:szCs w:val="28"/>
        </w:rPr>
      </w:pPr>
      <w:r>
        <w:br w:type="page"/>
      </w:r>
    </w:p>
    <w:p w14:paraId="46685991" w14:textId="36552280" w:rsidR="00110179" w:rsidRDefault="00312343" w:rsidP="00D41341">
      <w:pPr>
        <w:pStyle w:val="Heading2"/>
      </w:pPr>
      <w:r>
        <w:lastRenderedPageBreak/>
        <w:t>Maps per state</w:t>
      </w:r>
    </w:p>
    <w:p w14:paraId="00D4F88C" w14:textId="77777777" w:rsidR="00B56C99" w:rsidRPr="00110179" w:rsidRDefault="00B56C99" w:rsidP="00B56C99">
      <w:pPr>
        <w:contextualSpacing/>
        <w:rPr>
          <w:rFonts w:ascii="Calibri" w:eastAsia="Calibri" w:hAnsi="Calibri" w:cs="Times New Roman"/>
          <w:b/>
          <w:sz w:val="28"/>
          <w:szCs w:val="28"/>
        </w:rPr>
      </w:pPr>
    </w:p>
    <w:p w14:paraId="119D2917" w14:textId="6A18D010" w:rsidR="005E60FE" w:rsidRDefault="0025604E" w:rsidP="005E60FE">
      <w:pPr>
        <w:keepNext/>
        <w:contextualSpacing/>
      </w:pPr>
      <w:r>
        <w:rPr>
          <w:noProof/>
          <w:lang w:eastAsia="en-GB"/>
        </w:rPr>
        <w:drawing>
          <wp:inline distT="0" distB="0" distL="0" distR="0" wp14:anchorId="6A7F3AA1" wp14:editId="44B1AA12">
            <wp:extent cx="4802130" cy="3600000"/>
            <wp:effectExtent l="0" t="0" r="0" b="635"/>
            <wp:docPr id="18" name="Picture 18" descr="H:\PhD\Study\Measles_clustering_susc\Supp_map_s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PhD\Study\Measles_clustering_susc\Supp_map_sec.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02130" cy="3600000"/>
                    </a:xfrm>
                    <a:prstGeom prst="rect">
                      <a:avLst/>
                    </a:prstGeom>
                    <a:noFill/>
                    <a:ln>
                      <a:noFill/>
                    </a:ln>
                  </pic:spPr>
                </pic:pic>
              </a:graphicData>
            </a:graphic>
          </wp:inline>
        </w:drawing>
      </w:r>
    </w:p>
    <w:p w14:paraId="3BC5D382" w14:textId="1798A60F" w:rsidR="00B56C99" w:rsidRDefault="005E60FE" w:rsidP="00B413A3">
      <w:pPr>
        <w:pStyle w:val="Caption"/>
        <w:rPr>
          <w:rFonts w:ascii="Calibri" w:eastAsia="Calibri" w:hAnsi="Calibri" w:cs="Times New Roman"/>
          <w:b/>
          <w:sz w:val="28"/>
          <w:szCs w:val="28"/>
        </w:rPr>
      </w:pPr>
      <w:r>
        <w:t xml:space="preserve">Figure </w:t>
      </w:r>
      <w:r w:rsidR="0026049D">
        <w:t>S</w:t>
      </w:r>
      <w:r w:rsidR="00026A27">
        <w:fldChar w:fldCharType="begin"/>
      </w:r>
      <w:r w:rsidR="00026A27">
        <w:instrText xml:space="preserve"> SEQ Figure \* ARABIC </w:instrText>
      </w:r>
      <w:r w:rsidR="00026A27">
        <w:fldChar w:fldCharType="separate"/>
      </w:r>
      <w:r w:rsidR="00B413A3">
        <w:rPr>
          <w:noProof/>
        </w:rPr>
        <w:t>13</w:t>
      </w:r>
      <w:r w:rsidR="00026A27">
        <w:rPr>
          <w:noProof/>
        </w:rPr>
        <w:fldChar w:fldCharType="end"/>
      </w:r>
      <w:r>
        <w:t>:</w:t>
      </w:r>
      <w:r w:rsidR="003000AB" w:rsidRPr="003000AB">
        <w:t xml:space="preserve"> </w:t>
      </w:r>
      <w:r w:rsidR="0001454F">
        <w:t>Average number</w:t>
      </w:r>
      <w:r w:rsidR="003000AB">
        <w:t xml:space="preserve"> of secondary cases caused by each case stratified by state in A) scenario 1, B) scenario 3 without prior and C) scenario 3 with prior information.</w:t>
      </w:r>
    </w:p>
    <w:p w14:paraId="6FB92A66" w14:textId="77777777" w:rsidR="00B2190F" w:rsidRDefault="00B2190F">
      <w:pPr>
        <w:rPr>
          <w:rFonts w:ascii="Calibri" w:eastAsia="Calibri" w:hAnsi="Calibri" w:cs="Times New Roman"/>
          <w:b/>
          <w:sz w:val="28"/>
          <w:szCs w:val="28"/>
        </w:rPr>
      </w:pPr>
      <w:r>
        <w:br w:type="page"/>
      </w:r>
    </w:p>
    <w:p w14:paraId="5ED86674" w14:textId="17D8B58A" w:rsidR="00310D8D" w:rsidRDefault="00310D8D" w:rsidP="00310D8D">
      <w:pPr>
        <w:pStyle w:val="Heading1"/>
      </w:pPr>
      <w:r>
        <w:lastRenderedPageBreak/>
        <w:t>Impact of the proportion of genotype reported</w:t>
      </w:r>
      <w:r w:rsidR="00650923">
        <w:t xml:space="preserve">. Inference on simulated data </w:t>
      </w:r>
    </w:p>
    <w:p w14:paraId="573839EB" w14:textId="77777777" w:rsidR="00310D8D" w:rsidRDefault="00310D8D" w:rsidP="00310D8D">
      <w:pPr>
        <w:keepNext/>
      </w:pPr>
      <w:r>
        <w:rPr>
          <w:noProof/>
        </w:rPr>
        <w:drawing>
          <wp:inline distT="0" distB="0" distL="0" distR="0" wp14:anchorId="261810F0" wp14:editId="5B2ABB64">
            <wp:extent cx="4797520" cy="3600000"/>
            <wp:effectExtent l="0" t="0" r="317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97520" cy="3600000"/>
                    </a:xfrm>
                    <a:prstGeom prst="rect">
                      <a:avLst/>
                    </a:prstGeom>
                    <a:noFill/>
                    <a:ln>
                      <a:noFill/>
                    </a:ln>
                  </pic:spPr>
                </pic:pic>
              </a:graphicData>
            </a:graphic>
          </wp:inline>
        </w:drawing>
      </w:r>
    </w:p>
    <w:p w14:paraId="438D8A4B" w14:textId="5E985A6F" w:rsidR="00310D8D" w:rsidRPr="00310D8D" w:rsidRDefault="00310D8D" w:rsidP="00310D8D">
      <w:pPr>
        <w:pStyle w:val="Caption"/>
      </w:pPr>
      <w:r>
        <w:t>Figure S</w:t>
      </w:r>
      <w:r w:rsidR="00026A27">
        <w:fldChar w:fldCharType="begin"/>
      </w:r>
      <w:r w:rsidR="00026A27">
        <w:instrText xml:space="preserve"> SEQ Figure \* ARA</w:instrText>
      </w:r>
      <w:r w:rsidR="00026A27">
        <w:instrText xml:space="preserve">BIC </w:instrText>
      </w:r>
      <w:r w:rsidR="00026A27">
        <w:fldChar w:fldCharType="separate"/>
      </w:r>
      <w:r>
        <w:rPr>
          <w:noProof/>
        </w:rPr>
        <w:t>14</w:t>
      </w:r>
      <w:r w:rsidR="00026A27">
        <w:rPr>
          <w:noProof/>
        </w:rPr>
        <w:fldChar w:fldCharType="end"/>
      </w:r>
      <w:r>
        <w:t xml:space="preserve">: </w:t>
      </w:r>
      <w:r w:rsidR="00650923" w:rsidRPr="009B402F">
        <w:t>Description of transmission clusters inferred</w:t>
      </w:r>
      <w:r w:rsidR="00650923">
        <w:t xml:space="preserve"> using simulated data (</w:t>
      </w:r>
      <w:r w:rsidR="00650923" w:rsidRPr="00650923">
        <w:t>toy_outbreak</w:t>
      </w:r>
      <w:r w:rsidR="00E713E7">
        <w:t>_long</w:t>
      </w:r>
      <w:r w:rsidR="00650923">
        <w:t xml:space="preserve"> </w:t>
      </w:r>
      <w:r w:rsidR="00650923">
        <w:rPr>
          <w:i w:val="0"/>
          <w:iCs w:val="0"/>
        </w:rPr>
        <w:t xml:space="preserve">in the </w:t>
      </w:r>
      <w:r w:rsidR="00C50003" w:rsidRPr="003F1AD0">
        <w:t>o2geosocial</w:t>
      </w:r>
      <w:r w:rsidR="00650923">
        <w:t xml:space="preserve"> </w:t>
      </w:r>
      <w:r w:rsidR="00650923">
        <w:rPr>
          <w:i w:val="0"/>
          <w:iCs w:val="0"/>
        </w:rPr>
        <w:t>package)</w:t>
      </w:r>
      <w:r w:rsidR="00650923">
        <w:t xml:space="preserve">, depending on the proportion of genotyped cases in the data. </w:t>
      </w:r>
      <w:r w:rsidR="00650923" w:rsidRPr="009B402F">
        <w:t>Panel A: Cluster size distribution</w:t>
      </w:r>
      <w:r w:rsidR="003201BA">
        <w:t xml:space="preserve"> when 1) none of the cases was genotyped, 2) 40% of the cases were genotyped (similar to the US dataset) 3) All the cases were genotyped</w:t>
      </w:r>
      <w:r w:rsidR="00650923">
        <w:t xml:space="preserve">; </w:t>
      </w:r>
      <w:r w:rsidR="00650923" w:rsidRPr="009B402F">
        <w:t xml:space="preserve">compared to the reference clusters (lighgrey). Arrows represent the 95% credibility intervals of each estimate. Only clusters containing at least 2 cases are represented. </w:t>
      </w:r>
      <w:r w:rsidR="00195EAF">
        <w:t>Inset</w:t>
      </w:r>
      <w:r w:rsidR="00650923" w:rsidRPr="009B402F">
        <w:t>: Number of imports and number of isolated cases (singletons). For each scenario, the horizontal dark line represents the number of imports that are also imports in the reference clusters, same for singletons. Panel B: Heatmap representing the precision and sensitivity of the clusters for each case</w:t>
      </w:r>
      <w:r w:rsidR="00650923">
        <w:t xml:space="preserve"> when</w:t>
      </w:r>
      <w:r w:rsidR="002543E9">
        <w:t xml:space="preserve"> no genotype was reported</w:t>
      </w:r>
      <w:r w:rsidR="00650923">
        <w:t xml:space="preserve"> are used to infer the transmission clusters</w:t>
      </w:r>
      <w:r w:rsidR="00650923" w:rsidRPr="009B402F">
        <w:t xml:space="preserve">, </w:t>
      </w:r>
      <w:r w:rsidR="00650923">
        <w:t xml:space="preserve">the </w:t>
      </w:r>
      <w:r w:rsidR="00650923" w:rsidRPr="009B402F">
        <w:t xml:space="preserve">cases </w:t>
      </w:r>
      <w:r w:rsidR="00650923">
        <w:t>we</w:t>
      </w:r>
      <w:r w:rsidR="00650923" w:rsidRPr="009B402F">
        <w:t>re classified in a category depending on the proportion of their reference cluster that were inferred in the same cluster (x-axis) and the proportion of mismatches in the inferred cluster. Panel C: Same</w:t>
      </w:r>
      <w:r w:rsidR="00650923">
        <w:t xml:space="preserve"> </w:t>
      </w:r>
      <w:r w:rsidR="002543E9">
        <w:t>when all cases were genotyped.</w:t>
      </w:r>
    </w:p>
    <w:sectPr w:rsidR="00310D8D" w:rsidRPr="00310D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976365"/>
    <w:multiLevelType w:val="hybridMultilevel"/>
    <w:tmpl w:val="E632A2E2"/>
    <w:lvl w:ilvl="0" w:tplc="1E0ADE3A">
      <w:start w:val="1"/>
      <w:numFmt w:val="decimal"/>
      <w:pStyle w:val="Heading1"/>
      <w:lvlText w:val="%1."/>
      <w:lvlJc w:val="left"/>
      <w:pPr>
        <w:ind w:left="360" w:hanging="360"/>
      </w:pPr>
    </w:lvl>
    <w:lvl w:ilvl="1" w:tplc="50EAB2E4">
      <w:start w:val="1"/>
      <w:numFmt w:val="lowerLetter"/>
      <w:pStyle w:val="Heading2"/>
      <w:lvlText w:val="%2."/>
      <w:lvlJc w:val="left"/>
      <w:pPr>
        <w:ind w:left="1080" w:hanging="360"/>
      </w:pPr>
    </w:lvl>
    <w:lvl w:ilvl="2" w:tplc="3F842FB2">
      <w:start w:val="1"/>
      <w:numFmt w:val="lowerRoman"/>
      <w:pStyle w:val="Heading3"/>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73C"/>
    <w:rsid w:val="0001454F"/>
    <w:rsid w:val="00014CF9"/>
    <w:rsid w:val="00026A27"/>
    <w:rsid w:val="000F3351"/>
    <w:rsid w:val="00110179"/>
    <w:rsid w:val="0013546F"/>
    <w:rsid w:val="00174D4F"/>
    <w:rsid w:val="00195EAF"/>
    <w:rsid w:val="001E5191"/>
    <w:rsid w:val="001F5AEA"/>
    <w:rsid w:val="00216614"/>
    <w:rsid w:val="00250A3D"/>
    <w:rsid w:val="002543E9"/>
    <w:rsid w:val="0025604E"/>
    <w:rsid w:val="00260264"/>
    <w:rsid w:val="0026049D"/>
    <w:rsid w:val="00297985"/>
    <w:rsid w:val="002D43E6"/>
    <w:rsid w:val="002F4EB6"/>
    <w:rsid w:val="003000AB"/>
    <w:rsid w:val="00310D8D"/>
    <w:rsid w:val="00312343"/>
    <w:rsid w:val="003201BA"/>
    <w:rsid w:val="00356D02"/>
    <w:rsid w:val="00357607"/>
    <w:rsid w:val="003674EB"/>
    <w:rsid w:val="003F1AD0"/>
    <w:rsid w:val="00412FBC"/>
    <w:rsid w:val="0041593C"/>
    <w:rsid w:val="004443A5"/>
    <w:rsid w:val="00457662"/>
    <w:rsid w:val="004848BC"/>
    <w:rsid w:val="00485DF8"/>
    <w:rsid w:val="004916A7"/>
    <w:rsid w:val="004C3D22"/>
    <w:rsid w:val="0056344E"/>
    <w:rsid w:val="005774A5"/>
    <w:rsid w:val="00583C53"/>
    <w:rsid w:val="005C1A08"/>
    <w:rsid w:val="005C5FBF"/>
    <w:rsid w:val="005E60FE"/>
    <w:rsid w:val="00610AF7"/>
    <w:rsid w:val="00650923"/>
    <w:rsid w:val="0067475A"/>
    <w:rsid w:val="006770E9"/>
    <w:rsid w:val="00694DA0"/>
    <w:rsid w:val="006B0A5E"/>
    <w:rsid w:val="006F7B4D"/>
    <w:rsid w:val="0075525D"/>
    <w:rsid w:val="00787C72"/>
    <w:rsid w:val="007C43C1"/>
    <w:rsid w:val="007F7572"/>
    <w:rsid w:val="00801C91"/>
    <w:rsid w:val="008066F9"/>
    <w:rsid w:val="00902DCF"/>
    <w:rsid w:val="0097306E"/>
    <w:rsid w:val="009824A7"/>
    <w:rsid w:val="009928D3"/>
    <w:rsid w:val="009B402F"/>
    <w:rsid w:val="009C5940"/>
    <w:rsid w:val="00A07141"/>
    <w:rsid w:val="00A20749"/>
    <w:rsid w:val="00A27541"/>
    <w:rsid w:val="00A42073"/>
    <w:rsid w:val="00A4373C"/>
    <w:rsid w:val="00AA58EC"/>
    <w:rsid w:val="00AB069B"/>
    <w:rsid w:val="00AF3542"/>
    <w:rsid w:val="00B2190F"/>
    <w:rsid w:val="00B35199"/>
    <w:rsid w:val="00B413A3"/>
    <w:rsid w:val="00B4495C"/>
    <w:rsid w:val="00B56C99"/>
    <w:rsid w:val="00B6530C"/>
    <w:rsid w:val="00B67F28"/>
    <w:rsid w:val="00B728D1"/>
    <w:rsid w:val="00B76733"/>
    <w:rsid w:val="00BA1B9F"/>
    <w:rsid w:val="00BD18AE"/>
    <w:rsid w:val="00C06F47"/>
    <w:rsid w:val="00C108FC"/>
    <w:rsid w:val="00C32177"/>
    <w:rsid w:val="00C50003"/>
    <w:rsid w:val="00C64DD2"/>
    <w:rsid w:val="00CB3CB7"/>
    <w:rsid w:val="00CC49AB"/>
    <w:rsid w:val="00D41341"/>
    <w:rsid w:val="00D41EC6"/>
    <w:rsid w:val="00D5087A"/>
    <w:rsid w:val="00D57277"/>
    <w:rsid w:val="00E17635"/>
    <w:rsid w:val="00E42B69"/>
    <w:rsid w:val="00E512A3"/>
    <w:rsid w:val="00E6148C"/>
    <w:rsid w:val="00E713E7"/>
    <w:rsid w:val="00EE3C03"/>
    <w:rsid w:val="00F17B11"/>
    <w:rsid w:val="00F33587"/>
    <w:rsid w:val="00F35038"/>
    <w:rsid w:val="00F4043A"/>
    <w:rsid w:val="00F419CE"/>
    <w:rsid w:val="00F50668"/>
    <w:rsid w:val="00F730D3"/>
    <w:rsid w:val="00FB6B8B"/>
    <w:rsid w:val="00FC0C40"/>
    <w:rsid w:val="00FD3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FB25E"/>
  <w15:chartTrackingRefBased/>
  <w15:docId w15:val="{84AA91A5-AA43-483B-8EF7-0CB11F4F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1341"/>
    <w:pPr>
      <w:numPr>
        <w:numId w:val="1"/>
      </w:numPr>
      <w:contextualSpacing/>
      <w:outlineLvl w:val="0"/>
    </w:pPr>
    <w:rPr>
      <w:rFonts w:ascii="Calibri" w:eastAsia="Calibri" w:hAnsi="Calibri" w:cs="Times New Roman"/>
      <w:b/>
      <w:sz w:val="28"/>
      <w:szCs w:val="28"/>
    </w:rPr>
  </w:style>
  <w:style w:type="paragraph" w:styleId="Heading2">
    <w:name w:val="heading 2"/>
    <w:basedOn w:val="Normal"/>
    <w:next w:val="Normal"/>
    <w:link w:val="Heading2Char"/>
    <w:uiPriority w:val="9"/>
    <w:unhideWhenUsed/>
    <w:qFormat/>
    <w:rsid w:val="00D41341"/>
    <w:pPr>
      <w:numPr>
        <w:ilvl w:val="1"/>
        <w:numId w:val="1"/>
      </w:numPr>
      <w:contextualSpacing/>
      <w:outlineLvl w:val="1"/>
    </w:pPr>
    <w:rPr>
      <w:rFonts w:ascii="Calibri" w:eastAsia="Calibri" w:hAnsi="Calibri" w:cs="Times New Roman"/>
      <w:b/>
      <w:sz w:val="28"/>
      <w:szCs w:val="28"/>
    </w:rPr>
  </w:style>
  <w:style w:type="paragraph" w:styleId="Heading3">
    <w:name w:val="heading 3"/>
    <w:basedOn w:val="Normal"/>
    <w:next w:val="Normal"/>
    <w:link w:val="Heading3Char"/>
    <w:uiPriority w:val="9"/>
    <w:unhideWhenUsed/>
    <w:qFormat/>
    <w:rsid w:val="00D41341"/>
    <w:pPr>
      <w:numPr>
        <w:ilvl w:val="2"/>
        <w:numId w:val="1"/>
      </w:numPr>
      <w:contextualSpacing/>
      <w:outlineLvl w:val="2"/>
    </w:pPr>
    <w:rPr>
      <w:rFonts w:ascii="Calibri" w:eastAsia="Calibri" w:hAnsi="Calibri"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5FBF"/>
    <w:pPr>
      <w:ind w:right="34"/>
      <w:outlineLvl w:val="0"/>
    </w:pPr>
    <w:rPr>
      <w:rFonts w:ascii="Calibri" w:eastAsia="Calibri" w:hAnsi="Calibri" w:cs="Times New Roman"/>
      <w:b/>
      <w:sz w:val="26"/>
      <w:szCs w:val="26"/>
    </w:rPr>
  </w:style>
  <w:style w:type="character" w:customStyle="1" w:styleId="TitleChar">
    <w:name w:val="Title Char"/>
    <w:basedOn w:val="DefaultParagraphFont"/>
    <w:link w:val="Title"/>
    <w:uiPriority w:val="10"/>
    <w:rsid w:val="005C5FBF"/>
    <w:rPr>
      <w:rFonts w:ascii="Calibri" w:eastAsia="Calibri" w:hAnsi="Calibri" w:cs="Times New Roman"/>
      <w:b/>
      <w:sz w:val="26"/>
      <w:szCs w:val="26"/>
    </w:rPr>
  </w:style>
  <w:style w:type="paragraph" w:styleId="ListParagraph">
    <w:name w:val="List Paragraph"/>
    <w:basedOn w:val="Normal"/>
    <w:uiPriority w:val="34"/>
    <w:qFormat/>
    <w:rsid w:val="004C3D22"/>
    <w:pPr>
      <w:ind w:left="720"/>
      <w:contextualSpacing/>
    </w:pPr>
  </w:style>
  <w:style w:type="character" w:styleId="PlaceholderText">
    <w:name w:val="Placeholder Text"/>
    <w:basedOn w:val="DefaultParagraphFont"/>
    <w:uiPriority w:val="99"/>
    <w:semiHidden/>
    <w:rsid w:val="00457662"/>
    <w:rPr>
      <w:color w:val="808080"/>
    </w:rPr>
  </w:style>
  <w:style w:type="paragraph" w:styleId="Caption">
    <w:name w:val="caption"/>
    <w:basedOn w:val="Normal"/>
    <w:next w:val="Normal"/>
    <w:uiPriority w:val="35"/>
    <w:unhideWhenUsed/>
    <w:qFormat/>
    <w:rsid w:val="005C1A08"/>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D41341"/>
    <w:rPr>
      <w:rFonts w:ascii="Calibri" w:eastAsia="Calibri" w:hAnsi="Calibri" w:cs="Times New Roman"/>
      <w:b/>
      <w:sz w:val="28"/>
      <w:szCs w:val="28"/>
    </w:rPr>
  </w:style>
  <w:style w:type="character" w:customStyle="1" w:styleId="Heading2Char">
    <w:name w:val="Heading 2 Char"/>
    <w:basedOn w:val="DefaultParagraphFont"/>
    <w:link w:val="Heading2"/>
    <w:uiPriority w:val="9"/>
    <w:rsid w:val="00D41341"/>
    <w:rPr>
      <w:rFonts w:ascii="Calibri" w:eastAsia="Calibri" w:hAnsi="Calibri" w:cs="Times New Roman"/>
      <w:b/>
      <w:sz w:val="28"/>
      <w:szCs w:val="28"/>
    </w:rPr>
  </w:style>
  <w:style w:type="character" w:customStyle="1" w:styleId="Heading3Char">
    <w:name w:val="Heading 3 Char"/>
    <w:basedOn w:val="DefaultParagraphFont"/>
    <w:link w:val="Heading3"/>
    <w:uiPriority w:val="9"/>
    <w:rsid w:val="00D41341"/>
    <w:rPr>
      <w:rFonts w:ascii="Calibri" w:eastAsia="Calibri" w:hAnsi="Calibri" w:cs="Times New Roman"/>
      <w:b/>
      <w:sz w:val="28"/>
      <w:szCs w:val="28"/>
    </w:rPr>
  </w:style>
  <w:style w:type="paragraph" w:styleId="BalloonText">
    <w:name w:val="Balloon Text"/>
    <w:basedOn w:val="Normal"/>
    <w:link w:val="BalloonTextChar"/>
    <w:uiPriority w:val="99"/>
    <w:semiHidden/>
    <w:unhideWhenUsed/>
    <w:rsid w:val="003674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4EB"/>
    <w:rPr>
      <w:rFonts w:ascii="Segoe UI" w:hAnsi="Segoe UI" w:cs="Segoe UI"/>
      <w:sz w:val="18"/>
      <w:szCs w:val="18"/>
    </w:rPr>
  </w:style>
  <w:style w:type="character" w:styleId="CommentReference">
    <w:name w:val="annotation reference"/>
    <w:basedOn w:val="DefaultParagraphFont"/>
    <w:uiPriority w:val="99"/>
    <w:semiHidden/>
    <w:unhideWhenUsed/>
    <w:rsid w:val="00C06F47"/>
    <w:rPr>
      <w:sz w:val="16"/>
      <w:szCs w:val="16"/>
    </w:rPr>
  </w:style>
  <w:style w:type="paragraph" w:styleId="CommentText">
    <w:name w:val="annotation text"/>
    <w:basedOn w:val="Normal"/>
    <w:link w:val="CommentTextChar"/>
    <w:uiPriority w:val="99"/>
    <w:semiHidden/>
    <w:unhideWhenUsed/>
    <w:rsid w:val="00C06F47"/>
    <w:pPr>
      <w:spacing w:line="240" w:lineRule="auto"/>
    </w:pPr>
    <w:rPr>
      <w:sz w:val="20"/>
      <w:szCs w:val="20"/>
    </w:rPr>
  </w:style>
  <w:style w:type="character" w:customStyle="1" w:styleId="CommentTextChar">
    <w:name w:val="Comment Text Char"/>
    <w:basedOn w:val="DefaultParagraphFont"/>
    <w:link w:val="CommentText"/>
    <w:uiPriority w:val="99"/>
    <w:semiHidden/>
    <w:rsid w:val="00C06F47"/>
    <w:rPr>
      <w:sz w:val="20"/>
      <w:szCs w:val="20"/>
    </w:rPr>
  </w:style>
  <w:style w:type="paragraph" w:styleId="CommentSubject">
    <w:name w:val="annotation subject"/>
    <w:basedOn w:val="CommentText"/>
    <w:next w:val="CommentText"/>
    <w:link w:val="CommentSubjectChar"/>
    <w:uiPriority w:val="99"/>
    <w:semiHidden/>
    <w:unhideWhenUsed/>
    <w:rsid w:val="00C06F47"/>
    <w:rPr>
      <w:b/>
      <w:bCs/>
    </w:rPr>
  </w:style>
  <w:style w:type="character" w:customStyle="1" w:styleId="CommentSubjectChar">
    <w:name w:val="Comment Subject Char"/>
    <w:basedOn w:val="CommentTextChar"/>
    <w:link w:val="CommentSubject"/>
    <w:uiPriority w:val="99"/>
    <w:semiHidden/>
    <w:rsid w:val="00C06F47"/>
    <w:rPr>
      <w:b/>
      <w:bCs/>
      <w:sz w:val="20"/>
      <w:szCs w:val="20"/>
    </w:rPr>
  </w:style>
  <w:style w:type="table" w:styleId="TableGrid">
    <w:name w:val="Table Grid"/>
    <w:basedOn w:val="TableNormal"/>
    <w:uiPriority w:val="39"/>
    <w:rsid w:val="00FC0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594215">
      <w:bodyDiv w:val="1"/>
      <w:marLeft w:val="0"/>
      <w:marRight w:val="0"/>
      <w:marTop w:val="0"/>
      <w:marBottom w:val="0"/>
      <w:divBdr>
        <w:top w:val="none" w:sz="0" w:space="0" w:color="auto"/>
        <w:left w:val="none" w:sz="0" w:space="0" w:color="auto"/>
        <w:bottom w:val="none" w:sz="0" w:space="0" w:color="auto"/>
        <w:right w:val="none" w:sz="0" w:space="0" w:color="auto"/>
      </w:divBdr>
    </w:div>
    <w:div w:id="187291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E7AAD-20BC-4591-9CB7-95D8114DE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Robert</dc:creator>
  <cp:keywords/>
  <dc:description/>
  <cp:lastModifiedBy>Alexis Robert</cp:lastModifiedBy>
  <cp:revision>32</cp:revision>
  <dcterms:created xsi:type="dcterms:W3CDTF">2020-01-17T21:06:00Z</dcterms:created>
  <dcterms:modified xsi:type="dcterms:W3CDTF">2020-06-19T11:54:00Z</dcterms:modified>
</cp:coreProperties>
</file>