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F8" w:rsidRPr="00CE0F0D" w:rsidRDefault="00E959F8" w:rsidP="00E959F8">
      <w:pPr>
        <w:ind w:firstLine="0"/>
        <w:jc w:val="both"/>
      </w:pPr>
      <w:r>
        <w:rPr>
          <w:noProof/>
          <w:lang w:val="en-US"/>
        </w:rPr>
        <mc:AlternateContent>
          <mc:Choice Requires="wps">
            <w:drawing>
              <wp:anchor distT="0" distB="0" distL="114300" distR="114300" simplePos="0" relativeHeight="251659264" behindDoc="0" locked="0" layoutInCell="1" allowOverlap="1" wp14:anchorId="623FB8E4" wp14:editId="41A4F099">
                <wp:simplePos x="0" y="0"/>
                <wp:positionH relativeFrom="column">
                  <wp:posOffset>-133985</wp:posOffset>
                </wp:positionH>
                <wp:positionV relativeFrom="paragraph">
                  <wp:posOffset>-48895</wp:posOffset>
                </wp:positionV>
                <wp:extent cx="6007100" cy="6826250"/>
                <wp:effectExtent l="0" t="0" r="12700" b="1270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100" cy="682625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085A9A" id="Rechteck 1" o:spid="_x0000_s1026" style="position:absolute;margin-left:-10.55pt;margin-top:-3.85pt;width:473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" filled="f" strokecolor="#44546a [3215]" strokeweight="1pt">
                <v:path arrowok="t"/>
              </v:rect>
            </w:pict>
          </mc:Fallback>
        </mc:AlternateContent>
      </w:r>
      <w:r w:rsidRPr="00CE0F0D">
        <w:t>Box 1. It is recommended to report several items, addressing study design, periodontal examination protocol, characteristics of study subjects, periodontal disease definitions, and other periodontal conditions in total and stratified by age group. Please provide detailed information on:</w:t>
      </w:r>
    </w:p>
    <w:p w:rsidR="00E959F8" w:rsidRPr="00CE0F0D" w:rsidRDefault="00E959F8" w:rsidP="00E959F8">
      <w:pPr>
        <w:ind w:firstLine="0"/>
        <w:jc w:val="both"/>
      </w:pPr>
    </w:p>
    <w:p w:rsidR="00E959F8" w:rsidRPr="00CE0F0D" w:rsidRDefault="00E959F8" w:rsidP="00E959F8">
      <w:pPr>
        <w:ind w:firstLine="0"/>
      </w:pPr>
      <w:r w:rsidRPr="00CE0F0D">
        <w:t>Study design:</w:t>
      </w:r>
    </w:p>
    <w:p w:rsidR="00E959F8" w:rsidRPr="00CE0F0D" w:rsidRDefault="00E959F8" w:rsidP="00E959F8">
      <w:pPr>
        <w:pStyle w:val="ListParagraph"/>
        <w:numPr>
          <w:ilvl w:val="0"/>
          <w:numId w:val="1"/>
        </w:numPr>
        <w:jc w:val="both"/>
      </w:pPr>
      <w:r w:rsidRPr="00CE0F0D">
        <w:t>Study and sampling design, study period</w:t>
      </w:r>
      <w:r>
        <w:t xml:space="preserve"> and region</w:t>
      </w:r>
    </w:p>
    <w:p w:rsidR="00E959F8" w:rsidRPr="00CE0F0D" w:rsidRDefault="00E959F8" w:rsidP="00E959F8">
      <w:pPr>
        <w:pStyle w:val="ListParagraph"/>
        <w:numPr>
          <w:ilvl w:val="0"/>
          <w:numId w:val="1"/>
        </w:numPr>
        <w:jc w:val="both"/>
      </w:pPr>
      <w:r w:rsidRPr="00CE0F0D">
        <w:t>Sample size, net sample si</w:t>
      </w:r>
      <w:r>
        <w:t>z</w:t>
      </w:r>
      <w:r w:rsidRPr="00CE0F0D">
        <w:t>e, final sample size, and response rate</w:t>
      </w:r>
    </w:p>
    <w:p w:rsidR="00E959F8" w:rsidRPr="00CE0F0D" w:rsidRDefault="00E959F8" w:rsidP="00E959F8">
      <w:pPr>
        <w:pStyle w:val="ListParagraph"/>
        <w:numPr>
          <w:ilvl w:val="0"/>
          <w:numId w:val="1"/>
        </w:numPr>
        <w:jc w:val="both"/>
      </w:pPr>
      <w:r w:rsidRPr="00CE0F0D">
        <w:t>Nonresponse analyses</w:t>
      </w:r>
    </w:p>
    <w:p w:rsidR="00E959F8" w:rsidRPr="00CE0F0D" w:rsidRDefault="00E959F8" w:rsidP="00E959F8">
      <w:pPr>
        <w:pStyle w:val="ListParagraph"/>
        <w:ind w:left="0"/>
      </w:pPr>
    </w:p>
    <w:p w:rsidR="00E959F8" w:rsidRPr="00CE0F0D" w:rsidRDefault="00E959F8" w:rsidP="00E959F8">
      <w:pPr>
        <w:ind w:firstLine="0"/>
      </w:pPr>
      <w:r w:rsidRPr="00CE0F0D">
        <w:t>Periodontal recording protocol:</w:t>
      </w:r>
    </w:p>
    <w:p w:rsidR="00E959F8" w:rsidRPr="00CE0F0D" w:rsidRDefault="00E959F8" w:rsidP="00E959F8">
      <w:pPr>
        <w:pStyle w:val="ListParagraph"/>
        <w:numPr>
          <w:ilvl w:val="0"/>
          <w:numId w:val="2"/>
        </w:numPr>
        <w:jc w:val="both"/>
      </w:pPr>
      <w:r w:rsidRPr="00CE0F0D">
        <w:t>Which sites at which teeth were examined</w:t>
      </w:r>
    </w:p>
    <w:p w:rsidR="00E959F8" w:rsidRPr="00CE0F0D" w:rsidRDefault="00E959F8" w:rsidP="00E959F8">
      <w:pPr>
        <w:pStyle w:val="ListParagraph"/>
        <w:numPr>
          <w:ilvl w:val="0"/>
          <w:numId w:val="2"/>
        </w:numPr>
        <w:jc w:val="both"/>
      </w:pPr>
      <w:r w:rsidRPr="00CE0F0D">
        <w:t>The periodontal probe: probing pressure, thickness and graduation</w:t>
      </w:r>
    </w:p>
    <w:p w:rsidR="00E959F8" w:rsidRPr="00CE0F0D" w:rsidRDefault="00E959F8" w:rsidP="00E959F8">
      <w:pPr>
        <w:pStyle w:val="ListParagraph"/>
        <w:numPr>
          <w:ilvl w:val="0"/>
          <w:numId w:val="2"/>
        </w:numPr>
        <w:jc w:val="both"/>
      </w:pPr>
      <w:r w:rsidRPr="00CE0F0D">
        <w:t>Rounding scheme</w:t>
      </w:r>
    </w:p>
    <w:p w:rsidR="00E959F8" w:rsidRPr="00CE0F0D" w:rsidRDefault="00E959F8" w:rsidP="00E959F8">
      <w:pPr>
        <w:jc w:val="both"/>
      </w:pPr>
    </w:p>
    <w:p w:rsidR="00E959F8" w:rsidRPr="00CE0F0D" w:rsidRDefault="00E959F8" w:rsidP="00E959F8">
      <w:pPr>
        <w:ind w:firstLine="0"/>
        <w:jc w:val="both"/>
      </w:pPr>
      <w:r w:rsidRPr="00CE0F0D">
        <w:t>Characteristics of study subjects:</w:t>
      </w:r>
    </w:p>
    <w:p w:rsidR="00E959F8" w:rsidRPr="00CE0F0D" w:rsidRDefault="00E959F8" w:rsidP="00E959F8">
      <w:pPr>
        <w:pStyle w:val="ListParagraph"/>
        <w:numPr>
          <w:ilvl w:val="0"/>
          <w:numId w:val="3"/>
        </w:numPr>
        <w:jc w:val="both"/>
      </w:pPr>
      <w:r w:rsidRPr="00CE0F0D">
        <w:t>Age</w:t>
      </w:r>
    </w:p>
    <w:p w:rsidR="00E959F8" w:rsidRPr="00CE0F0D" w:rsidRDefault="00E959F8" w:rsidP="00E959F8">
      <w:pPr>
        <w:pStyle w:val="ListParagraph"/>
        <w:numPr>
          <w:ilvl w:val="0"/>
          <w:numId w:val="3"/>
        </w:numPr>
        <w:jc w:val="both"/>
      </w:pPr>
      <w:r w:rsidRPr="00CE0F0D">
        <w:t>Gender</w:t>
      </w:r>
    </w:p>
    <w:p w:rsidR="00E959F8" w:rsidRPr="00CE0F0D" w:rsidRDefault="00E959F8" w:rsidP="00E959F8">
      <w:pPr>
        <w:pStyle w:val="ListParagraph"/>
        <w:numPr>
          <w:ilvl w:val="0"/>
          <w:numId w:val="3"/>
        </w:numPr>
        <w:jc w:val="both"/>
      </w:pPr>
      <w:r w:rsidRPr="00CE0F0D">
        <w:t>Smoking status</w:t>
      </w:r>
    </w:p>
    <w:p w:rsidR="00E959F8" w:rsidRPr="00CE0F0D" w:rsidRDefault="00E959F8" w:rsidP="00E959F8">
      <w:pPr>
        <w:pStyle w:val="ListParagraph"/>
        <w:numPr>
          <w:ilvl w:val="0"/>
          <w:numId w:val="3"/>
        </w:numPr>
        <w:jc w:val="both"/>
      </w:pPr>
      <w:r w:rsidRPr="00CE0F0D">
        <w:t xml:space="preserve">Education </w:t>
      </w:r>
      <w:r>
        <w:t>level</w:t>
      </w:r>
      <w:r w:rsidRPr="00CE0F0D">
        <w:t>/Socioeconomic status</w:t>
      </w:r>
    </w:p>
    <w:p w:rsidR="00E959F8" w:rsidRPr="00CE0F0D" w:rsidRDefault="00E959F8" w:rsidP="00E959F8">
      <w:pPr>
        <w:pStyle w:val="ListParagraph"/>
        <w:numPr>
          <w:ilvl w:val="0"/>
          <w:numId w:val="3"/>
        </w:numPr>
        <w:jc w:val="both"/>
      </w:pPr>
      <w:r w:rsidRPr="00CE0F0D">
        <w:t>Body Mass Index</w:t>
      </w:r>
    </w:p>
    <w:p w:rsidR="00E959F8" w:rsidRPr="00CE0F0D" w:rsidRDefault="00E959F8" w:rsidP="00E959F8">
      <w:pPr>
        <w:pStyle w:val="ListParagraph"/>
        <w:numPr>
          <w:ilvl w:val="0"/>
          <w:numId w:val="3"/>
        </w:numPr>
        <w:jc w:val="both"/>
      </w:pPr>
      <w:r w:rsidRPr="00CE0F0D">
        <w:t>Diabetes mellitus</w:t>
      </w:r>
    </w:p>
    <w:p w:rsidR="00E959F8" w:rsidRPr="00CE0F0D" w:rsidRDefault="00E959F8" w:rsidP="00E959F8">
      <w:pPr>
        <w:pStyle w:val="ListParagraph"/>
        <w:numPr>
          <w:ilvl w:val="0"/>
          <w:numId w:val="3"/>
        </w:numPr>
        <w:spacing w:after="200" w:line="276" w:lineRule="auto"/>
      </w:pPr>
      <w:r w:rsidRPr="00CE0F0D">
        <w:t>Oral hygiene and oral care utilisation</w:t>
      </w:r>
    </w:p>
    <w:p w:rsidR="00E959F8" w:rsidRPr="00AA2147" w:rsidRDefault="00E959F8" w:rsidP="00E959F8">
      <w:pPr>
        <w:pStyle w:val="ListParagraph"/>
        <w:numPr>
          <w:ilvl w:val="0"/>
          <w:numId w:val="3"/>
        </w:numPr>
        <w:jc w:val="both"/>
      </w:pPr>
      <w:r w:rsidRPr="00CE0F0D">
        <w:t xml:space="preserve">Percentage of edentulous subjects and number of teeth, including and excluding edentulous subject, including and </w:t>
      </w:r>
      <w:r w:rsidRPr="00AA2147">
        <w:t>excluding third molars</w:t>
      </w:r>
    </w:p>
    <w:p w:rsidR="00E959F8" w:rsidRPr="00AA2147" w:rsidRDefault="00E959F8" w:rsidP="00E959F8">
      <w:pPr>
        <w:pStyle w:val="ListParagraph"/>
        <w:numPr>
          <w:ilvl w:val="0"/>
          <w:numId w:val="3"/>
        </w:numPr>
        <w:jc w:val="both"/>
      </w:pPr>
      <w:r w:rsidRPr="00AA2147">
        <w:t xml:space="preserve">Prevalence and number of </w:t>
      </w:r>
      <w:r>
        <w:t xml:space="preserve">dental </w:t>
      </w:r>
      <w:r w:rsidRPr="00AA2147">
        <w:t>implants per subject</w:t>
      </w:r>
    </w:p>
    <w:p w:rsidR="00E959F8" w:rsidRPr="00CE0F0D" w:rsidRDefault="00E959F8" w:rsidP="00E959F8">
      <w:pPr>
        <w:jc w:val="both"/>
      </w:pPr>
    </w:p>
    <w:p w:rsidR="00E959F8" w:rsidRPr="00CE0F0D" w:rsidRDefault="00E959F8" w:rsidP="00E959F8">
      <w:pPr>
        <w:ind w:firstLine="0"/>
        <w:jc w:val="both"/>
      </w:pPr>
      <w:r w:rsidRPr="00CE0F0D">
        <w:t>Periodontal items addressing periodontal prevalence and severity:</w:t>
      </w:r>
    </w:p>
    <w:p w:rsidR="00E959F8" w:rsidRPr="004C39AB" w:rsidRDefault="00E959F8" w:rsidP="00E959F8">
      <w:pPr>
        <w:pStyle w:val="ListParagraph"/>
        <w:numPr>
          <w:ilvl w:val="0"/>
          <w:numId w:val="4"/>
        </w:numPr>
        <w:spacing w:after="200" w:line="276" w:lineRule="auto"/>
      </w:pPr>
      <w:r w:rsidRPr="00CE0F0D">
        <w:t xml:space="preserve">Prevalence of CAL/PD on subject level, equalling the percentage of subjects showing a certain condition </w:t>
      </w:r>
      <w:r w:rsidRPr="004C39AB">
        <w:t>on at least one site</w:t>
      </w:r>
    </w:p>
    <w:p w:rsidR="00E959F8" w:rsidRPr="004C39AB" w:rsidRDefault="00E959F8" w:rsidP="00E959F8">
      <w:pPr>
        <w:pStyle w:val="ListParagraph"/>
        <w:numPr>
          <w:ilvl w:val="0"/>
          <w:numId w:val="4"/>
        </w:numPr>
        <w:spacing w:after="200" w:line="276" w:lineRule="auto"/>
      </w:pPr>
      <w:r w:rsidRPr="004C39AB">
        <w:t>Mean CAL/PD</w:t>
      </w:r>
    </w:p>
    <w:p w:rsidR="00E959F8" w:rsidRPr="004C39AB" w:rsidRDefault="00E959F8" w:rsidP="00E959F8">
      <w:pPr>
        <w:pStyle w:val="ListParagraph"/>
        <w:numPr>
          <w:ilvl w:val="0"/>
          <w:numId w:val="4"/>
        </w:numPr>
        <w:spacing w:after="200" w:line="276" w:lineRule="auto"/>
      </w:pPr>
      <w:r w:rsidRPr="004C39AB">
        <w:t>Extent of CAL/PD on site level, equalling the percentage of sites per mouth showing a certain condition</w:t>
      </w:r>
    </w:p>
    <w:p w:rsidR="00E959F8" w:rsidRPr="004C39AB" w:rsidRDefault="00E959F8" w:rsidP="00E959F8">
      <w:pPr>
        <w:pStyle w:val="ListParagraph"/>
        <w:numPr>
          <w:ilvl w:val="0"/>
          <w:numId w:val="4"/>
        </w:numPr>
        <w:spacing w:after="200" w:line="276" w:lineRule="auto"/>
      </w:pPr>
      <w:r w:rsidRPr="004C39AB">
        <w:t>Extent of CAL/PD on tooth level, equalling the percentage of teeth per mouth showing a certain condition</w:t>
      </w:r>
    </w:p>
    <w:p w:rsidR="00E959F8" w:rsidRPr="004C39AB" w:rsidRDefault="00E959F8" w:rsidP="00E959F8">
      <w:pPr>
        <w:pStyle w:val="ListParagraph"/>
        <w:numPr>
          <w:ilvl w:val="0"/>
          <w:numId w:val="4"/>
        </w:numPr>
        <w:spacing w:after="200" w:line="276" w:lineRule="auto"/>
      </w:pPr>
      <w:r w:rsidRPr="004C39AB">
        <w:t>CDC</w:t>
      </w:r>
      <w:r>
        <w:t>/</w:t>
      </w:r>
      <w:r w:rsidRPr="004C39AB">
        <w:t>AAP case definition</w:t>
      </w:r>
    </w:p>
    <w:p w:rsidR="00E959F8" w:rsidRPr="004C39AB" w:rsidRDefault="00E959F8" w:rsidP="00E959F8">
      <w:pPr>
        <w:ind w:firstLine="0"/>
        <w:jc w:val="both"/>
      </w:pPr>
      <w:r w:rsidRPr="004C39AB">
        <w:t xml:space="preserve">Gingival inflammation, evaluating the percentage of positive sites per </w:t>
      </w:r>
      <w:proofErr w:type="spellStart"/>
      <w:r w:rsidRPr="004C39AB">
        <w:t>mouth</w:t>
      </w:r>
      <w:proofErr w:type="spellEnd"/>
      <w:r w:rsidRPr="004C39AB">
        <w:t xml:space="preserve"> for:</w:t>
      </w:r>
    </w:p>
    <w:p w:rsidR="00E959F8" w:rsidRPr="004C39AB" w:rsidRDefault="00E959F8" w:rsidP="00E959F8">
      <w:pPr>
        <w:pStyle w:val="ListParagraph"/>
        <w:numPr>
          <w:ilvl w:val="0"/>
          <w:numId w:val="5"/>
        </w:numPr>
        <w:jc w:val="both"/>
      </w:pPr>
      <w:r w:rsidRPr="004C39AB">
        <w:t>Bleeding on probing</w:t>
      </w:r>
    </w:p>
    <w:p w:rsidR="00FC70C6" w:rsidRDefault="00FC70C6">
      <w:bookmarkStart w:id="0" w:name="_GoBack"/>
      <w:bookmarkEnd w:id="0"/>
    </w:p>
    <w:sectPr w:rsidR="00FC70C6" w:rsidSect="00341484">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48753"/>
      <w:docPartObj>
        <w:docPartGallery w:val="Page Numbers (Bottom of Page)"/>
        <w:docPartUnique/>
      </w:docPartObj>
    </w:sdtPr>
    <w:sdtEndPr/>
    <w:sdtContent>
      <w:p w:rsidR="0040282C" w:rsidRDefault="00E959F8">
        <w:pPr>
          <w:pStyle w:val="Footer"/>
          <w:jc w:val="right"/>
        </w:pPr>
        <w:r>
          <w:fldChar w:fldCharType="begin"/>
        </w:r>
        <w:r>
          <w:instrText xml:space="preserve">PAGE   \* </w:instrText>
        </w:r>
        <w:r>
          <w:instrText>MERGEFORMAT</w:instrText>
        </w:r>
        <w:r>
          <w:fldChar w:fldCharType="separate"/>
        </w:r>
        <w:r w:rsidRPr="006607FD">
          <w:rPr>
            <w:noProof/>
            <w:lang w:val="de-DE"/>
          </w:rPr>
          <w:t>2</w:t>
        </w:r>
        <w:r>
          <w:rPr>
            <w:noProof/>
            <w:lang w:val="de-DE"/>
          </w:rPr>
          <w:fldChar w:fldCharType="end"/>
        </w:r>
      </w:p>
    </w:sdtContent>
  </w:sdt>
  <w:p w:rsidR="0040282C" w:rsidRDefault="00E959F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C8"/>
    <w:multiLevelType w:val="hybridMultilevel"/>
    <w:tmpl w:val="8796FABC"/>
    <w:lvl w:ilvl="0" w:tplc="0407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1A10D2"/>
    <w:multiLevelType w:val="hybridMultilevel"/>
    <w:tmpl w:val="054EEAD0"/>
    <w:lvl w:ilvl="0" w:tplc="0407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B93951"/>
    <w:multiLevelType w:val="hybridMultilevel"/>
    <w:tmpl w:val="3E76A8FE"/>
    <w:lvl w:ilvl="0" w:tplc="0407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92853"/>
    <w:multiLevelType w:val="hybridMultilevel"/>
    <w:tmpl w:val="5A5CFD28"/>
    <w:lvl w:ilvl="0" w:tplc="0407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10599A"/>
    <w:multiLevelType w:val="hybridMultilevel"/>
    <w:tmpl w:val="55A286A6"/>
    <w:lvl w:ilvl="0" w:tplc="0407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F8"/>
    <w:rsid w:val="00D26908"/>
    <w:rsid w:val="00E959F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2CA67-2B95-4D77-9974-A8CF0810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F8"/>
    <w:pPr>
      <w:spacing w:after="0" w:line="240" w:lineRule="auto"/>
      <w:ind w:firstLine="36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F8"/>
    <w:pPr>
      <w:ind w:left="720"/>
      <w:contextualSpacing/>
    </w:pPr>
  </w:style>
  <w:style w:type="paragraph" w:styleId="Footer">
    <w:name w:val="footer"/>
    <w:basedOn w:val="Normal"/>
    <w:link w:val="FooterChar"/>
    <w:uiPriority w:val="99"/>
    <w:unhideWhenUsed/>
    <w:rsid w:val="00E959F8"/>
    <w:pPr>
      <w:tabs>
        <w:tab w:val="center" w:pos="4536"/>
        <w:tab w:val="right" w:pos="9072"/>
      </w:tabs>
    </w:pPr>
  </w:style>
  <w:style w:type="character" w:customStyle="1" w:styleId="FooterChar">
    <w:name w:val="Footer Char"/>
    <w:basedOn w:val="DefaultParagraphFont"/>
    <w:link w:val="Footer"/>
    <w:uiPriority w:val="99"/>
    <w:rsid w:val="00E959F8"/>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Company>Centers for Disease Control and Prevention</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Kimberly (CDC/DDPHSS/NCHS/OD)</dc:creator>
  <cp:keywords/>
  <dc:description/>
  <cp:lastModifiedBy>Oliver, Kimberly (CDC/DDPHSS/NCHS/OD)</cp:lastModifiedBy>
  <cp:revision>1</cp:revision>
  <dcterms:created xsi:type="dcterms:W3CDTF">2020-08-04T14:31:00Z</dcterms:created>
  <dcterms:modified xsi:type="dcterms:W3CDTF">2020-08-04T14:32:00Z</dcterms:modified>
</cp:coreProperties>
</file>