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EF8B" w14:textId="77777777" w:rsidR="00981FDE" w:rsidRDefault="00981FDE" w:rsidP="00981FDE">
      <w:pPr>
        <w:spacing w:line="240" w:lineRule="auto"/>
        <w:jc w:val="center"/>
        <w:rPr>
          <w:b/>
          <w:bCs/>
        </w:rPr>
      </w:pPr>
      <w:r>
        <w:rPr>
          <w:b/>
          <w:bCs/>
        </w:rPr>
        <w:t>Supplementary Data</w:t>
      </w:r>
    </w:p>
    <w:p w14:paraId="64DE4DC8" w14:textId="77777777" w:rsidR="00981FDE" w:rsidRDefault="00981FDE" w:rsidP="00981FDE">
      <w:pPr>
        <w:spacing w:line="240" w:lineRule="auto"/>
        <w:jc w:val="center"/>
        <w:rPr>
          <w:b/>
          <w:bCs/>
        </w:rPr>
      </w:pPr>
    </w:p>
    <w:p w14:paraId="3F5AEAE4" w14:textId="6927DF2C" w:rsidR="00981FDE" w:rsidRDefault="00981FDE" w:rsidP="00981FDE">
      <w:pPr>
        <w:spacing w:line="240" w:lineRule="auto"/>
        <w:rPr>
          <w:b/>
        </w:rPr>
      </w:pPr>
      <w:r>
        <w:rPr>
          <w:b/>
        </w:rPr>
        <w:t>Supplement</w:t>
      </w:r>
      <w:r w:rsidR="0057551B">
        <w:rPr>
          <w:b/>
        </w:rPr>
        <w:t>ary Table</w:t>
      </w:r>
      <w:r>
        <w:rPr>
          <w:b/>
        </w:rPr>
        <w:t xml:space="preserve"> S1. Inclusion/exclusion criteria</w:t>
      </w:r>
    </w:p>
    <w:p w14:paraId="1DF202A0" w14:textId="77777777" w:rsidR="00981FDE" w:rsidRDefault="00981FDE" w:rsidP="00981FDE">
      <w:pPr>
        <w:spacing w:line="240" w:lineRule="auto"/>
        <w:rPr>
          <w:b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080"/>
        <w:gridCol w:w="2970"/>
      </w:tblGrid>
      <w:tr w:rsidR="00981FDE" w14:paraId="408D1F61" w14:textId="77777777" w:rsidTr="00C2293D">
        <w:trPr>
          <w:trHeight w:val="213"/>
        </w:trPr>
        <w:tc>
          <w:tcPr>
            <w:tcW w:w="175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66C6" w14:textId="77777777" w:rsidR="00981FDE" w:rsidRDefault="00981FDE" w:rsidP="00C2293D">
            <w:pPr>
              <w:spacing w:line="240" w:lineRule="auto"/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40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B20B" w14:textId="77777777" w:rsidR="00981FDE" w:rsidRDefault="00981FDE" w:rsidP="00C2293D">
            <w:pPr>
              <w:spacing w:line="240" w:lineRule="auto"/>
              <w:rPr>
                <w:b/>
              </w:rPr>
            </w:pPr>
            <w:r>
              <w:rPr>
                <w:b/>
              </w:rPr>
              <w:t>Inclusion</w:t>
            </w:r>
          </w:p>
        </w:tc>
        <w:tc>
          <w:tcPr>
            <w:tcW w:w="29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09FD" w14:textId="77777777" w:rsidR="00981FDE" w:rsidRDefault="00981FDE" w:rsidP="00C2293D">
            <w:pPr>
              <w:spacing w:line="240" w:lineRule="auto"/>
              <w:rPr>
                <w:b/>
              </w:rPr>
            </w:pPr>
            <w:r>
              <w:rPr>
                <w:b/>
              </w:rPr>
              <w:t>Exclusion</w:t>
            </w:r>
          </w:p>
        </w:tc>
      </w:tr>
      <w:tr w:rsidR="00981FDE" w14:paraId="325F4495" w14:textId="77777777" w:rsidTr="00C2293D">
        <w:trPr>
          <w:trHeight w:val="3284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985F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Population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169C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Medically underserved patient populations, including but not limited to:</w:t>
            </w:r>
          </w:p>
          <w:p w14:paraId="620B0496" w14:textId="77777777" w:rsidR="00981FDE" w:rsidRPr="00C744F1" w:rsidRDefault="00981FDE" w:rsidP="00C2293D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a.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744F1">
              <w:rPr>
                <w:sz w:val="18"/>
                <w:szCs w:val="18"/>
              </w:rPr>
              <w:t>Rural residents</w:t>
            </w:r>
          </w:p>
          <w:p w14:paraId="5BBBD062" w14:textId="77777777" w:rsidR="00981FDE" w:rsidRPr="00C744F1" w:rsidRDefault="00981FDE" w:rsidP="00C2293D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b.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744F1">
              <w:rPr>
                <w:sz w:val="18"/>
                <w:szCs w:val="18"/>
              </w:rPr>
              <w:t>Racial/ethnic minorities</w:t>
            </w:r>
          </w:p>
          <w:p w14:paraId="4F3621AF" w14:textId="77777777" w:rsidR="00981FDE" w:rsidRPr="00C744F1" w:rsidRDefault="00981FDE" w:rsidP="00C2293D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c.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744F1">
              <w:rPr>
                <w:sz w:val="18"/>
                <w:szCs w:val="18"/>
              </w:rPr>
              <w:t>Low-income populations</w:t>
            </w:r>
          </w:p>
          <w:p w14:paraId="6AB7077F" w14:textId="77777777" w:rsidR="00981FDE" w:rsidRPr="00C744F1" w:rsidRDefault="00981FDE" w:rsidP="00C2293D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d.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744F1">
              <w:rPr>
                <w:sz w:val="18"/>
                <w:szCs w:val="18"/>
              </w:rPr>
              <w:t>Non-primary language speakers</w:t>
            </w:r>
          </w:p>
          <w:p w14:paraId="0AA77393" w14:textId="77777777" w:rsidR="00981FDE" w:rsidRPr="00C744F1" w:rsidRDefault="00981FDE" w:rsidP="00C2293D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e.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744F1">
              <w:rPr>
                <w:sz w:val="18"/>
                <w:szCs w:val="18"/>
              </w:rPr>
              <w:t>Immigrants/foreign born</w:t>
            </w:r>
          </w:p>
          <w:p w14:paraId="5509791C" w14:textId="77777777" w:rsidR="00981FDE" w:rsidRPr="00C744F1" w:rsidRDefault="00981FDE" w:rsidP="00C2293D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f.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744F1">
              <w:rPr>
                <w:sz w:val="18"/>
                <w:szCs w:val="18"/>
              </w:rPr>
              <w:t>Disabled</w:t>
            </w:r>
          </w:p>
          <w:p w14:paraId="6778158A" w14:textId="77777777" w:rsidR="00981FDE" w:rsidRPr="00C744F1" w:rsidRDefault="00981FDE" w:rsidP="00C2293D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g.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744F1">
              <w:rPr>
                <w:sz w:val="18"/>
                <w:szCs w:val="18"/>
              </w:rPr>
              <w:t>LGBTQ populations</w:t>
            </w:r>
          </w:p>
          <w:p w14:paraId="04DF3E55" w14:textId="77777777" w:rsidR="00981FDE" w:rsidRPr="00C744F1" w:rsidRDefault="00981FDE" w:rsidP="00C2293D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h.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744F1">
              <w:rPr>
                <w:sz w:val="18"/>
                <w:szCs w:val="18"/>
              </w:rPr>
              <w:t>Uninsured</w:t>
            </w:r>
          </w:p>
          <w:p w14:paraId="0366E546" w14:textId="77777777" w:rsidR="00981FDE" w:rsidRPr="00C744F1" w:rsidRDefault="00981FDE" w:rsidP="00C2293D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i.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C744F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744F1">
              <w:rPr>
                <w:sz w:val="18"/>
                <w:szCs w:val="18"/>
              </w:rPr>
              <w:t>Veterans</w:t>
            </w:r>
          </w:p>
          <w:p w14:paraId="1D767038" w14:textId="77777777" w:rsidR="00981FDE" w:rsidRDefault="00981FDE" w:rsidP="00C2293D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j.      Low educational attainment</w:t>
            </w:r>
          </w:p>
          <w:p w14:paraId="63BBDA40" w14:textId="77777777" w:rsidR="00981FDE" w:rsidRDefault="00981FDE" w:rsidP="00C2293D">
            <w:p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744F1">
              <w:rPr>
                <w:sz w:val="18"/>
                <w:szCs w:val="18"/>
              </w:rPr>
              <w:t xml:space="preserve">populations (less than high school </w:t>
            </w:r>
          </w:p>
          <w:p w14:paraId="38B0B526" w14:textId="77777777" w:rsidR="00981FDE" w:rsidRPr="00C744F1" w:rsidRDefault="00981FDE" w:rsidP="00C2293D">
            <w:p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744F1">
              <w:rPr>
                <w:sz w:val="18"/>
                <w:szCs w:val="18"/>
              </w:rPr>
              <w:t>education)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3BDB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Studies not specifying a medically underserved population in the inclusion/exclusion criteria</w:t>
            </w:r>
          </w:p>
        </w:tc>
      </w:tr>
      <w:tr w:rsidR="00981FDE" w14:paraId="2DAA2B1F" w14:textId="77777777" w:rsidTr="00C2293D">
        <w:trPr>
          <w:trHeight w:val="773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E412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Comparison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3525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 xml:space="preserve">Cervical cancer screening modalities, provider characteristics, and program attributes and delivery mechanisms 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A588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All other comparisons</w:t>
            </w:r>
          </w:p>
        </w:tc>
      </w:tr>
      <w:tr w:rsidR="00981FDE" w14:paraId="0C08E857" w14:textId="77777777" w:rsidTr="00C2293D">
        <w:trPr>
          <w:trHeight w:val="971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207F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Outcome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98FB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 xml:space="preserve">Patient-level cervical cancer screening preferences related to test modality, provider characteristics, and program attributes and delivery 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9DF0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All other outcomes</w:t>
            </w:r>
          </w:p>
        </w:tc>
      </w:tr>
      <w:tr w:rsidR="00981FDE" w14:paraId="61A7CEE4" w14:textId="77777777" w:rsidTr="00C2293D">
        <w:trPr>
          <w:trHeight w:val="521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1783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Time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E87C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 xml:space="preserve">Articles published through February 2019 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CC76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Articles published after February 2019</w:t>
            </w:r>
          </w:p>
        </w:tc>
      </w:tr>
      <w:tr w:rsidR="00981FDE" w14:paraId="50EE9E5C" w14:textId="77777777" w:rsidTr="00C2293D">
        <w:trPr>
          <w:trHeight w:val="341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DCC3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Setting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202C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United States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113A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Outside of the US</w:t>
            </w:r>
          </w:p>
        </w:tc>
      </w:tr>
      <w:tr w:rsidR="00981FDE" w14:paraId="3498522B" w14:textId="77777777" w:rsidTr="00C2293D">
        <w:trPr>
          <w:trHeight w:val="53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036A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Study Design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EB18" w14:textId="2982F1ED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Quantitative, qualitative, and mixed-methods</w:t>
            </w:r>
            <w:r w:rsidR="0014262C">
              <w:rPr>
                <w:sz w:val="18"/>
                <w:szCs w:val="18"/>
              </w:rPr>
              <w:t xml:space="preserve"> observational and experimental studies</w:t>
            </w:r>
            <w:r w:rsidR="0010491A">
              <w:rPr>
                <w:sz w:val="18"/>
                <w:szCs w:val="18"/>
              </w:rPr>
              <w:t xml:space="preserve"> (including randomized controlled trials)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0603" w14:textId="77777777" w:rsidR="00981FDE" w:rsidRPr="00C744F1" w:rsidRDefault="00981FDE" w:rsidP="00C2293D">
            <w:pPr>
              <w:spacing w:line="240" w:lineRule="auto"/>
              <w:rPr>
                <w:sz w:val="18"/>
                <w:szCs w:val="18"/>
              </w:rPr>
            </w:pPr>
            <w:r w:rsidRPr="00C744F1">
              <w:rPr>
                <w:sz w:val="18"/>
                <w:szCs w:val="18"/>
              </w:rPr>
              <w:t>Literature reviews, systematic reviews</w:t>
            </w:r>
          </w:p>
        </w:tc>
      </w:tr>
    </w:tbl>
    <w:p w14:paraId="5295147C" w14:textId="77777777" w:rsidR="00981FDE" w:rsidRDefault="00981FDE" w:rsidP="00981FDE">
      <w:pPr>
        <w:spacing w:line="240" w:lineRule="auto"/>
      </w:pPr>
      <w:r>
        <w:t xml:space="preserve"> </w:t>
      </w:r>
    </w:p>
    <w:p w14:paraId="3C3FC339" w14:textId="77777777" w:rsidR="00981FDE" w:rsidRDefault="00981FDE" w:rsidP="00981FDE">
      <w:pPr>
        <w:spacing w:line="240" w:lineRule="auto"/>
        <w:rPr>
          <w:b/>
          <w:bCs/>
        </w:rPr>
      </w:pPr>
    </w:p>
    <w:p w14:paraId="753123F1" w14:textId="77777777" w:rsidR="00981FDE" w:rsidRDefault="00981FDE" w:rsidP="00981FDE">
      <w:pPr>
        <w:spacing w:line="240" w:lineRule="auto"/>
        <w:rPr>
          <w:b/>
          <w:bCs/>
        </w:rPr>
      </w:pPr>
    </w:p>
    <w:p w14:paraId="793CC444" w14:textId="77777777" w:rsidR="00981FDE" w:rsidRDefault="00981FDE" w:rsidP="00981FDE">
      <w:pPr>
        <w:spacing w:line="240" w:lineRule="auto"/>
        <w:rPr>
          <w:b/>
          <w:bCs/>
        </w:rPr>
      </w:pPr>
    </w:p>
    <w:p w14:paraId="2B425E50" w14:textId="77777777" w:rsidR="00981FDE" w:rsidRDefault="00981FDE" w:rsidP="00981FDE">
      <w:pPr>
        <w:spacing w:line="240" w:lineRule="auto"/>
        <w:rPr>
          <w:b/>
          <w:bCs/>
        </w:rPr>
      </w:pPr>
    </w:p>
    <w:p w14:paraId="2C28F569" w14:textId="77777777" w:rsidR="00981FDE" w:rsidRDefault="00981FDE" w:rsidP="00981FDE">
      <w:pPr>
        <w:spacing w:line="240" w:lineRule="auto"/>
        <w:rPr>
          <w:b/>
          <w:bCs/>
        </w:rPr>
      </w:pPr>
    </w:p>
    <w:p w14:paraId="3A5B8886" w14:textId="77777777" w:rsidR="00981FDE" w:rsidRDefault="00981FDE" w:rsidP="00981FDE">
      <w:pPr>
        <w:spacing w:line="240" w:lineRule="auto"/>
        <w:rPr>
          <w:b/>
          <w:bCs/>
        </w:rPr>
      </w:pPr>
    </w:p>
    <w:p w14:paraId="64914C2D" w14:textId="77777777" w:rsidR="00981FDE" w:rsidRDefault="00981FDE" w:rsidP="00981FDE">
      <w:pPr>
        <w:spacing w:line="240" w:lineRule="auto"/>
        <w:rPr>
          <w:b/>
          <w:bCs/>
        </w:rPr>
      </w:pPr>
    </w:p>
    <w:p w14:paraId="35244FD6" w14:textId="77777777" w:rsidR="00981FDE" w:rsidRDefault="00981FDE" w:rsidP="00981FDE">
      <w:pPr>
        <w:spacing w:line="240" w:lineRule="auto"/>
        <w:rPr>
          <w:b/>
          <w:bCs/>
        </w:rPr>
      </w:pPr>
    </w:p>
    <w:p w14:paraId="4D179763" w14:textId="77777777" w:rsidR="00981FDE" w:rsidRDefault="00981FDE" w:rsidP="00981FDE">
      <w:pPr>
        <w:spacing w:line="240" w:lineRule="auto"/>
        <w:rPr>
          <w:b/>
          <w:bCs/>
        </w:rPr>
      </w:pPr>
    </w:p>
    <w:p w14:paraId="1D179838" w14:textId="77777777" w:rsidR="00981FDE" w:rsidRDefault="00981FDE" w:rsidP="00981FDE">
      <w:pPr>
        <w:spacing w:line="240" w:lineRule="auto"/>
        <w:rPr>
          <w:b/>
          <w:bCs/>
        </w:rPr>
      </w:pPr>
    </w:p>
    <w:p w14:paraId="2D375B5C" w14:textId="77777777" w:rsidR="00981FDE" w:rsidRDefault="00981FDE" w:rsidP="00981FDE">
      <w:pPr>
        <w:spacing w:line="240" w:lineRule="auto"/>
        <w:rPr>
          <w:b/>
          <w:bCs/>
        </w:rPr>
      </w:pPr>
    </w:p>
    <w:p w14:paraId="3FB8A90C" w14:textId="77777777" w:rsidR="00981FDE" w:rsidRDefault="00981FDE" w:rsidP="00981FDE">
      <w:pPr>
        <w:spacing w:line="240" w:lineRule="auto"/>
        <w:rPr>
          <w:b/>
          <w:bCs/>
        </w:rPr>
      </w:pPr>
    </w:p>
    <w:p w14:paraId="2A39F5EC" w14:textId="77777777" w:rsidR="00981FDE" w:rsidRDefault="00981FDE" w:rsidP="00981FDE">
      <w:pPr>
        <w:spacing w:line="240" w:lineRule="auto"/>
        <w:rPr>
          <w:b/>
          <w:bCs/>
        </w:rPr>
      </w:pPr>
    </w:p>
    <w:p w14:paraId="0C9C19EE" w14:textId="77777777" w:rsidR="00981FDE" w:rsidRDefault="00981FDE" w:rsidP="00981FDE">
      <w:pPr>
        <w:spacing w:line="240" w:lineRule="auto"/>
        <w:rPr>
          <w:b/>
          <w:bCs/>
        </w:rPr>
      </w:pPr>
    </w:p>
    <w:p w14:paraId="5B9B85F8" w14:textId="0C18C7C6" w:rsidR="00981FDE" w:rsidRDefault="00981FDE" w:rsidP="00981FDE">
      <w:pPr>
        <w:spacing w:line="240" w:lineRule="auto"/>
        <w:rPr>
          <w:b/>
          <w:bCs/>
        </w:rPr>
      </w:pPr>
      <w:r>
        <w:rPr>
          <w:b/>
          <w:bCs/>
        </w:rPr>
        <w:t>Supplement</w:t>
      </w:r>
      <w:r w:rsidR="0057551B">
        <w:rPr>
          <w:b/>
          <w:bCs/>
        </w:rPr>
        <w:t>ary Table</w:t>
      </w:r>
      <w:r>
        <w:rPr>
          <w:b/>
          <w:bCs/>
        </w:rPr>
        <w:t xml:space="preserve"> S2. Search Strategy</w:t>
      </w:r>
    </w:p>
    <w:p w14:paraId="786F5202" w14:textId="77777777" w:rsidR="00981FDE" w:rsidRDefault="00981FDE" w:rsidP="00981FDE">
      <w:pPr>
        <w:spacing w:line="240" w:lineRule="auto"/>
        <w:rPr>
          <w:b/>
          <w:bCs/>
        </w:rPr>
      </w:pPr>
    </w:p>
    <w:p w14:paraId="61AA0B8A" w14:textId="77777777" w:rsidR="00981FDE" w:rsidRPr="000247DD" w:rsidRDefault="00981FDE" w:rsidP="00981FDE">
      <w:pPr>
        <w:spacing w:line="240" w:lineRule="auto"/>
        <w:rPr>
          <w:b/>
          <w:u w:val="single"/>
        </w:rPr>
      </w:pPr>
      <w:bookmarkStart w:id="0" w:name="_Hlk3536358"/>
      <w:r w:rsidRPr="000247DD">
        <w:rPr>
          <w:b/>
          <w:u w:val="single"/>
        </w:rPr>
        <w:t>PUBMED</w:t>
      </w:r>
    </w:p>
    <w:p w14:paraId="53898DDD" w14:textId="77777777" w:rsidR="00981FDE" w:rsidRPr="000247DD" w:rsidRDefault="00981FDE" w:rsidP="00981FDE">
      <w:pPr>
        <w:spacing w:line="240" w:lineRule="auto"/>
        <w:rPr>
          <w:i/>
        </w:rPr>
      </w:pPr>
      <w:r w:rsidRPr="000247DD">
        <w:rPr>
          <w:b/>
        </w:rPr>
        <w:t>Search #1:</w:t>
      </w:r>
      <w:r w:rsidRPr="000247DD">
        <w:t xml:space="preserve"> </w:t>
      </w:r>
      <w:r w:rsidRPr="000247DD">
        <w:tab/>
      </w:r>
      <w:r w:rsidRPr="000247DD">
        <w:tab/>
      </w:r>
      <w:r w:rsidRPr="000247DD">
        <w:rPr>
          <w:b/>
        </w:rPr>
        <w:tab/>
      </w:r>
      <w:r w:rsidRPr="000247DD">
        <w:rPr>
          <w:b/>
        </w:rPr>
        <w:tab/>
        <w:t>973 articles</w:t>
      </w:r>
      <w:r w:rsidRPr="000247DD">
        <w:rPr>
          <w:b/>
        </w:rPr>
        <w:tab/>
      </w:r>
      <w:r w:rsidRPr="000247DD">
        <w:rPr>
          <w:b/>
        </w:rPr>
        <w:tab/>
        <w:t>3/12/2019</w:t>
      </w:r>
    </w:p>
    <w:p w14:paraId="5F14443B" w14:textId="77777777" w:rsidR="00981FDE" w:rsidRPr="000247DD" w:rsidRDefault="00981FDE" w:rsidP="00981FDE">
      <w:pPr>
        <w:pStyle w:val="ListParagraph"/>
        <w:spacing w:after="0" w:line="240" w:lineRule="auto"/>
        <w:rPr>
          <w:rFonts w:ascii="Arial" w:hAnsi="Arial" w:cs="Arial"/>
        </w:rPr>
      </w:pPr>
      <w:r w:rsidRPr="000247DD">
        <w:rPr>
          <w:rFonts w:ascii="Arial" w:hAnsi="Arial" w:cs="Arial"/>
        </w:rPr>
        <w:t>(HPV[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Pap[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papillomavirus[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Papanicolaou[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"Cervix Uteri"[Mesh] OR cervical[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cervix[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endocervix[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endocervical[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]) AND (Test*[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screen*[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self-test[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self-tests[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self-testing[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self-tested[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])</w:t>
      </w:r>
      <w:r>
        <w:rPr>
          <w:rFonts w:ascii="Arial" w:hAnsi="Arial" w:cs="Arial"/>
        </w:rPr>
        <w:t xml:space="preserve"> </w:t>
      </w:r>
      <w:r w:rsidRPr="000247DD">
        <w:rPr>
          <w:rFonts w:ascii="Arial" w:hAnsi="Arial" w:cs="Arial"/>
        </w:rPr>
        <w:t>AND (Preference[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perception[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perceptions[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(discrete AND choice*)[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attitude[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attitudes[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]) AND ("Neoplasms"[Mesh] OR neoplasms[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neoplasm[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neoplasia[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 xml:space="preserve">] OR </w:t>
      </w:r>
      <w:proofErr w:type="spellStart"/>
      <w:r w:rsidRPr="000247DD">
        <w:rPr>
          <w:rFonts w:ascii="Arial" w:hAnsi="Arial" w:cs="Arial"/>
        </w:rPr>
        <w:t>neoplasias</w:t>
      </w:r>
      <w:proofErr w:type="spellEnd"/>
      <w:r w:rsidRPr="000247DD">
        <w:rPr>
          <w:rFonts w:ascii="Arial" w:hAnsi="Arial" w:cs="Arial"/>
        </w:rPr>
        <w:t>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neoplastic[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dysplastic[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dysplasia[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 xml:space="preserve">] OR </w:t>
      </w:r>
      <w:proofErr w:type="spellStart"/>
      <w:r w:rsidRPr="000247DD">
        <w:rPr>
          <w:rFonts w:ascii="Arial" w:hAnsi="Arial" w:cs="Arial"/>
        </w:rPr>
        <w:t>dysplasias</w:t>
      </w:r>
      <w:proofErr w:type="spellEnd"/>
      <w:r w:rsidRPr="000247DD">
        <w:rPr>
          <w:rFonts w:ascii="Arial" w:hAnsi="Arial" w:cs="Arial"/>
        </w:rPr>
        <w:t>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cancer[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cancers[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cancerous[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malignant[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malignancy[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 OR malignancies[</w:t>
      </w:r>
      <w:proofErr w:type="spellStart"/>
      <w:r w:rsidRPr="000247DD">
        <w:rPr>
          <w:rFonts w:ascii="Arial" w:hAnsi="Arial" w:cs="Arial"/>
        </w:rPr>
        <w:t>tw</w:t>
      </w:r>
      <w:proofErr w:type="spellEnd"/>
      <w:r w:rsidRPr="000247DD">
        <w:rPr>
          <w:rFonts w:ascii="Arial" w:hAnsi="Arial" w:cs="Arial"/>
        </w:rPr>
        <w:t>]) NOT Vaccine[Title] NOT Vaccination[Title]</w:t>
      </w:r>
    </w:p>
    <w:p w14:paraId="278A6952" w14:textId="77777777" w:rsidR="00981FDE" w:rsidRPr="000247DD" w:rsidRDefault="00981FDE" w:rsidP="00981FDE">
      <w:pPr>
        <w:spacing w:line="240" w:lineRule="auto"/>
      </w:pPr>
      <w:r w:rsidRPr="000247DD">
        <w:t>Filters: Human, English</w:t>
      </w:r>
    </w:p>
    <w:p w14:paraId="03F7391F" w14:textId="77777777" w:rsidR="00981FDE" w:rsidRPr="000247DD" w:rsidRDefault="00981FDE" w:rsidP="00981FDE">
      <w:pPr>
        <w:spacing w:line="240" w:lineRule="auto"/>
      </w:pPr>
    </w:p>
    <w:p w14:paraId="3E5714EE" w14:textId="77777777" w:rsidR="00981FDE" w:rsidRPr="000247DD" w:rsidRDefault="00981FDE" w:rsidP="00981FDE">
      <w:pPr>
        <w:spacing w:line="240" w:lineRule="auto"/>
        <w:rPr>
          <w:b/>
          <w:u w:val="single"/>
        </w:rPr>
      </w:pPr>
      <w:r w:rsidRPr="000247DD">
        <w:rPr>
          <w:b/>
          <w:u w:val="single"/>
        </w:rPr>
        <w:t>Web of Science</w:t>
      </w:r>
    </w:p>
    <w:p w14:paraId="2DCAD0EB" w14:textId="77777777" w:rsidR="00981FDE" w:rsidRPr="000247DD" w:rsidRDefault="00981FDE" w:rsidP="00981FDE">
      <w:pPr>
        <w:spacing w:line="240" w:lineRule="auto"/>
        <w:rPr>
          <w:b/>
        </w:rPr>
      </w:pPr>
      <w:r w:rsidRPr="000247DD">
        <w:rPr>
          <w:b/>
        </w:rPr>
        <w:t xml:space="preserve">Search #1: </w:t>
      </w:r>
      <w:r w:rsidRPr="000247DD">
        <w:rPr>
          <w:b/>
        </w:rPr>
        <w:tab/>
      </w:r>
      <w:r w:rsidRPr="000247DD">
        <w:rPr>
          <w:b/>
        </w:rPr>
        <w:tab/>
      </w:r>
      <w:r w:rsidRPr="000247DD">
        <w:rPr>
          <w:b/>
        </w:rPr>
        <w:tab/>
      </w:r>
      <w:r w:rsidRPr="000247DD">
        <w:rPr>
          <w:b/>
        </w:rPr>
        <w:tab/>
        <w:t>1,245 Articles</w:t>
      </w:r>
      <w:r w:rsidRPr="000247DD">
        <w:rPr>
          <w:b/>
        </w:rPr>
        <w:tab/>
      </w:r>
      <w:r w:rsidRPr="000247DD">
        <w:rPr>
          <w:b/>
        </w:rPr>
        <w:tab/>
        <w:t>3/12/2019</w:t>
      </w:r>
    </w:p>
    <w:p w14:paraId="58BD94C5" w14:textId="77777777" w:rsidR="00981FDE" w:rsidRPr="000247DD" w:rsidRDefault="00981FDE" w:rsidP="00981FDE">
      <w:pPr>
        <w:spacing w:line="240" w:lineRule="auto"/>
        <w:ind w:left="720"/>
      </w:pPr>
      <w:r w:rsidRPr="000247DD">
        <w:t xml:space="preserve">(TS=(HPV OR Pap OR papillomavirus OR Papanicolaou OR cervical OR cervix OR endocervix OR endocervical) AND TS=(Test* OR screen* OR self-test OR self-tests OR self-testing OR self-tested) AND TS=(Preference OR perception OR perceptions OR (discrete AND choice*) OR attitude OR attitudes) AND TS=( Neoplasms OR neoplasm OR neoplasia OR </w:t>
      </w:r>
      <w:proofErr w:type="spellStart"/>
      <w:r w:rsidRPr="000247DD">
        <w:t>neoplasias</w:t>
      </w:r>
      <w:proofErr w:type="spellEnd"/>
      <w:r w:rsidRPr="000247DD">
        <w:t xml:space="preserve"> OR neoplastic OR dysplastic OR dysplasia OR </w:t>
      </w:r>
      <w:proofErr w:type="spellStart"/>
      <w:r w:rsidRPr="000247DD">
        <w:t>dysplasias</w:t>
      </w:r>
      <w:proofErr w:type="spellEnd"/>
      <w:r w:rsidRPr="000247DD">
        <w:t xml:space="preserve"> OR cancer OR cancers OR cancerous OR malignant OR malignancy OR malignancies) NOT TI=(Vaccine) NOT TI=(vaccination)) AND LANGUAGE: (English) AND DOCUMENT TYPES: (Article) Indexes=SCI-EXPANDED, SSCI, A&amp;HCI Timespan=All years</w:t>
      </w:r>
    </w:p>
    <w:p w14:paraId="7C013BC1" w14:textId="77777777" w:rsidR="00981FDE" w:rsidRPr="000247DD" w:rsidRDefault="00981FDE" w:rsidP="00981FDE">
      <w:pPr>
        <w:spacing w:line="240" w:lineRule="auto"/>
      </w:pPr>
      <w:r w:rsidRPr="000247DD">
        <w:t>Refined by: Languages</w:t>
      </w:r>
      <w:proofErr w:type="gramStart"/>
      <w:r w:rsidRPr="000247DD">
        <w:t>=( ENGLISH</w:t>
      </w:r>
      <w:proofErr w:type="gramEnd"/>
      <w:r w:rsidRPr="000247DD">
        <w:t xml:space="preserve"> ), Document Types: (Article)</w:t>
      </w:r>
    </w:p>
    <w:p w14:paraId="565E546C" w14:textId="77777777" w:rsidR="00981FDE" w:rsidRPr="000247DD" w:rsidRDefault="00981FDE" w:rsidP="00981FDE">
      <w:pPr>
        <w:spacing w:line="240" w:lineRule="auto"/>
      </w:pPr>
      <w:r w:rsidRPr="000247DD">
        <w:t xml:space="preserve">Databases=SCI-EXPANDED, SSCI, A&amp;HCI. </w:t>
      </w:r>
    </w:p>
    <w:p w14:paraId="7BD99011" w14:textId="77777777" w:rsidR="00981FDE" w:rsidRPr="000247DD" w:rsidRDefault="00981FDE" w:rsidP="00981FDE">
      <w:pPr>
        <w:spacing w:line="240" w:lineRule="auto"/>
      </w:pPr>
    </w:p>
    <w:p w14:paraId="6478DE66" w14:textId="77777777" w:rsidR="00981FDE" w:rsidRPr="000247DD" w:rsidRDefault="00981FDE" w:rsidP="00981FDE">
      <w:pPr>
        <w:spacing w:line="240" w:lineRule="auto"/>
        <w:rPr>
          <w:b/>
          <w:u w:val="single"/>
        </w:rPr>
      </w:pPr>
      <w:r w:rsidRPr="000247DD">
        <w:rPr>
          <w:b/>
          <w:u w:val="single"/>
        </w:rPr>
        <w:t>EMBASE</w:t>
      </w:r>
    </w:p>
    <w:p w14:paraId="0BF8E392" w14:textId="77777777" w:rsidR="00981FDE" w:rsidRPr="000247DD" w:rsidRDefault="00981FDE" w:rsidP="00981FDE">
      <w:pPr>
        <w:spacing w:line="240" w:lineRule="auto"/>
        <w:rPr>
          <w:b/>
        </w:rPr>
      </w:pPr>
      <w:r w:rsidRPr="000247DD">
        <w:rPr>
          <w:b/>
        </w:rPr>
        <w:t>Search #1:</w:t>
      </w:r>
      <w:r w:rsidRPr="000247DD">
        <w:rPr>
          <w:b/>
        </w:rPr>
        <w:tab/>
      </w:r>
      <w:r w:rsidRPr="000247DD">
        <w:rPr>
          <w:b/>
        </w:rPr>
        <w:tab/>
      </w:r>
      <w:r w:rsidRPr="000247DD">
        <w:rPr>
          <w:b/>
        </w:rPr>
        <w:tab/>
      </w:r>
      <w:r w:rsidRPr="000247DD">
        <w:rPr>
          <w:b/>
        </w:rPr>
        <w:tab/>
        <w:t>957 articles</w:t>
      </w:r>
      <w:r w:rsidRPr="000247DD">
        <w:rPr>
          <w:b/>
        </w:rPr>
        <w:tab/>
      </w:r>
      <w:r w:rsidRPr="000247DD">
        <w:rPr>
          <w:b/>
        </w:rPr>
        <w:tab/>
        <w:t>3/12/2019</w:t>
      </w:r>
    </w:p>
    <w:p w14:paraId="663F1CD2" w14:textId="77777777" w:rsidR="00981FDE" w:rsidRPr="000247DD" w:rsidRDefault="00981FDE" w:rsidP="00981FDE">
      <w:pPr>
        <w:spacing w:line="240" w:lineRule="auto"/>
        <w:ind w:left="720"/>
      </w:pPr>
      <w:bookmarkStart w:id="1" w:name="_Hlk3271265"/>
      <w:r w:rsidRPr="000247DD">
        <w:t xml:space="preserve"> ('</w:t>
      </w:r>
      <w:proofErr w:type="spellStart"/>
      <w:r w:rsidRPr="000247DD">
        <w:t>hpv</w:t>
      </w:r>
      <w:proofErr w:type="spellEnd"/>
      <w:r w:rsidRPr="000247DD">
        <w:t>':</w:t>
      </w:r>
      <w:proofErr w:type="spellStart"/>
      <w:r w:rsidRPr="000247DD">
        <w:t>ti,ab,kw</w:t>
      </w:r>
      <w:proofErr w:type="spellEnd"/>
      <w:r w:rsidRPr="000247DD">
        <w:t xml:space="preserve"> OR 'pap':</w:t>
      </w:r>
      <w:proofErr w:type="spellStart"/>
      <w:r w:rsidRPr="000247DD">
        <w:t>ti,ab,kw</w:t>
      </w:r>
      <w:proofErr w:type="spellEnd"/>
      <w:r w:rsidRPr="000247DD">
        <w:t xml:space="preserve"> OR 'papillomavirus':</w:t>
      </w:r>
      <w:proofErr w:type="spellStart"/>
      <w:r w:rsidRPr="000247DD">
        <w:t>ti,ab,kw</w:t>
      </w:r>
      <w:proofErr w:type="spellEnd"/>
      <w:r w:rsidRPr="000247DD">
        <w:t xml:space="preserve"> OR '</w:t>
      </w:r>
      <w:proofErr w:type="spellStart"/>
      <w:r w:rsidRPr="000247DD">
        <w:t>papanicolaou</w:t>
      </w:r>
      <w:proofErr w:type="spellEnd"/>
      <w:r w:rsidRPr="000247DD">
        <w:t>':</w:t>
      </w:r>
      <w:proofErr w:type="spellStart"/>
      <w:r w:rsidRPr="000247DD">
        <w:t>ti,ab,kw</w:t>
      </w:r>
      <w:proofErr w:type="spellEnd"/>
      <w:r w:rsidRPr="000247DD">
        <w:t xml:space="preserve"> OR 'cervical':</w:t>
      </w:r>
      <w:proofErr w:type="spellStart"/>
      <w:r w:rsidRPr="000247DD">
        <w:t>ti,ab,kw</w:t>
      </w:r>
      <w:proofErr w:type="spellEnd"/>
      <w:r w:rsidRPr="000247DD">
        <w:t xml:space="preserve"> OR 'cervix':</w:t>
      </w:r>
      <w:proofErr w:type="spellStart"/>
      <w:r w:rsidRPr="000247DD">
        <w:t>ti,ab,kw</w:t>
      </w:r>
      <w:proofErr w:type="spellEnd"/>
      <w:r w:rsidRPr="000247DD">
        <w:t xml:space="preserve"> OR 'endocervix':</w:t>
      </w:r>
      <w:proofErr w:type="spellStart"/>
      <w:r w:rsidRPr="000247DD">
        <w:t>ti,ab,kw</w:t>
      </w:r>
      <w:proofErr w:type="spellEnd"/>
      <w:r w:rsidRPr="000247DD">
        <w:t xml:space="preserve"> OR 'endocervical':</w:t>
      </w:r>
      <w:proofErr w:type="spellStart"/>
      <w:r w:rsidRPr="000247DD">
        <w:t>ti,ab,kw</w:t>
      </w:r>
      <w:proofErr w:type="spellEnd"/>
      <w:r w:rsidRPr="000247DD">
        <w:t>) AND ('test*':</w:t>
      </w:r>
      <w:proofErr w:type="spellStart"/>
      <w:r w:rsidRPr="000247DD">
        <w:t>ti,ab,kw</w:t>
      </w:r>
      <w:proofErr w:type="spellEnd"/>
      <w:r w:rsidRPr="000247DD">
        <w:t xml:space="preserve"> OR 'screen*':</w:t>
      </w:r>
      <w:proofErr w:type="spellStart"/>
      <w:r w:rsidRPr="000247DD">
        <w:t>ti,ab,kw</w:t>
      </w:r>
      <w:proofErr w:type="spellEnd"/>
      <w:r w:rsidRPr="000247DD">
        <w:t xml:space="preserve"> OR 'self-test':</w:t>
      </w:r>
      <w:proofErr w:type="spellStart"/>
      <w:r w:rsidRPr="000247DD">
        <w:t>ti,ab,kw</w:t>
      </w:r>
      <w:proofErr w:type="spellEnd"/>
      <w:r w:rsidRPr="000247DD">
        <w:t xml:space="preserve"> OR 'self-tests':</w:t>
      </w:r>
      <w:proofErr w:type="spellStart"/>
      <w:r w:rsidRPr="000247DD">
        <w:t>ti,ab,kw</w:t>
      </w:r>
      <w:proofErr w:type="spellEnd"/>
      <w:r w:rsidRPr="000247DD">
        <w:t xml:space="preserve"> OR 'self-testing':</w:t>
      </w:r>
      <w:proofErr w:type="spellStart"/>
      <w:r w:rsidRPr="000247DD">
        <w:t>ti,ab,kw</w:t>
      </w:r>
      <w:proofErr w:type="spellEnd"/>
      <w:r w:rsidRPr="000247DD">
        <w:t xml:space="preserve"> OR 'self-tested':</w:t>
      </w:r>
      <w:proofErr w:type="spellStart"/>
      <w:r w:rsidRPr="000247DD">
        <w:t>ti,ab,kw</w:t>
      </w:r>
      <w:proofErr w:type="spellEnd"/>
      <w:r w:rsidRPr="000247DD">
        <w:t>) AND ('preference':</w:t>
      </w:r>
      <w:proofErr w:type="spellStart"/>
      <w:r w:rsidRPr="000247DD">
        <w:t>ti,ab,kw</w:t>
      </w:r>
      <w:proofErr w:type="spellEnd"/>
      <w:r w:rsidRPr="000247DD">
        <w:t xml:space="preserve"> OR 'perception':</w:t>
      </w:r>
      <w:proofErr w:type="spellStart"/>
      <w:r w:rsidRPr="000247DD">
        <w:t>ti,ab,kw</w:t>
      </w:r>
      <w:proofErr w:type="spellEnd"/>
      <w:r w:rsidRPr="000247DD">
        <w:t xml:space="preserve"> OR 'perceptions':</w:t>
      </w:r>
      <w:proofErr w:type="spellStart"/>
      <w:r w:rsidRPr="000247DD">
        <w:t>ti,ab,kw</w:t>
      </w:r>
      <w:proofErr w:type="spellEnd"/>
      <w:r w:rsidRPr="000247DD">
        <w:t xml:space="preserve"> OR ((‘discrete’ AND 'choice*'):</w:t>
      </w:r>
      <w:proofErr w:type="spellStart"/>
      <w:r w:rsidRPr="000247DD">
        <w:t>ti,ab,kw</w:t>
      </w:r>
      <w:proofErr w:type="spellEnd"/>
      <w:r w:rsidRPr="000247DD">
        <w:t>) OR 'attitude':</w:t>
      </w:r>
      <w:proofErr w:type="spellStart"/>
      <w:r w:rsidRPr="000247DD">
        <w:t>ti,ab,kw</w:t>
      </w:r>
      <w:proofErr w:type="spellEnd"/>
      <w:r w:rsidRPr="000247DD">
        <w:t xml:space="preserve"> OR 'attitudes':</w:t>
      </w:r>
      <w:proofErr w:type="spellStart"/>
      <w:r w:rsidRPr="000247DD">
        <w:t>ti,ab,kw</w:t>
      </w:r>
      <w:proofErr w:type="spellEnd"/>
      <w:r w:rsidRPr="000247DD">
        <w:t>) AND ('neoplasms':</w:t>
      </w:r>
      <w:proofErr w:type="spellStart"/>
      <w:r w:rsidRPr="000247DD">
        <w:t>ti,ab,kw</w:t>
      </w:r>
      <w:proofErr w:type="spellEnd"/>
      <w:r w:rsidRPr="000247DD">
        <w:t xml:space="preserve"> OR 'neoplasm':</w:t>
      </w:r>
      <w:proofErr w:type="spellStart"/>
      <w:r w:rsidRPr="000247DD">
        <w:t>ti,ab,kw</w:t>
      </w:r>
      <w:proofErr w:type="spellEnd"/>
      <w:r w:rsidRPr="000247DD">
        <w:t xml:space="preserve"> OR 'neoplasia':</w:t>
      </w:r>
      <w:proofErr w:type="spellStart"/>
      <w:r w:rsidRPr="000247DD">
        <w:t>ti,ab,kw</w:t>
      </w:r>
      <w:proofErr w:type="spellEnd"/>
      <w:r w:rsidRPr="000247DD">
        <w:t xml:space="preserve"> OR '</w:t>
      </w:r>
      <w:proofErr w:type="spellStart"/>
      <w:r w:rsidRPr="000247DD">
        <w:t>neoplasias</w:t>
      </w:r>
      <w:proofErr w:type="spellEnd"/>
      <w:r w:rsidRPr="000247DD">
        <w:t>':</w:t>
      </w:r>
      <w:proofErr w:type="spellStart"/>
      <w:r w:rsidRPr="000247DD">
        <w:t>ti,ab,kw</w:t>
      </w:r>
      <w:proofErr w:type="spellEnd"/>
      <w:r w:rsidRPr="000247DD">
        <w:t xml:space="preserve"> OR 'neoplastic':</w:t>
      </w:r>
      <w:proofErr w:type="spellStart"/>
      <w:r w:rsidRPr="000247DD">
        <w:t>ti,ab,kw</w:t>
      </w:r>
      <w:proofErr w:type="spellEnd"/>
      <w:r w:rsidRPr="000247DD">
        <w:t xml:space="preserve"> OR 'dysplastic':</w:t>
      </w:r>
      <w:proofErr w:type="spellStart"/>
      <w:r w:rsidRPr="000247DD">
        <w:t>ti,ab,kw</w:t>
      </w:r>
      <w:proofErr w:type="spellEnd"/>
      <w:r w:rsidRPr="000247DD">
        <w:t xml:space="preserve"> OR 'dysplasia':</w:t>
      </w:r>
      <w:proofErr w:type="spellStart"/>
      <w:r w:rsidRPr="000247DD">
        <w:t>ti,ab,kw</w:t>
      </w:r>
      <w:proofErr w:type="spellEnd"/>
      <w:r w:rsidRPr="000247DD">
        <w:t xml:space="preserve"> OR '</w:t>
      </w:r>
      <w:proofErr w:type="spellStart"/>
      <w:r w:rsidRPr="000247DD">
        <w:t>dysplasias</w:t>
      </w:r>
      <w:proofErr w:type="spellEnd"/>
      <w:r w:rsidRPr="000247DD">
        <w:t>':</w:t>
      </w:r>
      <w:proofErr w:type="spellStart"/>
      <w:r w:rsidRPr="000247DD">
        <w:t>ti,ab,kw</w:t>
      </w:r>
      <w:proofErr w:type="spellEnd"/>
      <w:r w:rsidRPr="000247DD">
        <w:t xml:space="preserve"> OR 'cancer':</w:t>
      </w:r>
      <w:proofErr w:type="spellStart"/>
      <w:r w:rsidRPr="000247DD">
        <w:t>ti,ab,kw</w:t>
      </w:r>
      <w:proofErr w:type="spellEnd"/>
      <w:r w:rsidRPr="000247DD">
        <w:t xml:space="preserve"> OR 'cancers':</w:t>
      </w:r>
      <w:proofErr w:type="spellStart"/>
      <w:r w:rsidRPr="000247DD">
        <w:t>ti,ab,kw</w:t>
      </w:r>
      <w:proofErr w:type="spellEnd"/>
      <w:r w:rsidRPr="000247DD">
        <w:t xml:space="preserve"> OR 'cancerous':</w:t>
      </w:r>
      <w:proofErr w:type="spellStart"/>
      <w:r w:rsidRPr="000247DD">
        <w:t>ti,ab,kw</w:t>
      </w:r>
      <w:proofErr w:type="spellEnd"/>
      <w:r w:rsidRPr="000247DD">
        <w:t xml:space="preserve"> OR 'malignant':</w:t>
      </w:r>
      <w:proofErr w:type="spellStart"/>
      <w:r w:rsidRPr="000247DD">
        <w:t>ti,ab,kw</w:t>
      </w:r>
      <w:proofErr w:type="spellEnd"/>
      <w:r w:rsidRPr="000247DD">
        <w:t xml:space="preserve"> OR 'malignancy':</w:t>
      </w:r>
      <w:proofErr w:type="spellStart"/>
      <w:r w:rsidRPr="000247DD">
        <w:t>ti,ab,kw</w:t>
      </w:r>
      <w:proofErr w:type="spellEnd"/>
      <w:r w:rsidRPr="000247DD">
        <w:t xml:space="preserve"> OR 'malignancies':</w:t>
      </w:r>
      <w:proofErr w:type="spellStart"/>
      <w:r w:rsidRPr="000247DD">
        <w:t>ti,ab,kw</w:t>
      </w:r>
      <w:proofErr w:type="spellEnd"/>
      <w:r w:rsidRPr="000247DD">
        <w:t>) NOT 'vaccine':</w:t>
      </w:r>
      <w:proofErr w:type="spellStart"/>
      <w:r w:rsidRPr="000247DD">
        <w:t>ti</w:t>
      </w:r>
      <w:proofErr w:type="spellEnd"/>
      <w:r w:rsidRPr="000247DD">
        <w:t xml:space="preserve"> NOT 'vaccination':</w:t>
      </w:r>
      <w:proofErr w:type="spellStart"/>
      <w:r w:rsidRPr="000247DD">
        <w:t>ti</w:t>
      </w:r>
      <w:proofErr w:type="spellEnd"/>
      <w:r w:rsidRPr="000247DD">
        <w:t xml:space="preserve"> AND [article]/</w:t>
      </w:r>
      <w:proofErr w:type="spellStart"/>
      <w:r w:rsidRPr="000247DD">
        <w:t>lim</w:t>
      </w:r>
      <w:proofErr w:type="spellEnd"/>
      <w:r w:rsidRPr="000247DD">
        <w:t xml:space="preserve"> AND [</w:t>
      </w:r>
      <w:proofErr w:type="spellStart"/>
      <w:r w:rsidRPr="000247DD">
        <w:t>english</w:t>
      </w:r>
      <w:proofErr w:type="spellEnd"/>
      <w:r w:rsidRPr="000247DD">
        <w:t>]/</w:t>
      </w:r>
      <w:proofErr w:type="spellStart"/>
      <w:r w:rsidRPr="000247DD">
        <w:t>lim</w:t>
      </w:r>
      <w:bookmarkEnd w:id="1"/>
      <w:proofErr w:type="spellEnd"/>
    </w:p>
    <w:p w14:paraId="1E419AC1" w14:textId="77777777" w:rsidR="00981FDE" w:rsidRPr="000247DD" w:rsidRDefault="00981FDE" w:rsidP="00981FDE">
      <w:pPr>
        <w:spacing w:line="240" w:lineRule="auto"/>
      </w:pPr>
      <w:r w:rsidRPr="000247DD">
        <w:t>Map to preferred terminology (with spell check)</w:t>
      </w:r>
    </w:p>
    <w:p w14:paraId="55DA9842" w14:textId="77777777" w:rsidR="00981FDE" w:rsidRPr="000247DD" w:rsidRDefault="00981FDE" w:rsidP="00981FDE">
      <w:pPr>
        <w:spacing w:line="240" w:lineRule="auto"/>
      </w:pPr>
      <w:r w:rsidRPr="000247DD">
        <w:t>Include sub-terms/derivatives (explosion search)</w:t>
      </w:r>
    </w:p>
    <w:p w14:paraId="3E0FF405" w14:textId="77777777" w:rsidR="00981FDE" w:rsidRPr="000247DD" w:rsidRDefault="00981FDE" w:rsidP="00981FDE">
      <w:pPr>
        <w:spacing w:line="240" w:lineRule="auto"/>
      </w:pPr>
      <w:r w:rsidRPr="000247DD">
        <w:t>Limits: Only in English, Publication Types (Articles)</w:t>
      </w:r>
    </w:p>
    <w:p w14:paraId="051127B5" w14:textId="77777777" w:rsidR="00981FDE" w:rsidRPr="000247DD" w:rsidRDefault="00981FDE" w:rsidP="00981FDE">
      <w:pPr>
        <w:spacing w:line="240" w:lineRule="auto"/>
      </w:pPr>
    </w:p>
    <w:p w14:paraId="7E2CED98" w14:textId="77777777" w:rsidR="00981FDE" w:rsidRPr="000247DD" w:rsidRDefault="00981FDE" w:rsidP="00981FDE">
      <w:pPr>
        <w:spacing w:line="240" w:lineRule="auto"/>
        <w:rPr>
          <w:b/>
          <w:u w:val="single"/>
        </w:rPr>
      </w:pPr>
      <w:r w:rsidRPr="000247DD">
        <w:rPr>
          <w:b/>
          <w:u w:val="single"/>
        </w:rPr>
        <w:t>Scopus</w:t>
      </w:r>
    </w:p>
    <w:p w14:paraId="1CA3CBD1" w14:textId="77777777" w:rsidR="00981FDE" w:rsidRPr="000247DD" w:rsidRDefault="00981FDE" w:rsidP="00981FDE">
      <w:pPr>
        <w:spacing w:line="240" w:lineRule="auto"/>
        <w:rPr>
          <w:b/>
        </w:rPr>
      </w:pPr>
      <w:r w:rsidRPr="000247DD">
        <w:rPr>
          <w:b/>
        </w:rPr>
        <w:t>Search #1:                                                            1,520 articles</w:t>
      </w:r>
      <w:r w:rsidRPr="000247DD">
        <w:rPr>
          <w:b/>
        </w:rPr>
        <w:tab/>
      </w:r>
      <w:r w:rsidRPr="000247DD">
        <w:rPr>
          <w:b/>
        </w:rPr>
        <w:tab/>
        <w:t>3/12/2019</w:t>
      </w:r>
    </w:p>
    <w:p w14:paraId="52CEE478" w14:textId="77777777" w:rsidR="00981FDE" w:rsidRPr="000247DD" w:rsidRDefault="00981FDE" w:rsidP="00981FDE">
      <w:pPr>
        <w:spacing w:line="240" w:lineRule="auto"/>
        <w:ind w:left="720"/>
      </w:pPr>
      <w:r w:rsidRPr="000247DD">
        <w:t xml:space="preserve">TITLE-ABS-KEY ( ( </w:t>
      </w:r>
      <w:proofErr w:type="spellStart"/>
      <w:r w:rsidRPr="000247DD">
        <w:t>hpv</w:t>
      </w:r>
      <w:proofErr w:type="spellEnd"/>
      <w:r w:rsidRPr="000247DD">
        <w:t xml:space="preserve">  OR  pap  OR  papillomavirus  OR  </w:t>
      </w:r>
      <w:proofErr w:type="spellStart"/>
      <w:r w:rsidRPr="000247DD">
        <w:t>papanicolaou</w:t>
      </w:r>
      <w:proofErr w:type="spellEnd"/>
      <w:r w:rsidRPr="000247DD">
        <w:t xml:space="preserve">  OR  cervical  OR  cervix  OR  endocervix  OR  endocervical ) )  AND  TITLE-ABS-KEY ( ( test*  OR  screen*  OR  self-test  OR  self-tests  OR  self-testing  OR  self-tested ) )  AND  ( TITLE-ABS-KEY ( preference  OR  perception  OR  perceptions  OR  ( discrete  AND  choice* ) )  OR  TITLE-ABS ( attitude  OR  attitudes ) )  AND  TITLE-ABS-KEY ( ( neoplasms  OR  neoplasm  OR  neoplasia  OR  </w:t>
      </w:r>
      <w:proofErr w:type="spellStart"/>
      <w:r w:rsidRPr="000247DD">
        <w:t>neoplasias</w:t>
      </w:r>
      <w:proofErr w:type="spellEnd"/>
      <w:r w:rsidRPr="000247DD">
        <w:t xml:space="preserve">  OR  neoplastic  OR  dysplastic  OR  dysplasia  OR  </w:t>
      </w:r>
      <w:proofErr w:type="spellStart"/>
      <w:r w:rsidRPr="000247DD">
        <w:t>dysplasias</w:t>
      </w:r>
      <w:proofErr w:type="spellEnd"/>
      <w:r w:rsidRPr="000247DD">
        <w:t xml:space="preserve">  OR  cancer  OR  cancers  OR  cancerous  OR  malignant  OR  malignancy  OR  malignancies ) )  AND NOT  TITLE ( ( vaccine ) )  AND NOT  TITLE ( ( vaccination ) )  AND  DOCTYPE ( </w:t>
      </w:r>
      <w:proofErr w:type="spellStart"/>
      <w:r w:rsidRPr="000247DD">
        <w:t>ar</w:t>
      </w:r>
      <w:proofErr w:type="spellEnd"/>
      <w:r w:rsidRPr="000247DD">
        <w:t xml:space="preserve"> ) </w:t>
      </w:r>
    </w:p>
    <w:p w14:paraId="661FBDBD" w14:textId="77777777" w:rsidR="00981FDE" w:rsidRPr="000247DD" w:rsidRDefault="00981FDE" w:rsidP="00981FDE">
      <w:pPr>
        <w:spacing w:line="240" w:lineRule="auto"/>
      </w:pPr>
      <w:r w:rsidRPr="000247DD">
        <w:t>Limits: Document Type (Article), Language (English)</w:t>
      </w:r>
    </w:p>
    <w:p w14:paraId="6ABED5F2" w14:textId="77777777" w:rsidR="00981FDE" w:rsidRPr="000247DD" w:rsidRDefault="00981FDE" w:rsidP="00981FDE">
      <w:pPr>
        <w:spacing w:line="240" w:lineRule="auto"/>
      </w:pPr>
    </w:p>
    <w:p w14:paraId="3622A066" w14:textId="77777777" w:rsidR="00981FDE" w:rsidRPr="000247DD" w:rsidRDefault="00981FDE" w:rsidP="00981FDE">
      <w:pPr>
        <w:spacing w:line="240" w:lineRule="auto"/>
        <w:rPr>
          <w:b/>
          <w:u w:val="single"/>
        </w:rPr>
      </w:pPr>
      <w:r w:rsidRPr="000247DD">
        <w:rPr>
          <w:b/>
          <w:u w:val="single"/>
        </w:rPr>
        <w:t>CINAHL</w:t>
      </w:r>
    </w:p>
    <w:p w14:paraId="697029B7" w14:textId="77777777" w:rsidR="00981FDE" w:rsidRPr="000247DD" w:rsidRDefault="00981FDE" w:rsidP="00981FDE">
      <w:pPr>
        <w:spacing w:line="240" w:lineRule="auto"/>
        <w:rPr>
          <w:b/>
        </w:rPr>
      </w:pPr>
      <w:r w:rsidRPr="000247DD">
        <w:rPr>
          <w:b/>
        </w:rPr>
        <w:t xml:space="preserve">Search #1: </w:t>
      </w:r>
      <w:r w:rsidRPr="000247DD">
        <w:rPr>
          <w:b/>
        </w:rPr>
        <w:tab/>
      </w:r>
      <w:r w:rsidRPr="000247DD">
        <w:rPr>
          <w:b/>
        </w:rPr>
        <w:tab/>
      </w:r>
      <w:r w:rsidRPr="000247DD">
        <w:rPr>
          <w:b/>
        </w:rPr>
        <w:tab/>
      </w:r>
      <w:r w:rsidRPr="000247DD">
        <w:rPr>
          <w:b/>
        </w:rPr>
        <w:tab/>
        <w:t>967 Articles</w:t>
      </w:r>
      <w:r w:rsidRPr="000247DD">
        <w:rPr>
          <w:b/>
        </w:rPr>
        <w:tab/>
      </w:r>
      <w:r w:rsidRPr="000247DD">
        <w:rPr>
          <w:b/>
        </w:rPr>
        <w:tab/>
        <w:t>3/12/2019</w:t>
      </w:r>
    </w:p>
    <w:p w14:paraId="0EFD4852" w14:textId="77777777" w:rsidR="00981FDE" w:rsidRPr="000247DD" w:rsidRDefault="00981FDE" w:rsidP="00981FDE">
      <w:pPr>
        <w:spacing w:line="240" w:lineRule="auto"/>
        <w:ind w:left="720"/>
      </w:pPr>
      <w:r w:rsidRPr="000247DD">
        <w:t xml:space="preserve">(HPV OR Pap OR papillomavirus OR Papanicolaou OR cervical OR cervix OR endocervix OR endocervical)  AND (Test* OR screen* OR self-test OR self-tests OR self-testing OR self-tested) AND (Preference OR perception OR perceptions OR (discrete AND choice*) OR attitude OR attitudes)  AND  (Neoplasms OR neoplasm OR neoplasia OR </w:t>
      </w:r>
      <w:proofErr w:type="spellStart"/>
      <w:r w:rsidRPr="000247DD">
        <w:t>neoplasias</w:t>
      </w:r>
      <w:proofErr w:type="spellEnd"/>
      <w:r w:rsidRPr="000247DD">
        <w:t xml:space="preserve"> OR neoplastic OR dysplastic OR dysplasia OR </w:t>
      </w:r>
      <w:proofErr w:type="spellStart"/>
      <w:r w:rsidRPr="000247DD">
        <w:t>dysplasias</w:t>
      </w:r>
      <w:proofErr w:type="spellEnd"/>
      <w:r w:rsidRPr="000247DD">
        <w:t xml:space="preserve"> OR cancer OR cancers OR cancerous OR malignant OR malignancy OR malignancies) NOT TI (vaccine) NOT TI (vaccination)</w:t>
      </w:r>
    </w:p>
    <w:p w14:paraId="25CC286A" w14:textId="77777777" w:rsidR="00981FDE" w:rsidRPr="000247DD" w:rsidRDefault="00981FDE" w:rsidP="00981FDE">
      <w:pPr>
        <w:spacing w:line="240" w:lineRule="auto"/>
      </w:pPr>
      <w:r w:rsidRPr="000247DD">
        <w:t>Apply related words</w:t>
      </w:r>
    </w:p>
    <w:p w14:paraId="24372DF2" w14:textId="77777777" w:rsidR="00981FDE" w:rsidRPr="000247DD" w:rsidRDefault="00981FDE" w:rsidP="00981FDE">
      <w:pPr>
        <w:spacing w:line="240" w:lineRule="auto"/>
      </w:pPr>
      <w:r w:rsidRPr="000247DD">
        <w:t>Limits: English Language, Peer Reviewed, Human</w:t>
      </w:r>
    </w:p>
    <w:p w14:paraId="73EA62AB" w14:textId="77777777" w:rsidR="00981FDE" w:rsidRPr="000247DD" w:rsidRDefault="00981FDE" w:rsidP="00981FDE">
      <w:pPr>
        <w:spacing w:line="240" w:lineRule="auto"/>
      </w:pPr>
    </w:p>
    <w:p w14:paraId="01D83E73" w14:textId="77777777" w:rsidR="00981FDE" w:rsidRPr="000247DD" w:rsidRDefault="00981FDE" w:rsidP="00981FDE">
      <w:pPr>
        <w:spacing w:line="240" w:lineRule="auto"/>
        <w:rPr>
          <w:b/>
          <w:u w:val="single"/>
        </w:rPr>
      </w:pPr>
      <w:proofErr w:type="spellStart"/>
      <w:r w:rsidRPr="000247DD">
        <w:rPr>
          <w:b/>
          <w:u w:val="single"/>
        </w:rPr>
        <w:t>PsycInfo</w:t>
      </w:r>
      <w:proofErr w:type="spellEnd"/>
    </w:p>
    <w:p w14:paraId="5FE06CDC" w14:textId="77777777" w:rsidR="00981FDE" w:rsidRPr="000247DD" w:rsidRDefault="00981FDE" w:rsidP="00981FDE">
      <w:pPr>
        <w:spacing w:line="240" w:lineRule="auto"/>
        <w:rPr>
          <w:b/>
        </w:rPr>
      </w:pPr>
      <w:r w:rsidRPr="000247DD">
        <w:rPr>
          <w:b/>
        </w:rPr>
        <w:t xml:space="preserve">Search #1: </w:t>
      </w:r>
      <w:r w:rsidRPr="000247DD">
        <w:rPr>
          <w:b/>
        </w:rPr>
        <w:tab/>
      </w:r>
      <w:r w:rsidRPr="000247DD">
        <w:rPr>
          <w:b/>
        </w:rPr>
        <w:tab/>
      </w:r>
      <w:r w:rsidRPr="000247DD">
        <w:rPr>
          <w:b/>
        </w:rPr>
        <w:tab/>
      </w:r>
      <w:r w:rsidRPr="000247DD">
        <w:rPr>
          <w:b/>
        </w:rPr>
        <w:tab/>
        <w:t>780 Articles</w:t>
      </w:r>
      <w:r w:rsidRPr="000247DD">
        <w:rPr>
          <w:b/>
        </w:rPr>
        <w:tab/>
      </w:r>
      <w:r w:rsidRPr="000247DD">
        <w:rPr>
          <w:b/>
        </w:rPr>
        <w:tab/>
        <w:t>3/12/2019</w:t>
      </w:r>
    </w:p>
    <w:p w14:paraId="3FBD1EC6" w14:textId="77777777" w:rsidR="00981FDE" w:rsidRPr="000247DD" w:rsidRDefault="00981FDE" w:rsidP="00981FDE">
      <w:pPr>
        <w:spacing w:line="240" w:lineRule="auto"/>
        <w:ind w:left="720"/>
      </w:pPr>
      <w:r w:rsidRPr="000247DD">
        <w:t xml:space="preserve">(HPV OR Pap OR papillomavirus OR Papanicolaou OR cervical OR cervix OR endocervix OR endocervical)  AND (Test* OR screen* OR self-test OR self-tests OR self-testing OR self-tested) AND (Preference OR perception OR perceptions OR (discrete AND choice*) OR attitude OR attitudes)  AND  (Neoplasms OR neoplasm OR neoplasia OR </w:t>
      </w:r>
      <w:proofErr w:type="spellStart"/>
      <w:r w:rsidRPr="000247DD">
        <w:t>neoplasias</w:t>
      </w:r>
      <w:proofErr w:type="spellEnd"/>
      <w:r w:rsidRPr="000247DD">
        <w:t xml:space="preserve"> OR neoplastic OR dysplastic OR dysplasia OR </w:t>
      </w:r>
      <w:proofErr w:type="spellStart"/>
      <w:r w:rsidRPr="000247DD">
        <w:t>dysplasias</w:t>
      </w:r>
      <w:proofErr w:type="spellEnd"/>
      <w:r w:rsidRPr="000247DD">
        <w:t xml:space="preserve"> OR cancer OR cancers OR cancerous OR malignant OR malignancy OR malignancies) NOT TI (vaccine) NOT TI (vaccination)</w:t>
      </w:r>
    </w:p>
    <w:p w14:paraId="55525D28" w14:textId="77777777" w:rsidR="00981FDE" w:rsidRPr="000247DD" w:rsidRDefault="00981FDE" w:rsidP="00981FDE">
      <w:pPr>
        <w:spacing w:line="240" w:lineRule="auto"/>
      </w:pPr>
      <w:r w:rsidRPr="000247DD">
        <w:t>Apply related words</w:t>
      </w:r>
    </w:p>
    <w:p w14:paraId="53CCAF75" w14:textId="77777777" w:rsidR="00981FDE" w:rsidRPr="000247DD" w:rsidRDefault="00981FDE" w:rsidP="00981FDE">
      <w:pPr>
        <w:spacing w:line="240" w:lineRule="auto"/>
      </w:pPr>
      <w:r w:rsidRPr="000247DD">
        <w:t>Limits: English Language, Peer Reviewed</w:t>
      </w:r>
    </w:p>
    <w:bookmarkEnd w:id="0"/>
    <w:p w14:paraId="6E73F2DE" w14:textId="77777777" w:rsidR="00981FDE" w:rsidRPr="000247DD" w:rsidRDefault="00981FDE" w:rsidP="00981FDE">
      <w:pPr>
        <w:spacing w:after="120" w:line="240" w:lineRule="auto"/>
      </w:pPr>
    </w:p>
    <w:p w14:paraId="713926E8" w14:textId="77777777" w:rsidR="00981FDE" w:rsidRDefault="00981FDE" w:rsidP="00981FDE">
      <w:pPr>
        <w:spacing w:line="240" w:lineRule="auto"/>
        <w:rPr>
          <w:b/>
          <w:bCs/>
        </w:rPr>
      </w:pPr>
    </w:p>
    <w:p w14:paraId="389680A7" w14:textId="77777777" w:rsidR="00981FDE" w:rsidRDefault="00981FDE" w:rsidP="00981FDE">
      <w:pPr>
        <w:spacing w:line="240" w:lineRule="auto"/>
        <w:rPr>
          <w:b/>
          <w:bCs/>
        </w:rPr>
      </w:pPr>
    </w:p>
    <w:p w14:paraId="00D24F94" w14:textId="77777777" w:rsidR="00981FDE" w:rsidRDefault="00981FDE" w:rsidP="00981FDE">
      <w:pPr>
        <w:spacing w:line="240" w:lineRule="auto"/>
        <w:rPr>
          <w:b/>
          <w:bCs/>
        </w:rPr>
      </w:pPr>
    </w:p>
    <w:p w14:paraId="1F438A21" w14:textId="77777777" w:rsidR="00981FDE" w:rsidRDefault="00981FDE" w:rsidP="00981FDE">
      <w:pPr>
        <w:spacing w:line="240" w:lineRule="auto"/>
        <w:rPr>
          <w:b/>
          <w:bCs/>
        </w:rPr>
      </w:pPr>
    </w:p>
    <w:p w14:paraId="7D16D1A7" w14:textId="77777777" w:rsidR="00981FDE" w:rsidRDefault="00981FDE" w:rsidP="00981FDE">
      <w:pPr>
        <w:spacing w:line="240" w:lineRule="auto"/>
        <w:rPr>
          <w:b/>
          <w:bCs/>
        </w:rPr>
      </w:pPr>
    </w:p>
    <w:p w14:paraId="6F75EBD0" w14:textId="77777777" w:rsidR="00981FDE" w:rsidRDefault="00981FDE" w:rsidP="00981FDE">
      <w:pPr>
        <w:spacing w:line="240" w:lineRule="auto"/>
        <w:rPr>
          <w:b/>
          <w:bCs/>
        </w:rPr>
      </w:pPr>
    </w:p>
    <w:p w14:paraId="19E481A0" w14:textId="77777777" w:rsidR="00981FDE" w:rsidRDefault="00981FDE" w:rsidP="00981FDE">
      <w:pPr>
        <w:spacing w:line="240" w:lineRule="auto"/>
        <w:rPr>
          <w:b/>
          <w:bCs/>
        </w:rPr>
      </w:pPr>
    </w:p>
    <w:p w14:paraId="6E4DA2BA" w14:textId="77777777" w:rsidR="00981FDE" w:rsidRDefault="00981FDE" w:rsidP="00981FDE">
      <w:pPr>
        <w:spacing w:line="240" w:lineRule="auto"/>
        <w:rPr>
          <w:b/>
          <w:bCs/>
        </w:rPr>
      </w:pPr>
    </w:p>
    <w:p w14:paraId="33689DFA" w14:textId="77777777" w:rsidR="00981FDE" w:rsidRDefault="00981FDE" w:rsidP="00981FDE">
      <w:pPr>
        <w:spacing w:line="240" w:lineRule="auto"/>
        <w:rPr>
          <w:b/>
          <w:bCs/>
        </w:rPr>
      </w:pPr>
    </w:p>
    <w:p w14:paraId="4F814295" w14:textId="77777777" w:rsidR="00981FDE" w:rsidRDefault="00981FDE" w:rsidP="00981FDE">
      <w:pPr>
        <w:spacing w:line="240" w:lineRule="auto"/>
        <w:rPr>
          <w:b/>
          <w:bCs/>
        </w:rPr>
      </w:pPr>
    </w:p>
    <w:p w14:paraId="2CE421E6" w14:textId="77777777" w:rsidR="00981FDE" w:rsidRDefault="00981FDE" w:rsidP="00981FDE">
      <w:pPr>
        <w:spacing w:line="240" w:lineRule="auto"/>
        <w:rPr>
          <w:b/>
          <w:bCs/>
        </w:rPr>
      </w:pPr>
    </w:p>
    <w:p w14:paraId="46F5513E" w14:textId="77777777" w:rsidR="00981FDE" w:rsidRDefault="00981FDE" w:rsidP="00981FDE">
      <w:pPr>
        <w:spacing w:line="240" w:lineRule="auto"/>
        <w:rPr>
          <w:b/>
          <w:bCs/>
        </w:rPr>
      </w:pPr>
    </w:p>
    <w:p w14:paraId="4C3A8573" w14:textId="77777777" w:rsidR="00981FDE" w:rsidRDefault="00981FDE" w:rsidP="00981FDE">
      <w:pPr>
        <w:spacing w:line="240" w:lineRule="auto"/>
        <w:rPr>
          <w:b/>
          <w:bCs/>
        </w:rPr>
      </w:pPr>
    </w:p>
    <w:p w14:paraId="7C1E6304" w14:textId="77777777" w:rsidR="00981FDE" w:rsidRDefault="00981FDE" w:rsidP="00981FDE">
      <w:pPr>
        <w:spacing w:line="240" w:lineRule="auto"/>
        <w:rPr>
          <w:b/>
          <w:bCs/>
        </w:rPr>
      </w:pPr>
    </w:p>
    <w:p w14:paraId="34C99347" w14:textId="77777777" w:rsidR="00981FDE" w:rsidRDefault="00981FDE" w:rsidP="00981FDE">
      <w:pPr>
        <w:spacing w:line="240" w:lineRule="auto"/>
        <w:rPr>
          <w:b/>
          <w:bCs/>
        </w:rPr>
      </w:pPr>
    </w:p>
    <w:p w14:paraId="3423EA54" w14:textId="77777777" w:rsidR="00981FDE" w:rsidRDefault="00981FDE" w:rsidP="00981FDE">
      <w:pPr>
        <w:spacing w:line="240" w:lineRule="auto"/>
        <w:rPr>
          <w:b/>
          <w:bCs/>
        </w:rPr>
      </w:pPr>
    </w:p>
    <w:p w14:paraId="60E162B1" w14:textId="77777777" w:rsidR="00981FDE" w:rsidRDefault="00981FDE" w:rsidP="00981FDE">
      <w:pPr>
        <w:spacing w:line="240" w:lineRule="auto"/>
        <w:rPr>
          <w:b/>
          <w:bCs/>
        </w:rPr>
      </w:pPr>
    </w:p>
    <w:p w14:paraId="419419C3" w14:textId="5AD6E8C7" w:rsidR="00981FDE" w:rsidRPr="00A35C8F" w:rsidRDefault="00981FDE" w:rsidP="00981FDE">
      <w:pPr>
        <w:rPr>
          <w:b/>
          <w:bCs/>
          <w:sz w:val="20"/>
          <w:szCs w:val="20"/>
        </w:rPr>
      </w:pPr>
      <w:r w:rsidRPr="00A35C8F">
        <w:rPr>
          <w:b/>
          <w:bCs/>
        </w:rPr>
        <w:t>Supplemen</w:t>
      </w:r>
      <w:r>
        <w:rPr>
          <w:b/>
          <w:bCs/>
        </w:rPr>
        <w:t>t</w:t>
      </w:r>
      <w:r w:rsidR="0057551B">
        <w:rPr>
          <w:b/>
          <w:bCs/>
        </w:rPr>
        <w:t>ary Table</w:t>
      </w:r>
      <w:r>
        <w:rPr>
          <w:b/>
          <w:bCs/>
        </w:rPr>
        <w:t xml:space="preserve"> </w:t>
      </w:r>
      <w:r w:rsidRPr="00A35C8F">
        <w:rPr>
          <w:b/>
          <w:bCs/>
        </w:rPr>
        <w:t>S</w:t>
      </w:r>
      <w:r>
        <w:rPr>
          <w:b/>
          <w:bCs/>
        </w:rPr>
        <w:t>3</w:t>
      </w:r>
      <w:r w:rsidRPr="00A35C8F">
        <w:rPr>
          <w:b/>
          <w:bCs/>
        </w:rPr>
        <w:t xml:space="preserve">. </w:t>
      </w:r>
      <w:r w:rsidRPr="00A35C8F">
        <w:rPr>
          <w:b/>
          <w:bCs/>
          <w:sz w:val="20"/>
          <w:szCs w:val="20"/>
        </w:rPr>
        <w:t>Results of risk of bias assessment</w:t>
      </w:r>
    </w:p>
    <w:p w14:paraId="69AD122C" w14:textId="77777777" w:rsidR="00981FDE" w:rsidRDefault="00981FDE" w:rsidP="00981FDE">
      <w:pPr>
        <w:spacing w:line="240" w:lineRule="auto"/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017"/>
        <w:gridCol w:w="1125"/>
        <w:gridCol w:w="1641"/>
        <w:gridCol w:w="1328"/>
        <w:gridCol w:w="1250"/>
        <w:gridCol w:w="1104"/>
      </w:tblGrid>
      <w:tr w:rsidR="00981FDE" w:rsidRPr="00267F13" w14:paraId="0AC3E8F5" w14:textId="77777777" w:rsidTr="00C2293D">
        <w:trPr>
          <w:trHeight w:val="1220"/>
        </w:trPr>
        <w:tc>
          <w:tcPr>
            <w:tcW w:w="2160" w:type="dxa"/>
            <w:shd w:val="clear" w:color="auto" w:fill="E7E6E6" w:themeFill="background2"/>
            <w:vAlign w:val="center"/>
            <w:hideMark/>
          </w:tcPr>
          <w:p w14:paraId="2F9F1500" w14:textId="77777777" w:rsidR="00981FDE" w:rsidRPr="00267F13" w:rsidRDefault="00981FDE" w:rsidP="00C2293D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1017" w:type="dxa"/>
            <w:shd w:val="clear" w:color="auto" w:fill="E7E6E6" w:themeFill="background2"/>
            <w:vAlign w:val="center"/>
            <w:hideMark/>
          </w:tcPr>
          <w:p w14:paraId="04F573E0" w14:textId="77777777" w:rsidR="00981FDE" w:rsidRPr="00267F13" w:rsidRDefault="00981FDE" w:rsidP="00C2293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bCs/>
                <w:color w:val="000000"/>
                <w:sz w:val="20"/>
                <w:szCs w:val="20"/>
              </w:rPr>
              <w:t>Study Question Well-Defined</w:t>
            </w:r>
          </w:p>
        </w:tc>
        <w:tc>
          <w:tcPr>
            <w:tcW w:w="1125" w:type="dxa"/>
            <w:shd w:val="clear" w:color="auto" w:fill="E7E6E6" w:themeFill="background2"/>
            <w:vAlign w:val="center"/>
            <w:hideMark/>
          </w:tcPr>
          <w:p w14:paraId="576B07CE" w14:textId="77777777" w:rsidR="00981FDE" w:rsidRPr="00267F13" w:rsidRDefault="00981FDE" w:rsidP="00C2293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bCs/>
                <w:color w:val="000000"/>
                <w:sz w:val="20"/>
                <w:szCs w:val="20"/>
              </w:rPr>
              <w:t>Inclusion Criteria Well-Described</w:t>
            </w:r>
          </w:p>
        </w:tc>
        <w:tc>
          <w:tcPr>
            <w:tcW w:w="1641" w:type="dxa"/>
            <w:shd w:val="clear" w:color="auto" w:fill="E7E6E6" w:themeFill="background2"/>
            <w:vAlign w:val="center"/>
            <w:hideMark/>
          </w:tcPr>
          <w:p w14:paraId="401742DA" w14:textId="77777777" w:rsidR="00981FDE" w:rsidRPr="00267F13" w:rsidRDefault="00981FDE" w:rsidP="00C2293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bCs/>
                <w:color w:val="000000"/>
                <w:sz w:val="20"/>
                <w:szCs w:val="20"/>
              </w:rPr>
              <w:t>Comprehensive Description of Alternatives</w:t>
            </w:r>
          </w:p>
        </w:tc>
        <w:tc>
          <w:tcPr>
            <w:tcW w:w="1328" w:type="dxa"/>
            <w:shd w:val="clear" w:color="auto" w:fill="E7E6E6" w:themeFill="background2"/>
            <w:vAlign w:val="center"/>
            <w:hideMark/>
          </w:tcPr>
          <w:p w14:paraId="576C76F1" w14:textId="77777777" w:rsidR="00981FDE" w:rsidRPr="00267F13" w:rsidRDefault="00981FDE" w:rsidP="00C2293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bCs/>
                <w:color w:val="000000"/>
                <w:sz w:val="20"/>
                <w:szCs w:val="20"/>
              </w:rPr>
              <w:t>Appropriate Measure of Preferences</w:t>
            </w:r>
          </w:p>
        </w:tc>
        <w:tc>
          <w:tcPr>
            <w:tcW w:w="1250" w:type="dxa"/>
            <w:shd w:val="clear" w:color="auto" w:fill="E7E6E6" w:themeFill="background2"/>
            <w:vAlign w:val="center"/>
            <w:hideMark/>
          </w:tcPr>
          <w:p w14:paraId="771BDBE8" w14:textId="77777777" w:rsidR="00981FDE" w:rsidRPr="00267F13" w:rsidRDefault="00981FDE" w:rsidP="00C2293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bCs/>
                <w:color w:val="000000"/>
                <w:sz w:val="20"/>
                <w:szCs w:val="20"/>
              </w:rPr>
              <w:t>Appropriate Analysis</w:t>
            </w:r>
          </w:p>
        </w:tc>
        <w:tc>
          <w:tcPr>
            <w:tcW w:w="1104" w:type="dxa"/>
            <w:shd w:val="clear" w:color="auto" w:fill="E7E6E6" w:themeFill="background2"/>
            <w:vAlign w:val="center"/>
            <w:hideMark/>
          </w:tcPr>
          <w:p w14:paraId="02D043C1" w14:textId="77777777" w:rsidR="00981FDE" w:rsidRPr="00267F13" w:rsidRDefault="00981FDE" w:rsidP="00C2293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bCs/>
                <w:color w:val="000000"/>
                <w:sz w:val="20"/>
                <w:szCs w:val="20"/>
              </w:rPr>
              <w:t>Pre-specified Analysis</w:t>
            </w:r>
          </w:p>
        </w:tc>
      </w:tr>
      <w:tr w:rsidR="00981FDE" w:rsidRPr="00267F13" w14:paraId="371B6601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8CCA812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Agenor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E58735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24D1BF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336CF0A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68B1733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7A9E1B3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E86DEB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747EABDE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1250570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Alexander 1981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44E61B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E06B27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1FA7AE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6149650D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57B696F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2CA432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71401848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A946427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Anhang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2004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9D2F36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CD16C7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93B298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1DB6375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727660D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26D2C0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5E28787B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2F08462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Anhang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2005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01371C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4FFBDE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224F0A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5E31172D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1C52F16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503643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46664EB2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1A2F31B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Barbee 2010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3552647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4AA58F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3624009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1E37097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407373B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82C4BD7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1FEEEEB0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DE5E977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Brandzel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83A5C2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1EE7A3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4D4853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2806C5DA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26E10B3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2793B9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6E55CEA4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C479494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Carey Jackson 2000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11BC5E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18454C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3CB668E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3CE27E3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5810F53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D9B6A9D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5FC758CA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CE55FF6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Christopher 2005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69F604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B3D134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11A61D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3C27578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4C55D69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4175FEA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2F3F8C14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DA633D7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Cina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C1FC5F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9FADFDD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86AE53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47E9720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61C990E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CC9A80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785D892C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3EDA0F3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Crosby 2015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E44614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054697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215F969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6B20B87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6152252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768BE6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766E3F02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76464AE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Crosby 2017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1773F4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6C2647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A964BB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12E3241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2EEB545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50EDE2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2C070331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E7427AF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Galbraith 2014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9235D6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CC444B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08CEEB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79AE618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31DF843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6DF9FE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5DB09D9F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4123C34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Greaney 2014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A9C62B7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C83FFC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3EF8C52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68AFF15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40CA425D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A60C69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34556D39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B9BD120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Hatcher 2011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3B295D7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52B0B1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F55046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4B96293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5AB75E3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7A587B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462648F8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C4BFE72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Haworth 2014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A6D33F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A6FF27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3B651C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646BBA6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13DBA27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BF58CC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4DAD319B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5CA1F0C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Hunter 2012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615D7BD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F02595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829EC77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5B61823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46CD9B40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8C9B83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0EC4E9FE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854EB6B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Ilangovan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CD80EC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7BB0CB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DE43D1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6809AA4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55D61B5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1E4BA1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6905E34F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35167A0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Jones 2012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501415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C35574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5619450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5B8374E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5D29032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96B00A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18201FE3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1EE2E36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Katz 2017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96F7F4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5734A7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2FDB35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19D5FC3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41392A70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91DD27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25889406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373F639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Kenya 2015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2B9A95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7A371FD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7458AD8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0906243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4BA7CB0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F24100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1CD012F6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3A360CE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Kilfoyle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DC5824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D237D3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2586786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32C5B25A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6558039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C8F342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1C8B2D65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5741EBC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Kim 2017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2CC1B6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B449AE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1F88C1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7723CB1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3332FEA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661446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21644852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25931B8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Lanier 1999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2D511E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31C64E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3586657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715AB85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405F16A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AF418B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54358311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F373B99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Lee 2015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4F60CD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E5746A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53F725A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2E12CB2D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2209471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8F899EA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589ADD34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3F213F2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Levinson 2016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8F3EC8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0C6BB8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3162ABA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4471E9E0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61261B1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DE9ACE7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7C619048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824F213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Litton 2013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C67A91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FCF415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D0B240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7F716CC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3D6687B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170B87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44511008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5E91F4E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Ma 2012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B62C4A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71E57C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2219B6A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4F81AE5D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3D0B035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A8D285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7825D03E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4E0E3DC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McAlearney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29270C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6FD2D8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9C8668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4812958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0BFF03E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145A70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6CF1C396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DB2E1C4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McDowell 2017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28C172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3615C8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926AE30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2BF51B70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752A73C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8A855D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7C1FDB77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1E95166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Molokwu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EE46BE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C0D53F0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65A0D2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47B791B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685F1A8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389E4E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1117ACFC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D336B19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Nguyen 2002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8A09C7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4A02B5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3FACABA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5E43403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5502C66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6817FF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60033716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453E922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Penaranda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2238FE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955310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74464FF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487613E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74E5D9F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0E86F5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0DF64608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6653DD3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Penaranda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501CB0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0D5A8D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2FBC661A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69A5CD4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18C13B3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808A03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0F3F1125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BE9464C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Pieters 2013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F3A9D9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6BC646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4638B7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79EA573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2E20533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925190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5286D910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18170DE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Reed 2002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DD39F8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A9B142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A61A80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1F78491F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6499FAA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231FB6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2C611F84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A422690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Reisner 2018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6CE346E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FBE632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25EEF7D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5BA67B5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1CD6DE6D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A1FADF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666AA21D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502D582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Scarinci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8C5ABC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25CAD9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87B624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4076060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0AD1F1E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33A80C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674EE523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3DA143E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Seay 2017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04762F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DAC92C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70875EC4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144B6D3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2CA9423A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45E78D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110D10B9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8B9547E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Sharpe 2013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8EB4B60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5B78767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7CD258F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2CAC518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69BF7DE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24D0D88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1BC22784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D47357D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Torres 2013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FDBE3A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1B9AFC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2B990FA1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29F95F0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5EBEF9E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F8566B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50B9BE2D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272ACCD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Winer 2016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45BF0A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62B97F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17123FA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4C7E0F27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1B18232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808B2A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2FA2A88B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0C1AF93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67F13">
              <w:rPr>
                <w:rFonts w:eastAsia="Times New Roman"/>
                <w:color w:val="000000"/>
                <w:sz w:val="20"/>
                <w:szCs w:val="20"/>
              </w:rPr>
              <w:t>Yemane</w:t>
            </w:r>
            <w:proofErr w:type="spellEnd"/>
            <w:r w:rsidRPr="00267F13">
              <w:rPr>
                <w:rFonts w:eastAsia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1794B1C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543273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3C438D1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06882D9B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314A580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C1F80F3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  <w:tr w:rsidR="00981FDE" w:rsidRPr="00267F13" w14:paraId="03C515B2" w14:textId="77777777" w:rsidTr="00C2293D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E28B42A" w14:textId="77777777" w:rsidR="00981FDE" w:rsidRPr="00267F13" w:rsidRDefault="00981FDE" w:rsidP="00C2293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F13">
              <w:rPr>
                <w:rFonts w:eastAsia="Times New Roman"/>
                <w:color w:val="000000"/>
                <w:sz w:val="20"/>
                <w:szCs w:val="20"/>
              </w:rPr>
              <w:t>Yu 2001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A9476AA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C993592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CA8E566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56755F3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6FD25655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high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346F229" w14:textId="77777777" w:rsidR="00981FDE" w:rsidRPr="00267F13" w:rsidRDefault="00981FDE" w:rsidP="00C229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7F13">
              <w:rPr>
                <w:rFonts w:eastAsia="Times New Roman"/>
                <w:sz w:val="20"/>
                <w:szCs w:val="20"/>
              </w:rPr>
              <w:t>low</w:t>
            </w:r>
          </w:p>
        </w:tc>
      </w:tr>
    </w:tbl>
    <w:p w14:paraId="3ADDF873" w14:textId="77777777" w:rsidR="00981FDE" w:rsidRPr="00A35C8F" w:rsidRDefault="00981FDE" w:rsidP="00981FDE">
      <w:pPr>
        <w:spacing w:line="240" w:lineRule="auto"/>
      </w:pPr>
    </w:p>
    <w:p w14:paraId="39AB62CE" w14:textId="77777777" w:rsidR="00900B2F" w:rsidRDefault="0057551B"/>
    <w:sectPr w:rsidR="00900B2F" w:rsidSect="00907348">
      <w:pgSz w:w="12240" w:h="15840"/>
      <w:pgMar w:top="1440" w:right="1440" w:bottom="1440" w:left="1440" w:header="720" w:footer="720" w:gutter="0"/>
      <w:pgNumType w:start="3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DE"/>
    <w:rsid w:val="000F6A36"/>
    <w:rsid w:val="0010491A"/>
    <w:rsid w:val="0014262C"/>
    <w:rsid w:val="002B53A2"/>
    <w:rsid w:val="0057551B"/>
    <w:rsid w:val="00610F25"/>
    <w:rsid w:val="007145AC"/>
    <w:rsid w:val="00981FDE"/>
    <w:rsid w:val="00A51CEC"/>
    <w:rsid w:val="00D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5F14"/>
  <w15:chartTrackingRefBased/>
  <w15:docId w15:val="{320D92B3-CB60-4786-B1DD-8C7AC4E4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D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DE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Biddell, Caitlin</dc:creator>
  <cp:keywords/>
  <dc:description/>
  <cp:lastModifiedBy>Biddell, Caitlin</cp:lastModifiedBy>
  <cp:revision>2</cp:revision>
  <dcterms:created xsi:type="dcterms:W3CDTF">2020-05-19T12:15:00Z</dcterms:created>
  <dcterms:modified xsi:type="dcterms:W3CDTF">2020-05-19T12:15:00Z</dcterms:modified>
</cp:coreProperties>
</file>