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10"/>
        <w:gridCol w:w="654"/>
        <w:gridCol w:w="5563"/>
        <w:gridCol w:w="1414"/>
      </w:tblGrid>
      <w:tr w:rsidR="00606B93" w:rsidRPr="0022554A" w:rsidTr="00606B93">
        <w:tc>
          <w:tcPr>
            <w:tcW w:w="2010" w:type="dxa"/>
          </w:tcPr>
          <w:p w:rsidR="00F968F7" w:rsidRPr="0022554A" w:rsidRDefault="00F968F7" w:rsidP="00077147">
            <w:pPr>
              <w:tabs>
                <w:tab w:val="left" w:pos="5400"/>
              </w:tabs>
              <w:spacing w:line="240" w:lineRule="auto"/>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54" w:type="dxa"/>
          </w:tcPr>
          <w:p w:rsidR="00F968F7" w:rsidRPr="0022554A" w:rsidRDefault="00F968F7" w:rsidP="00077147">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077147">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535F6E" w:rsidP="00077147">
            <w:pPr>
              <w:pStyle w:val="TableHeader"/>
              <w:tabs>
                <w:tab w:val="left" w:pos="5400"/>
              </w:tabs>
              <w:jc w:val="center"/>
              <w:rPr>
                <w:bCs/>
                <w:sz w:val="20"/>
              </w:rPr>
            </w:pPr>
            <w:r>
              <w:rPr>
                <w:bCs/>
                <w:sz w:val="20"/>
              </w:rPr>
              <w:t>Section &amp; Paragraph</w:t>
            </w:r>
          </w:p>
        </w:tc>
      </w:tr>
      <w:tr w:rsidR="00606B93" w:rsidRPr="0022554A" w:rsidTr="00606B93">
        <w:tc>
          <w:tcPr>
            <w:tcW w:w="2010" w:type="dxa"/>
            <w:vMerge w:val="restart"/>
          </w:tcPr>
          <w:p w:rsidR="00F968F7" w:rsidRPr="002602FB" w:rsidRDefault="00F968F7" w:rsidP="00077147">
            <w:pPr>
              <w:tabs>
                <w:tab w:val="left" w:pos="5400"/>
              </w:tabs>
              <w:spacing w:line="240" w:lineRule="auto"/>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54" w:type="dxa"/>
            <w:vMerge w:val="restart"/>
          </w:tcPr>
          <w:p w:rsidR="00F968F7" w:rsidRPr="0022554A" w:rsidRDefault="00F968F7" w:rsidP="00077147">
            <w:pPr>
              <w:tabs>
                <w:tab w:val="left" w:pos="5400"/>
              </w:tabs>
              <w:spacing w:line="240" w:lineRule="auto"/>
              <w:jc w:val="center"/>
              <w:rPr>
                <w:sz w:val="20"/>
              </w:rPr>
            </w:pPr>
            <w:r w:rsidRPr="0022554A">
              <w:rPr>
                <w:sz w:val="20"/>
              </w:rPr>
              <w:t>1</w:t>
            </w:r>
          </w:p>
        </w:tc>
        <w:tc>
          <w:tcPr>
            <w:tcW w:w="0" w:type="auto"/>
            <w:tcBorders>
              <w:right w:val="single" w:sz="4" w:space="0" w:color="auto"/>
            </w:tcBorders>
          </w:tcPr>
          <w:p w:rsidR="00F968F7" w:rsidRPr="00606B93" w:rsidRDefault="00606B93" w:rsidP="00077147">
            <w:pPr>
              <w:tabs>
                <w:tab w:val="left" w:pos="5400"/>
              </w:tabs>
              <w:spacing w:line="240" w:lineRule="auto"/>
              <w:rPr>
                <w:sz w:val="20"/>
              </w:rPr>
            </w:pPr>
            <w:r w:rsidRPr="00606B93">
              <w:rPr>
                <w:i/>
                <w:sz w:val="20"/>
              </w:rPr>
              <w:t>(</w:t>
            </w:r>
            <w:r w:rsidRPr="00606B93">
              <w:rPr>
                <w:sz w:val="20"/>
              </w:rPr>
              <w:t xml:space="preserve">a) </w:t>
            </w:r>
            <w:r w:rsidR="00F968F7" w:rsidRPr="00606B93">
              <w:rPr>
                <w:sz w:val="20"/>
              </w:rPr>
              <w:t>Indicate the study’s design with a commonly used term in the title or the abstract</w:t>
            </w:r>
          </w:p>
          <w:p w:rsidR="00077147" w:rsidRDefault="00077147" w:rsidP="00077147">
            <w:pPr>
              <w:spacing w:line="240" w:lineRule="auto"/>
              <w:rPr>
                <w:sz w:val="20"/>
              </w:rPr>
            </w:pPr>
          </w:p>
          <w:p w:rsidR="00606B93" w:rsidRPr="00AC0A39" w:rsidRDefault="00606B93" w:rsidP="00077147">
            <w:pPr>
              <w:spacing w:line="240" w:lineRule="auto"/>
              <w:rPr>
                <w:b/>
                <w:szCs w:val="24"/>
              </w:rPr>
            </w:pPr>
            <w:r w:rsidRPr="00AC0A39">
              <w:rPr>
                <w:b/>
                <w:szCs w:val="24"/>
              </w:rPr>
              <w:t>Text:</w:t>
            </w:r>
          </w:p>
          <w:p w:rsidR="00606B93" w:rsidRPr="00BC32CD" w:rsidRDefault="00606B93" w:rsidP="00077147">
            <w:pPr>
              <w:spacing w:line="240" w:lineRule="auto"/>
              <w:rPr>
                <w:color w:val="000000" w:themeColor="text1"/>
                <w:sz w:val="20"/>
              </w:rPr>
            </w:pPr>
            <w:r w:rsidRPr="00BC32CD">
              <w:rPr>
                <w:color w:val="000000" w:themeColor="text1"/>
                <w:sz w:val="20"/>
              </w:rPr>
              <w:t>“</w:t>
            </w:r>
            <w:r w:rsidR="00BC32CD" w:rsidRPr="00BC32CD">
              <w:rPr>
                <w:color w:val="000000" w:themeColor="text1"/>
                <w:sz w:val="20"/>
              </w:rPr>
              <w:t>a secondary, pooled analysis</w:t>
            </w:r>
            <w:r w:rsidRPr="00BC32CD">
              <w:rPr>
                <w:color w:val="000000" w:themeColor="text1"/>
                <w:sz w:val="20"/>
              </w:rPr>
              <w:t>”</w:t>
            </w:r>
          </w:p>
          <w:p w:rsidR="00077147" w:rsidRPr="00606B93" w:rsidRDefault="00077147" w:rsidP="00077147">
            <w:pPr>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606B93" w:rsidRPr="0022554A" w:rsidRDefault="00606B93" w:rsidP="00077147">
            <w:pPr>
              <w:tabs>
                <w:tab w:val="left" w:pos="5400"/>
              </w:tabs>
              <w:spacing w:line="240" w:lineRule="auto"/>
              <w:rPr>
                <w:sz w:val="20"/>
              </w:rPr>
            </w:pPr>
            <w:r>
              <w:rPr>
                <w:sz w:val="20"/>
              </w:rPr>
              <w:t>Title</w:t>
            </w: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11" w:name="bold6" w:colFirst="0" w:colLast="0"/>
            <w:bookmarkStart w:id="12" w:name="italic7" w:colFirst="0" w:colLast="0"/>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Pr="00606B93" w:rsidRDefault="00F968F7" w:rsidP="00077147">
            <w:pPr>
              <w:tabs>
                <w:tab w:val="left" w:pos="5400"/>
              </w:tabs>
              <w:spacing w:line="240" w:lineRule="auto"/>
              <w:rPr>
                <w:sz w:val="20"/>
              </w:rPr>
            </w:pPr>
            <w:r w:rsidRPr="00606B93">
              <w:rPr>
                <w:sz w:val="20"/>
              </w:rPr>
              <w:t>(</w:t>
            </w:r>
            <w:r w:rsidRPr="00606B93">
              <w:rPr>
                <w:i/>
                <w:sz w:val="20"/>
              </w:rPr>
              <w:t>b</w:t>
            </w:r>
            <w:r w:rsidRPr="00606B93">
              <w:rPr>
                <w:sz w:val="20"/>
              </w:rPr>
              <w:t>) Provide in the abstract an informative and balanced summary of what was done and what was found</w:t>
            </w:r>
          </w:p>
          <w:p w:rsidR="00077147" w:rsidRDefault="00077147" w:rsidP="00077147">
            <w:pPr>
              <w:tabs>
                <w:tab w:val="left" w:pos="5400"/>
              </w:tabs>
              <w:spacing w:line="240" w:lineRule="auto"/>
              <w:rPr>
                <w:sz w:val="20"/>
              </w:rPr>
            </w:pPr>
          </w:p>
          <w:p w:rsidR="00606B93" w:rsidRPr="00535F6E" w:rsidRDefault="00606B93" w:rsidP="00077147">
            <w:pPr>
              <w:tabs>
                <w:tab w:val="left" w:pos="5400"/>
              </w:tabs>
              <w:spacing w:line="240" w:lineRule="auto"/>
              <w:rPr>
                <w:b/>
                <w:sz w:val="20"/>
              </w:rPr>
            </w:pPr>
            <w:r w:rsidRPr="00535F6E">
              <w:rPr>
                <w:b/>
                <w:sz w:val="20"/>
              </w:rPr>
              <w:t>Text:</w:t>
            </w:r>
          </w:p>
          <w:p w:rsidR="00606B93" w:rsidRPr="00535F6E" w:rsidRDefault="00606B93" w:rsidP="00077147">
            <w:pPr>
              <w:tabs>
                <w:tab w:val="left" w:pos="5400"/>
              </w:tabs>
              <w:spacing w:line="240" w:lineRule="auto"/>
              <w:rPr>
                <w:sz w:val="20"/>
              </w:rPr>
            </w:pPr>
            <w:r w:rsidRPr="00535F6E">
              <w:rPr>
                <w:sz w:val="20"/>
              </w:rPr>
              <w:t>“</w:t>
            </w:r>
            <w:r w:rsidR="00535F6E" w:rsidRPr="00535F6E">
              <w:rPr>
                <w:sz w:val="20"/>
              </w:rPr>
              <w:t xml:space="preserve">Pooled, individual-level data from GlaxoSmithKline’s phase II and III clinical trials of the Rotarix (RV1) vaccine were </w:t>
            </w:r>
            <w:proofErr w:type="spellStart"/>
            <w:r w:rsidR="00535F6E" w:rsidRPr="00535F6E">
              <w:rPr>
                <w:sz w:val="20"/>
              </w:rPr>
              <w:t>analyzed</w:t>
            </w:r>
            <w:proofErr w:type="spellEnd"/>
            <w:r w:rsidR="00535F6E" w:rsidRPr="00535F6E">
              <w:rPr>
                <w:sz w:val="20"/>
              </w:rPr>
              <w:t xml:space="preserve">, including 7,280 vaccinated infants (5-17 weeks of age at first vaccine dose) from 22 trials and 33 countries/territories (5 high, 13 moderately low, and 15 very low child mortality countries/territories).  </w:t>
            </w:r>
            <w:r w:rsidR="00535F6E" w:rsidRPr="00535F6E">
              <w:rPr>
                <w:rFonts w:eastAsia="Arial Unicode MS"/>
                <w:sz w:val="20"/>
              </w:rPr>
              <w:t xml:space="preserve">Two standard markers for immune response were examined including anti-rotavirus IgA seroconversion (defined as the appearance of serum </w:t>
            </w:r>
            <w:r w:rsidR="00535F6E" w:rsidRPr="00535F6E">
              <w:rPr>
                <w:sz w:val="20"/>
              </w:rPr>
              <w:t xml:space="preserve">anti-rotavirus </w:t>
            </w:r>
            <w:r w:rsidR="00535F6E" w:rsidRPr="00535F6E">
              <w:rPr>
                <w:rFonts w:eastAsia="Arial Unicode MS"/>
                <w:sz w:val="20"/>
              </w:rPr>
              <w:t xml:space="preserve">IgA antibodies in subjects initially seronegative) and serum </w:t>
            </w:r>
            <w:r w:rsidR="00535F6E" w:rsidRPr="00535F6E">
              <w:rPr>
                <w:sz w:val="20"/>
              </w:rPr>
              <w:t xml:space="preserve">anti-rotavirus </w:t>
            </w:r>
            <w:r w:rsidR="00535F6E" w:rsidRPr="00535F6E">
              <w:rPr>
                <w:rFonts w:eastAsia="Arial Unicode MS"/>
                <w:sz w:val="20"/>
              </w:rPr>
              <w:t xml:space="preserve">IgA </w:t>
            </w:r>
            <w:proofErr w:type="spellStart"/>
            <w:r w:rsidR="00535F6E" w:rsidRPr="00535F6E">
              <w:rPr>
                <w:rFonts w:eastAsia="Arial Unicode MS"/>
                <w:sz w:val="20"/>
              </w:rPr>
              <w:t>titer</w:t>
            </w:r>
            <w:proofErr w:type="spellEnd"/>
            <w:r w:rsidR="00535F6E" w:rsidRPr="00535F6E">
              <w:rPr>
                <w:rFonts w:eastAsia="Arial Unicode MS"/>
                <w:sz w:val="20"/>
              </w:rPr>
              <w:t xml:space="preserve">, both collected </w:t>
            </w:r>
            <w:r w:rsidR="00535F6E" w:rsidRPr="00535F6E">
              <w:rPr>
                <w:sz w:val="20"/>
              </w:rPr>
              <w:t xml:space="preserve">approximately 4-12 weeks after administration of the last rotavirus vaccine dose. Mixed effect logistic regression and mixed effect linear regression of log-transformed data were used to identify individual and country-level predictors of seroconversion (dichotomous) and antibody </w:t>
            </w:r>
            <w:proofErr w:type="spellStart"/>
            <w:r w:rsidR="00535F6E" w:rsidRPr="00535F6E">
              <w:rPr>
                <w:sz w:val="20"/>
              </w:rPr>
              <w:t>titer</w:t>
            </w:r>
            <w:proofErr w:type="spellEnd"/>
            <w:r w:rsidR="00535F6E" w:rsidRPr="00535F6E">
              <w:rPr>
                <w:sz w:val="20"/>
              </w:rPr>
              <w:t xml:space="preserve"> (continuous), respectively.”</w:t>
            </w:r>
          </w:p>
          <w:p w:rsidR="00077147" w:rsidRPr="00535F6E" w:rsidRDefault="00077147" w:rsidP="00077147">
            <w:pPr>
              <w:tabs>
                <w:tab w:val="left" w:pos="5400"/>
              </w:tabs>
              <w:spacing w:line="240" w:lineRule="auto"/>
              <w:rPr>
                <w:sz w:val="20"/>
              </w:rPr>
            </w:pPr>
          </w:p>
          <w:p w:rsidR="00606B93" w:rsidRPr="00535F6E" w:rsidRDefault="00606B93" w:rsidP="00077147">
            <w:pPr>
              <w:tabs>
                <w:tab w:val="left" w:pos="5400"/>
              </w:tabs>
              <w:spacing w:line="240" w:lineRule="auto"/>
              <w:rPr>
                <w:sz w:val="20"/>
              </w:rPr>
            </w:pPr>
            <w:r w:rsidRPr="00535F6E">
              <w:rPr>
                <w:sz w:val="20"/>
              </w:rPr>
              <w:t>“</w:t>
            </w:r>
            <w:r w:rsidR="00535F6E" w:rsidRPr="00535F6E">
              <w:rPr>
                <w:sz w:val="20"/>
              </w:rPr>
              <w:t>Infants in high child mortality settings had lower odds of seroconverting compared to infants in low child mortality settings (OR = 0.48, 95% CI = 0.43, 0.53,</w:t>
            </w:r>
            <w:r w:rsidR="00535F6E" w:rsidRPr="00535F6E">
              <w:rPr>
                <w:color w:val="000000" w:themeColor="text1"/>
                <w:sz w:val="20"/>
              </w:rPr>
              <w:t xml:space="preserve"> p &lt; 0.001</w:t>
            </w:r>
            <w:r w:rsidR="00535F6E" w:rsidRPr="00535F6E">
              <w:rPr>
                <w:sz w:val="20"/>
              </w:rPr>
              <w:t xml:space="preserve">).  Similarly, among those who seroconverted, infants in high child mortality settings had lower IgA </w:t>
            </w:r>
            <w:proofErr w:type="spellStart"/>
            <w:r w:rsidR="00535F6E" w:rsidRPr="00535F6E">
              <w:rPr>
                <w:sz w:val="20"/>
              </w:rPr>
              <w:t>titers</w:t>
            </w:r>
            <w:proofErr w:type="spellEnd"/>
            <w:r w:rsidR="00535F6E" w:rsidRPr="00535F6E">
              <w:rPr>
                <w:sz w:val="20"/>
              </w:rPr>
              <w:t xml:space="preserve"> compared to infants in low child mortality settings (</w:t>
            </w:r>
            <w:r w:rsidR="00535F6E" w:rsidRPr="00535F6E">
              <w:rPr>
                <w:bCs/>
                <w:sz w:val="20"/>
              </w:rPr>
              <w:t>β</w:t>
            </w:r>
            <w:r w:rsidR="00535F6E" w:rsidRPr="00535F6E">
              <w:rPr>
                <w:sz w:val="20"/>
              </w:rPr>
              <w:t xml:space="preserve"> = 0.83, 95% CI = 0.77, 0.90, p &lt; 0.001).  Infants who received OPV concomitantly with both their first and second doses of rotavirus vaccine had 0.63 times the odds of seroconverting (OR = 0.63, 95% CI = 0.47, 0.84, p = 0.002) compared to infants who received OPV but not concomitantly with either dose. In contrast, among infants who seroconverted, OPV concomitantly administered with both the first and second rotavirus vaccine doses was found to be positively associated with anti-rotavirus IgA </w:t>
            </w:r>
            <w:proofErr w:type="spellStart"/>
            <w:r w:rsidR="00535F6E" w:rsidRPr="00535F6E">
              <w:rPr>
                <w:sz w:val="20"/>
              </w:rPr>
              <w:t>titer</w:t>
            </w:r>
            <w:proofErr w:type="spellEnd"/>
            <w:r w:rsidR="00535F6E" w:rsidRPr="00535F6E">
              <w:rPr>
                <w:sz w:val="20"/>
              </w:rPr>
              <w:t xml:space="preserve"> (β = 1.28, 95% CI = 1.07, 1.53, p = 0.009).”</w:t>
            </w:r>
          </w:p>
          <w:p w:rsidR="00077147" w:rsidRPr="00606B93" w:rsidRDefault="00077147"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606B93" w:rsidRDefault="00535F6E" w:rsidP="00077147">
            <w:pPr>
              <w:tabs>
                <w:tab w:val="left" w:pos="5400"/>
              </w:tabs>
              <w:spacing w:line="240" w:lineRule="auto"/>
              <w:rPr>
                <w:sz w:val="20"/>
              </w:rPr>
            </w:pPr>
            <w:r>
              <w:rPr>
                <w:sz w:val="20"/>
              </w:rPr>
              <w:t>Abstract, Methods and Findings section</w:t>
            </w:r>
          </w:p>
          <w:p w:rsidR="00606B93" w:rsidRDefault="00606B93"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65605F" w:rsidRDefault="0065605F" w:rsidP="00077147">
            <w:pPr>
              <w:tabs>
                <w:tab w:val="left" w:pos="5400"/>
              </w:tabs>
              <w:spacing w:line="240" w:lineRule="auto"/>
              <w:rPr>
                <w:sz w:val="20"/>
              </w:rPr>
            </w:pPr>
          </w:p>
          <w:p w:rsidR="0065605F" w:rsidRDefault="0065605F" w:rsidP="00077147">
            <w:pPr>
              <w:tabs>
                <w:tab w:val="left" w:pos="5400"/>
              </w:tabs>
              <w:spacing w:line="240" w:lineRule="auto"/>
              <w:rPr>
                <w:sz w:val="20"/>
              </w:rPr>
            </w:pPr>
          </w:p>
          <w:p w:rsidR="00535F6E" w:rsidRDefault="00535F6E" w:rsidP="00077147">
            <w:pPr>
              <w:tabs>
                <w:tab w:val="left" w:pos="5400"/>
              </w:tabs>
              <w:spacing w:line="240" w:lineRule="auto"/>
              <w:rPr>
                <w:sz w:val="20"/>
              </w:rPr>
            </w:pPr>
          </w:p>
          <w:p w:rsidR="00535F6E" w:rsidRDefault="00535F6E" w:rsidP="00535F6E">
            <w:pPr>
              <w:tabs>
                <w:tab w:val="left" w:pos="5400"/>
              </w:tabs>
              <w:spacing w:line="240" w:lineRule="auto"/>
              <w:rPr>
                <w:sz w:val="20"/>
              </w:rPr>
            </w:pPr>
            <w:r>
              <w:rPr>
                <w:sz w:val="20"/>
              </w:rPr>
              <w:t>Abstract, Methods and Findings section</w:t>
            </w:r>
          </w:p>
          <w:p w:rsidR="00535F6E" w:rsidRDefault="00535F6E"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606B93" w:rsidRPr="0022554A" w:rsidRDefault="00606B93" w:rsidP="00077147">
            <w:pPr>
              <w:tabs>
                <w:tab w:val="left" w:pos="5400"/>
              </w:tabs>
              <w:spacing w:line="240" w:lineRule="auto"/>
              <w:rPr>
                <w:sz w:val="20"/>
              </w:rPr>
            </w:pPr>
          </w:p>
        </w:tc>
      </w:tr>
      <w:tr w:rsidR="00F968F7" w:rsidRPr="0022554A" w:rsidTr="00521012">
        <w:tc>
          <w:tcPr>
            <w:tcW w:w="0" w:type="auto"/>
            <w:gridSpan w:val="4"/>
          </w:tcPr>
          <w:p w:rsidR="00F968F7" w:rsidRPr="0022554A" w:rsidRDefault="00F968F7" w:rsidP="00077147">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54" w:type="dxa"/>
          </w:tcPr>
          <w:p w:rsidR="00F968F7" w:rsidRPr="0022554A" w:rsidRDefault="00F968F7" w:rsidP="00077147">
            <w:pPr>
              <w:tabs>
                <w:tab w:val="left" w:pos="5400"/>
              </w:tabs>
              <w:spacing w:line="240" w:lineRule="auto"/>
              <w:jc w:val="center"/>
              <w:rPr>
                <w:sz w:val="20"/>
              </w:rPr>
            </w:pPr>
            <w:r w:rsidRPr="0022554A">
              <w:rPr>
                <w:sz w:val="20"/>
              </w:rPr>
              <w:t>2</w:t>
            </w:r>
          </w:p>
        </w:tc>
        <w:tc>
          <w:tcPr>
            <w:tcW w:w="0" w:type="auto"/>
            <w:tcBorders>
              <w:right w:val="single" w:sz="4" w:space="0" w:color="auto"/>
            </w:tcBorders>
          </w:tcPr>
          <w:p w:rsidR="00F968F7" w:rsidRPr="00AC0A39" w:rsidRDefault="00F968F7" w:rsidP="00077147">
            <w:pPr>
              <w:tabs>
                <w:tab w:val="left" w:pos="5400"/>
              </w:tabs>
              <w:spacing w:line="240" w:lineRule="auto"/>
              <w:rPr>
                <w:sz w:val="20"/>
              </w:rPr>
            </w:pPr>
            <w:r w:rsidRPr="00AC0A39">
              <w:rPr>
                <w:sz w:val="20"/>
              </w:rPr>
              <w:t>Explain the scientific background and rationale for the investigation being reported</w:t>
            </w:r>
          </w:p>
          <w:p w:rsidR="00077147" w:rsidRPr="00AC0A39" w:rsidRDefault="00077147" w:rsidP="00077147">
            <w:pPr>
              <w:tabs>
                <w:tab w:val="left" w:pos="5400"/>
              </w:tabs>
              <w:spacing w:line="240" w:lineRule="auto"/>
              <w:rPr>
                <w:sz w:val="20"/>
              </w:rPr>
            </w:pPr>
          </w:p>
          <w:p w:rsidR="00606B93" w:rsidRPr="00AC0A39" w:rsidRDefault="00606B93" w:rsidP="00077147">
            <w:pPr>
              <w:tabs>
                <w:tab w:val="left" w:pos="5400"/>
              </w:tabs>
              <w:spacing w:line="240" w:lineRule="auto"/>
              <w:rPr>
                <w:b/>
                <w:sz w:val="20"/>
              </w:rPr>
            </w:pPr>
            <w:r w:rsidRPr="00AC0A39">
              <w:rPr>
                <w:b/>
                <w:sz w:val="20"/>
              </w:rPr>
              <w:t>Text:</w:t>
            </w:r>
          </w:p>
          <w:p w:rsidR="00606B93" w:rsidRPr="00AC0A39" w:rsidRDefault="00606B93" w:rsidP="00077147">
            <w:pPr>
              <w:tabs>
                <w:tab w:val="left" w:pos="5400"/>
              </w:tabs>
              <w:spacing w:line="240" w:lineRule="auto"/>
              <w:rPr>
                <w:sz w:val="20"/>
              </w:rPr>
            </w:pPr>
            <w:r w:rsidRPr="00AC0A39">
              <w:rPr>
                <w:sz w:val="20"/>
              </w:rPr>
              <w:t>“</w:t>
            </w:r>
            <w:r w:rsidR="00AC0A39" w:rsidRPr="00AC0A39">
              <w:rPr>
                <w:sz w:val="20"/>
              </w:rPr>
              <w:t xml:space="preserve">Developing strategies to improve vaccine performance first requires identification of individual-level factors associated with immune response.  </w:t>
            </w:r>
            <w:r w:rsidR="00AC0A39" w:rsidRPr="00AC0A39">
              <w:rPr>
                <w:color w:val="000000" w:themeColor="text1"/>
                <w:sz w:val="20"/>
              </w:rPr>
              <w:t xml:space="preserve">Isolating such factors across settings may highlight potentially modifiable vaccine strategies or interventions for enhancing vaccine performance and further reducing the burden of </w:t>
            </w:r>
            <w:r w:rsidR="00AC0A39" w:rsidRPr="00AC0A39">
              <w:rPr>
                <w:sz w:val="20"/>
              </w:rPr>
              <w:t>rotavirus</w:t>
            </w:r>
            <w:r w:rsidR="00AC0A39" w:rsidRPr="00AC0A39">
              <w:rPr>
                <w:color w:val="000000" w:themeColor="text1"/>
                <w:sz w:val="20"/>
              </w:rPr>
              <w:t xml:space="preserve"> disease. Rotavirus vaccine clinical trials were powered to assess vaccine </w:t>
            </w:r>
            <w:proofErr w:type="gramStart"/>
            <w:r w:rsidR="00AC0A39" w:rsidRPr="00AC0A39">
              <w:rPr>
                <w:color w:val="000000" w:themeColor="text1"/>
                <w:sz w:val="20"/>
              </w:rPr>
              <w:t>efficacy,</w:t>
            </w:r>
            <w:proofErr w:type="gramEnd"/>
            <w:r w:rsidR="00AC0A39" w:rsidRPr="00AC0A39">
              <w:rPr>
                <w:color w:val="000000" w:themeColor="text1"/>
                <w:sz w:val="20"/>
              </w:rPr>
              <w:t xml:space="preserve"> however, they were not specifically designed to identify individual-level factors associated with vaccine response.</w:t>
            </w:r>
            <w:r w:rsidRPr="00AC0A39">
              <w:rPr>
                <w:color w:val="000000" w:themeColor="text1"/>
                <w:sz w:val="20"/>
              </w:rPr>
              <w:t>”</w:t>
            </w:r>
          </w:p>
          <w:p w:rsidR="00606B93" w:rsidRPr="00AC0A39" w:rsidRDefault="00606B93"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606B93" w:rsidRDefault="00606B93"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606B93" w:rsidRPr="0022554A" w:rsidRDefault="00535F6E" w:rsidP="007B0F33">
            <w:pPr>
              <w:tabs>
                <w:tab w:val="left" w:pos="5400"/>
              </w:tabs>
              <w:spacing w:line="240" w:lineRule="auto"/>
              <w:rPr>
                <w:sz w:val="20"/>
              </w:rPr>
            </w:pPr>
            <w:r>
              <w:rPr>
                <w:sz w:val="20"/>
              </w:rPr>
              <w:t>Introduction, last paragraph</w:t>
            </w:r>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19" w:name="bold10" w:colFirst="0" w:colLast="0"/>
            <w:bookmarkStart w:id="20" w:name="italic11" w:colFirst="0" w:colLast="0"/>
            <w:r w:rsidRPr="0022554A">
              <w:rPr>
                <w:bCs/>
                <w:sz w:val="20"/>
              </w:rPr>
              <w:t>Objectives</w:t>
            </w:r>
          </w:p>
        </w:tc>
        <w:tc>
          <w:tcPr>
            <w:tcW w:w="654" w:type="dxa"/>
          </w:tcPr>
          <w:p w:rsidR="00F968F7" w:rsidRPr="0022554A" w:rsidRDefault="00F968F7" w:rsidP="00077147">
            <w:pPr>
              <w:tabs>
                <w:tab w:val="left" w:pos="5400"/>
              </w:tabs>
              <w:spacing w:line="240" w:lineRule="auto"/>
              <w:jc w:val="center"/>
              <w:rPr>
                <w:sz w:val="20"/>
              </w:rPr>
            </w:pPr>
            <w:r w:rsidRPr="0022554A">
              <w:rPr>
                <w:sz w:val="20"/>
              </w:rPr>
              <w:t>3</w:t>
            </w:r>
          </w:p>
        </w:tc>
        <w:tc>
          <w:tcPr>
            <w:tcW w:w="0" w:type="auto"/>
            <w:tcBorders>
              <w:right w:val="single" w:sz="4" w:space="0" w:color="auto"/>
            </w:tcBorders>
          </w:tcPr>
          <w:p w:rsidR="00F968F7" w:rsidRPr="00AC0A39" w:rsidRDefault="00F968F7" w:rsidP="00077147">
            <w:pPr>
              <w:tabs>
                <w:tab w:val="left" w:pos="5400"/>
              </w:tabs>
              <w:spacing w:line="240" w:lineRule="auto"/>
              <w:rPr>
                <w:sz w:val="20"/>
              </w:rPr>
            </w:pPr>
            <w:r w:rsidRPr="00AC0A39">
              <w:rPr>
                <w:sz w:val="20"/>
              </w:rPr>
              <w:t>State specific objectives, including any prespecified hypotheses</w:t>
            </w:r>
          </w:p>
          <w:p w:rsidR="00077147" w:rsidRPr="00AC0A39" w:rsidRDefault="00077147" w:rsidP="00077147">
            <w:pPr>
              <w:tabs>
                <w:tab w:val="left" w:pos="5400"/>
              </w:tabs>
              <w:spacing w:line="240" w:lineRule="auto"/>
              <w:rPr>
                <w:sz w:val="20"/>
              </w:rPr>
            </w:pPr>
          </w:p>
          <w:p w:rsidR="00606B93" w:rsidRPr="00AC0A39" w:rsidRDefault="00606B93" w:rsidP="00077147">
            <w:pPr>
              <w:tabs>
                <w:tab w:val="left" w:pos="5400"/>
              </w:tabs>
              <w:spacing w:line="240" w:lineRule="auto"/>
              <w:rPr>
                <w:b/>
                <w:sz w:val="20"/>
              </w:rPr>
            </w:pPr>
            <w:r w:rsidRPr="00AC0A39">
              <w:rPr>
                <w:b/>
                <w:sz w:val="20"/>
              </w:rPr>
              <w:t>Text:</w:t>
            </w:r>
          </w:p>
          <w:p w:rsidR="00606B93" w:rsidRPr="00AC0A39" w:rsidRDefault="00606B93" w:rsidP="00350D5E">
            <w:pPr>
              <w:pStyle w:val="Normal1"/>
              <w:spacing w:line="240" w:lineRule="auto"/>
              <w:rPr>
                <w:rFonts w:ascii="Times New Roman" w:hAnsi="Times New Roman" w:cs="Times New Roman"/>
                <w:color w:val="000000" w:themeColor="text1"/>
                <w:sz w:val="20"/>
                <w:szCs w:val="20"/>
              </w:rPr>
            </w:pPr>
            <w:r w:rsidRPr="00AC0A39">
              <w:rPr>
                <w:rFonts w:ascii="Times New Roman" w:hAnsi="Times New Roman" w:cs="Times New Roman"/>
                <w:sz w:val="20"/>
                <w:szCs w:val="20"/>
              </w:rPr>
              <w:t>“</w:t>
            </w:r>
            <w:r w:rsidR="00AC0A39" w:rsidRPr="00AC0A39">
              <w:rPr>
                <w:rFonts w:ascii="Times New Roman" w:hAnsi="Times New Roman" w:cs="Times New Roman"/>
                <w:color w:val="000000" w:themeColor="text1"/>
                <w:sz w:val="20"/>
                <w:szCs w:val="20"/>
              </w:rPr>
              <w:t xml:space="preserve">In </w:t>
            </w:r>
            <w:r w:rsidR="00AC0A39" w:rsidRPr="00BC32CD">
              <w:rPr>
                <w:rFonts w:ascii="Times New Roman" w:hAnsi="Times New Roman" w:cs="Times New Roman"/>
                <w:color w:val="000000" w:themeColor="text1"/>
                <w:sz w:val="20"/>
                <w:szCs w:val="20"/>
              </w:rPr>
              <w:t xml:space="preserve">this study, we pooled data from 22 clinical trials in 33 countries </w:t>
            </w:r>
            <w:r w:rsidR="00BC32CD" w:rsidRPr="00BC32CD">
              <w:rPr>
                <w:rFonts w:ascii="Times New Roman" w:hAnsi="Times New Roman" w:cs="Times New Roman"/>
                <w:color w:val="000000" w:themeColor="text1"/>
                <w:sz w:val="20"/>
                <w:szCs w:val="20"/>
              </w:rPr>
              <w:t>(5 high, 13 moderately low, and 15 very low child mortality countries/territories)</w:t>
            </w:r>
            <w:r w:rsidR="00BC32CD" w:rsidRPr="00BC32CD">
              <w:rPr>
                <w:rFonts w:ascii="Times New Roman" w:hAnsi="Times New Roman" w:cs="Times New Roman"/>
                <w:color w:val="000000" w:themeColor="text1"/>
                <w:sz w:val="20"/>
                <w:szCs w:val="20"/>
              </w:rPr>
              <w:t xml:space="preserve"> t</w:t>
            </w:r>
            <w:r w:rsidR="00AC0A39" w:rsidRPr="00BC32CD">
              <w:rPr>
                <w:rFonts w:ascii="Times New Roman" w:hAnsi="Times New Roman" w:cs="Times New Roman"/>
                <w:color w:val="000000" w:themeColor="text1"/>
                <w:sz w:val="20"/>
                <w:szCs w:val="20"/>
              </w:rPr>
              <w:t xml:space="preserve">o identify a range of individual-level characteristics that contribute to RV1 vaccine immunogenicity measured via serum anti-rotavirus </w:t>
            </w:r>
            <w:r w:rsidR="00AC0A39" w:rsidRPr="00AC0A39">
              <w:rPr>
                <w:rFonts w:ascii="Times New Roman" w:hAnsi="Times New Roman" w:cs="Times New Roman"/>
                <w:color w:val="000000" w:themeColor="text1"/>
                <w:sz w:val="20"/>
                <w:szCs w:val="20"/>
              </w:rPr>
              <w:t>IgA in high and low child mortality settings controlling for individual and country-level factors.</w:t>
            </w:r>
            <w:r w:rsidRPr="00AC0A39">
              <w:rPr>
                <w:rFonts w:ascii="Times New Roman" w:hAnsi="Times New Roman" w:cs="Times New Roman"/>
                <w:color w:val="000000" w:themeColor="text1"/>
                <w:sz w:val="20"/>
                <w:szCs w:val="20"/>
              </w:rPr>
              <w:t>”</w:t>
            </w:r>
          </w:p>
          <w:p w:rsidR="00077147" w:rsidRPr="00AC0A39" w:rsidRDefault="00077147" w:rsidP="00077147">
            <w:pPr>
              <w:pStyle w:val="Normal1"/>
              <w:spacing w:line="240" w:lineRule="auto"/>
              <w:jc w:val="both"/>
              <w:rPr>
                <w:rFonts w:ascii="Times New Roman" w:hAnsi="Times New Roman" w:cs="Times New Roman"/>
                <w:color w:val="000000" w:themeColor="text1"/>
                <w:sz w:val="20"/>
                <w:szCs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606B93" w:rsidRPr="0022554A" w:rsidRDefault="00535F6E" w:rsidP="007B0F33">
            <w:pPr>
              <w:tabs>
                <w:tab w:val="left" w:pos="5400"/>
              </w:tabs>
              <w:spacing w:line="240" w:lineRule="auto"/>
              <w:rPr>
                <w:sz w:val="20"/>
              </w:rPr>
            </w:pPr>
            <w:r>
              <w:rPr>
                <w:sz w:val="20"/>
              </w:rPr>
              <w:t>Introduction, last paragraph</w:t>
            </w:r>
          </w:p>
        </w:tc>
      </w:tr>
      <w:tr w:rsidR="00F968F7" w:rsidRPr="0022554A" w:rsidTr="00521012">
        <w:tc>
          <w:tcPr>
            <w:tcW w:w="0" w:type="auto"/>
            <w:gridSpan w:val="4"/>
          </w:tcPr>
          <w:p w:rsidR="00F968F7" w:rsidRPr="00AC0A39" w:rsidRDefault="00F968F7" w:rsidP="00077147">
            <w:pPr>
              <w:pStyle w:val="TableSubHead"/>
              <w:tabs>
                <w:tab w:val="left" w:pos="5400"/>
              </w:tabs>
              <w:rPr>
                <w:sz w:val="20"/>
              </w:rPr>
            </w:pPr>
            <w:bookmarkStart w:id="21" w:name="bold11"/>
            <w:bookmarkStart w:id="22" w:name="italic12"/>
            <w:bookmarkEnd w:id="19"/>
            <w:bookmarkEnd w:id="20"/>
            <w:r w:rsidRPr="00AC0A39">
              <w:rPr>
                <w:sz w:val="20"/>
              </w:rPr>
              <w:lastRenderedPageBreak/>
              <w:t>Methods</w:t>
            </w:r>
            <w:bookmarkEnd w:id="21"/>
            <w:bookmarkEnd w:id="22"/>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23" w:name="bold12" w:colFirst="0" w:colLast="0"/>
            <w:bookmarkStart w:id="24" w:name="italic13" w:colFirst="0" w:colLast="0"/>
            <w:r w:rsidRPr="0022554A">
              <w:rPr>
                <w:bCs/>
                <w:sz w:val="20"/>
              </w:rPr>
              <w:t>Study design</w:t>
            </w:r>
          </w:p>
        </w:tc>
        <w:tc>
          <w:tcPr>
            <w:tcW w:w="654" w:type="dxa"/>
          </w:tcPr>
          <w:p w:rsidR="00F968F7" w:rsidRPr="0022554A" w:rsidRDefault="00F968F7" w:rsidP="00077147">
            <w:pPr>
              <w:tabs>
                <w:tab w:val="left" w:pos="5400"/>
              </w:tabs>
              <w:spacing w:line="240" w:lineRule="auto"/>
              <w:jc w:val="center"/>
              <w:rPr>
                <w:sz w:val="20"/>
              </w:rPr>
            </w:pPr>
            <w:r w:rsidRPr="0022554A">
              <w:rPr>
                <w:sz w:val="20"/>
              </w:rPr>
              <w:t>4</w:t>
            </w:r>
          </w:p>
        </w:tc>
        <w:tc>
          <w:tcPr>
            <w:tcW w:w="0" w:type="auto"/>
            <w:tcBorders>
              <w:right w:val="single" w:sz="4" w:space="0" w:color="auto"/>
            </w:tcBorders>
          </w:tcPr>
          <w:p w:rsidR="00F968F7" w:rsidRPr="00AC0A39" w:rsidRDefault="00F968F7" w:rsidP="00350D5E">
            <w:pPr>
              <w:tabs>
                <w:tab w:val="left" w:pos="5400"/>
              </w:tabs>
              <w:spacing w:line="240" w:lineRule="auto"/>
              <w:rPr>
                <w:sz w:val="20"/>
              </w:rPr>
            </w:pPr>
            <w:r w:rsidRPr="00AC0A39">
              <w:rPr>
                <w:sz w:val="20"/>
              </w:rPr>
              <w:t>Present key elements of study design early in the paper</w:t>
            </w:r>
          </w:p>
          <w:p w:rsidR="00077147" w:rsidRPr="00AC0A39" w:rsidRDefault="00077147" w:rsidP="00350D5E">
            <w:pPr>
              <w:tabs>
                <w:tab w:val="left" w:pos="5400"/>
              </w:tabs>
              <w:spacing w:line="240" w:lineRule="auto"/>
              <w:rPr>
                <w:sz w:val="20"/>
              </w:rPr>
            </w:pPr>
          </w:p>
          <w:p w:rsidR="00606B93" w:rsidRPr="00AC0A39" w:rsidRDefault="00606B93" w:rsidP="00350D5E">
            <w:pPr>
              <w:tabs>
                <w:tab w:val="left" w:pos="5400"/>
              </w:tabs>
              <w:spacing w:line="240" w:lineRule="auto"/>
              <w:rPr>
                <w:b/>
                <w:sz w:val="20"/>
              </w:rPr>
            </w:pPr>
            <w:r w:rsidRPr="00AC0A39">
              <w:rPr>
                <w:b/>
                <w:sz w:val="20"/>
              </w:rPr>
              <w:t>Text:</w:t>
            </w:r>
          </w:p>
          <w:p w:rsidR="00606B93" w:rsidRPr="00AC0A39" w:rsidRDefault="00606B93" w:rsidP="00350D5E">
            <w:pPr>
              <w:tabs>
                <w:tab w:val="left" w:pos="5400"/>
              </w:tabs>
              <w:spacing w:line="240" w:lineRule="auto"/>
              <w:rPr>
                <w:color w:val="000000" w:themeColor="text1"/>
                <w:sz w:val="20"/>
              </w:rPr>
            </w:pPr>
            <w:r w:rsidRPr="00AC0A39">
              <w:rPr>
                <w:sz w:val="20"/>
              </w:rPr>
              <w:t>“</w:t>
            </w:r>
            <w:r w:rsidR="00AC0A39" w:rsidRPr="00AC0A39">
              <w:rPr>
                <w:color w:val="000000" w:themeColor="text1"/>
                <w:sz w:val="20"/>
              </w:rPr>
              <w:t xml:space="preserve">We pooled individual-level data from infants </w:t>
            </w:r>
            <w:r w:rsidR="00535F6E">
              <w:rPr>
                <w:color w:val="000000" w:themeColor="text1"/>
                <w:sz w:val="20"/>
              </w:rPr>
              <w:t xml:space="preserve">(5-17 weeks of age) </w:t>
            </w:r>
            <w:r w:rsidR="00AC0A39" w:rsidRPr="00AC0A39">
              <w:rPr>
                <w:color w:val="000000" w:themeColor="text1"/>
                <w:sz w:val="20"/>
              </w:rPr>
              <w:t>enrolled in GSK’s phase II and III clinical trials of the RV1 vaccine initiated during 2000–2010 (Table 1).</w:t>
            </w:r>
            <w:r w:rsidR="0071459B" w:rsidRPr="00AC0A39">
              <w:rPr>
                <w:color w:val="000000" w:themeColor="text1"/>
                <w:sz w:val="20"/>
              </w:rPr>
              <w:t>”</w:t>
            </w:r>
          </w:p>
          <w:p w:rsidR="00077147" w:rsidRPr="00AC0A39" w:rsidRDefault="00077147" w:rsidP="00350D5E">
            <w:pPr>
              <w:tabs>
                <w:tab w:val="left" w:pos="5400"/>
              </w:tabs>
              <w:spacing w:line="240" w:lineRule="auto"/>
              <w:rPr>
                <w:color w:val="000000" w:themeColor="text1"/>
                <w:sz w:val="20"/>
              </w:rPr>
            </w:pPr>
          </w:p>
          <w:p w:rsidR="0071459B" w:rsidRPr="00AC0A39" w:rsidRDefault="0071459B" w:rsidP="00350D5E">
            <w:pPr>
              <w:tabs>
                <w:tab w:val="left" w:pos="5400"/>
              </w:tabs>
              <w:spacing w:line="240" w:lineRule="auto"/>
              <w:rPr>
                <w:color w:val="000000" w:themeColor="text1"/>
                <w:sz w:val="20"/>
              </w:rPr>
            </w:pPr>
            <w:r w:rsidRPr="00AC0A39">
              <w:rPr>
                <w:sz w:val="20"/>
              </w:rPr>
              <w:t>“</w:t>
            </w:r>
            <w:r w:rsidR="00AC0A39" w:rsidRPr="00AC0A39">
              <w:rPr>
                <w:color w:val="000000" w:themeColor="text1"/>
                <w:sz w:val="20"/>
              </w:rPr>
              <w:t>The 22 trials included were randomized, double-blind, placebo-controlled trials conducted in a total of 33 countries/territories including 5 high, 13 moderately low, and 15 very low child mortality countries (Fig 1).  The child mortality strata categories were based on 2004 under 5 mortality rates as previously described (Table S1)</w:t>
            </w:r>
            <w:r w:rsidR="00535F6E">
              <w:rPr>
                <w:color w:val="000000" w:themeColor="text1"/>
                <w:sz w:val="20"/>
              </w:rPr>
              <w:t xml:space="preserve"> </w:t>
            </w:r>
            <w:r w:rsidR="00AC0A39" w:rsidRPr="00AC0A39">
              <w:rPr>
                <w:color w:val="000000" w:themeColor="text1"/>
                <w:sz w:val="20"/>
              </w:rPr>
              <w:fldChar w:fldCharType="begin"/>
            </w:r>
            <w:r w:rsidR="00AC0A39" w:rsidRPr="00AC0A39">
              <w:rPr>
                <w:color w:val="000000" w:themeColor="text1"/>
                <w:sz w:val="20"/>
              </w:rPr>
              <w:instrText xml:space="preserve"> ADDIN ZOTERO_ITEM CSL_CITATION {"citationID":"y1Fhw6l6","properties":{"formattedCitation":"[40,41]","plainCitation":"[40,41]","noteIndex":0},"citationItems":[{"id":33,"uris":["http://zotero.org/users/2581824/items/VUNE6SJP"],"uri":["http://zotero.org/users/2581824/items/VUNE6SJP"],"itemData":{"id":33,"type":"article","title":"List of Member States by WHO region and mortality stratum","publisher":"World Health Organization","URL":"http://www.who.int.proxy.library.emory.edu/whr/2003/en/member_states_182-184_en.pdf","author":[{"family":"World Health Organization","given":""}],"accessed":{"date-parts":[["2017",8,12]]}}},{"id":457,"uris":["http://zotero.org/users/2581824/items/C4IVBGGN"],"uri":["http://zotero.org/users/2581824/items/C4IVBGGN"],"itemData":{"id":457,"type":"webpage","title":"The UN Inter-agency Group for Child Mortality Estimation released the latest estimates on child mortality among children under age 5 and children aged 5-14.","container-title":"Child Mortality Estimates- CME Info","URL":"http://www.childmortality.org/","author":[{"family":"UNICEF","given":""}],"issued":{"date-parts":[["2015",9,9]]},"accessed":{"date-parts":[["2019",1,18]]}}}],"schema":"https://github.com/citation-style-language/schema/raw/master/csl-citation.json"} </w:instrText>
            </w:r>
            <w:r w:rsidR="00AC0A39" w:rsidRPr="00AC0A39">
              <w:rPr>
                <w:color w:val="000000" w:themeColor="text1"/>
                <w:sz w:val="20"/>
              </w:rPr>
              <w:fldChar w:fldCharType="separate"/>
            </w:r>
            <w:r w:rsidR="00AC0A39" w:rsidRPr="00AC0A39">
              <w:rPr>
                <w:sz w:val="20"/>
              </w:rPr>
              <w:t>[40,41]</w:t>
            </w:r>
            <w:r w:rsidR="00AC0A39" w:rsidRPr="00AC0A39">
              <w:rPr>
                <w:color w:val="000000" w:themeColor="text1"/>
                <w:sz w:val="20"/>
              </w:rPr>
              <w:fldChar w:fldCharType="end"/>
            </w:r>
            <w:r w:rsidR="00535F6E">
              <w:rPr>
                <w:color w:val="000000" w:themeColor="text1"/>
                <w:sz w:val="20"/>
              </w:rPr>
              <w:t>.</w:t>
            </w:r>
            <w:r w:rsidR="00AC0A39" w:rsidRPr="00AC0A39">
              <w:rPr>
                <w:color w:val="000000" w:themeColor="text1"/>
                <w:sz w:val="20"/>
              </w:rPr>
              <w:t xml:space="preserve">  Moderately low and very low child mortality settings were combined and categorized as “low” child mortality for the primary analyses.</w:t>
            </w:r>
            <w:r w:rsidRPr="00AC0A39">
              <w:rPr>
                <w:color w:val="000000" w:themeColor="text1"/>
                <w:sz w:val="20"/>
              </w:rPr>
              <w:t>”</w:t>
            </w:r>
          </w:p>
          <w:p w:rsidR="00077147" w:rsidRPr="00AC0A39" w:rsidRDefault="00077147" w:rsidP="00350D5E">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E813B5" w:rsidRDefault="00E813B5"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E813B5" w:rsidRDefault="00535F6E" w:rsidP="00077147">
            <w:pPr>
              <w:tabs>
                <w:tab w:val="left" w:pos="5400"/>
              </w:tabs>
              <w:spacing w:line="240" w:lineRule="auto"/>
              <w:rPr>
                <w:sz w:val="20"/>
              </w:rPr>
            </w:pPr>
            <w:r>
              <w:rPr>
                <w:sz w:val="20"/>
              </w:rPr>
              <w:t>Methods, 1</w:t>
            </w:r>
            <w:r w:rsidRPr="00535F6E">
              <w:rPr>
                <w:sz w:val="20"/>
                <w:vertAlign w:val="superscript"/>
              </w:rPr>
              <w:t>st</w:t>
            </w:r>
            <w:r>
              <w:rPr>
                <w:sz w:val="20"/>
              </w:rPr>
              <w:t xml:space="preserve"> paragraph</w:t>
            </w:r>
          </w:p>
          <w:p w:rsidR="00E813B5" w:rsidRDefault="00E813B5"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535F6E" w:rsidRDefault="00535F6E" w:rsidP="00535F6E">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E813B5" w:rsidRPr="0022554A" w:rsidRDefault="00E813B5" w:rsidP="007B0F33">
            <w:pPr>
              <w:tabs>
                <w:tab w:val="left" w:pos="5400"/>
              </w:tabs>
              <w:spacing w:line="240" w:lineRule="auto"/>
              <w:rPr>
                <w:sz w:val="20"/>
              </w:rPr>
            </w:pPr>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25" w:name="bold13" w:colFirst="0" w:colLast="0"/>
            <w:bookmarkStart w:id="26" w:name="italic14" w:colFirst="0" w:colLast="0"/>
            <w:bookmarkEnd w:id="23"/>
            <w:bookmarkEnd w:id="24"/>
            <w:r w:rsidRPr="0022554A">
              <w:rPr>
                <w:bCs/>
                <w:sz w:val="20"/>
              </w:rPr>
              <w:t>Setting</w:t>
            </w:r>
          </w:p>
        </w:tc>
        <w:tc>
          <w:tcPr>
            <w:tcW w:w="654" w:type="dxa"/>
          </w:tcPr>
          <w:p w:rsidR="00F968F7" w:rsidRPr="0022554A" w:rsidRDefault="00F968F7" w:rsidP="00077147">
            <w:pPr>
              <w:tabs>
                <w:tab w:val="left" w:pos="5400"/>
              </w:tabs>
              <w:spacing w:line="240" w:lineRule="auto"/>
              <w:jc w:val="center"/>
              <w:rPr>
                <w:sz w:val="20"/>
              </w:rPr>
            </w:pPr>
            <w:r w:rsidRPr="0022554A">
              <w:rPr>
                <w:sz w:val="20"/>
              </w:rPr>
              <w:t>5</w:t>
            </w:r>
          </w:p>
        </w:tc>
        <w:tc>
          <w:tcPr>
            <w:tcW w:w="0" w:type="auto"/>
            <w:tcBorders>
              <w:right w:val="single" w:sz="4" w:space="0" w:color="auto"/>
            </w:tcBorders>
          </w:tcPr>
          <w:p w:rsidR="00F968F7" w:rsidRPr="00AC0A39" w:rsidRDefault="00F968F7" w:rsidP="00077147">
            <w:pPr>
              <w:tabs>
                <w:tab w:val="left" w:pos="5400"/>
              </w:tabs>
              <w:spacing w:line="240" w:lineRule="auto"/>
              <w:rPr>
                <w:sz w:val="20"/>
              </w:rPr>
            </w:pPr>
            <w:r w:rsidRPr="00AC0A39">
              <w:rPr>
                <w:sz w:val="20"/>
              </w:rPr>
              <w:t>Describe the setting, locations, and relevant dates, including periods of recruitment, exposure, follow-up, and data collection</w:t>
            </w:r>
          </w:p>
          <w:p w:rsidR="00077147" w:rsidRPr="00AC0A39" w:rsidRDefault="00077147" w:rsidP="00077147">
            <w:pPr>
              <w:tabs>
                <w:tab w:val="left" w:pos="5400"/>
              </w:tabs>
              <w:spacing w:line="240" w:lineRule="auto"/>
              <w:rPr>
                <w:sz w:val="20"/>
              </w:rPr>
            </w:pPr>
          </w:p>
          <w:p w:rsidR="00E813B5" w:rsidRPr="00AC0A39" w:rsidRDefault="00E813B5" w:rsidP="00077147">
            <w:pPr>
              <w:tabs>
                <w:tab w:val="left" w:pos="5400"/>
              </w:tabs>
              <w:spacing w:line="240" w:lineRule="auto"/>
              <w:rPr>
                <w:b/>
                <w:sz w:val="20"/>
              </w:rPr>
            </w:pPr>
            <w:r w:rsidRPr="00AC0A39">
              <w:rPr>
                <w:b/>
                <w:sz w:val="20"/>
              </w:rPr>
              <w:t>Text:</w:t>
            </w:r>
          </w:p>
          <w:p w:rsidR="00E813B5" w:rsidRPr="00AC0A39" w:rsidRDefault="00E813B5" w:rsidP="00077147">
            <w:pPr>
              <w:tabs>
                <w:tab w:val="left" w:pos="5400"/>
              </w:tabs>
              <w:spacing w:line="240" w:lineRule="auto"/>
              <w:rPr>
                <w:color w:val="000000" w:themeColor="text1"/>
                <w:sz w:val="20"/>
              </w:rPr>
            </w:pPr>
            <w:r w:rsidRPr="00AC0A39">
              <w:rPr>
                <w:sz w:val="20"/>
              </w:rPr>
              <w:t>“</w:t>
            </w:r>
            <w:r w:rsidR="00AC0A39" w:rsidRPr="00AC0A39">
              <w:rPr>
                <w:color w:val="000000" w:themeColor="text1"/>
                <w:sz w:val="20"/>
              </w:rPr>
              <w:t>We pooled individual-level data from infants</w:t>
            </w:r>
            <w:r w:rsidR="00535F6E">
              <w:rPr>
                <w:color w:val="000000" w:themeColor="text1"/>
                <w:sz w:val="20"/>
              </w:rPr>
              <w:t xml:space="preserve"> (5-17 weeks of age)</w:t>
            </w:r>
            <w:r w:rsidR="00AC0A39" w:rsidRPr="00AC0A39">
              <w:rPr>
                <w:color w:val="000000" w:themeColor="text1"/>
                <w:sz w:val="20"/>
              </w:rPr>
              <w:t xml:space="preserve"> enrolled in GSK’s phase II and III clinical trials of the RV1 vaccine initiated during 2000–2010 (Table 1).</w:t>
            </w:r>
            <w:r w:rsidRPr="00AC0A39">
              <w:rPr>
                <w:color w:val="000000" w:themeColor="text1"/>
                <w:sz w:val="20"/>
              </w:rPr>
              <w:t>”</w:t>
            </w:r>
          </w:p>
          <w:p w:rsidR="00077147" w:rsidRPr="00AC0A39" w:rsidRDefault="00077147" w:rsidP="00077147">
            <w:pPr>
              <w:tabs>
                <w:tab w:val="left" w:pos="5400"/>
              </w:tabs>
              <w:spacing w:line="240" w:lineRule="auto"/>
              <w:rPr>
                <w:color w:val="000000" w:themeColor="text1"/>
                <w:sz w:val="20"/>
              </w:rPr>
            </w:pPr>
          </w:p>
          <w:p w:rsidR="00E813B5" w:rsidRPr="00AC0A39" w:rsidRDefault="00E813B5" w:rsidP="00077147">
            <w:pPr>
              <w:tabs>
                <w:tab w:val="left" w:pos="5400"/>
              </w:tabs>
              <w:spacing w:line="240" w:lineRule="auto"/>
              <w:rPr>
                <w:color w:val="000000" w:themeColor="text1"/>
                <w:sz w:val="20"/>
              </w:rPr>
            </w:pPr>
            <w:r w:rsidRPr="00AC0A39">
              <w:rPr>
                <w:sz w:val="20"/>
              </w:rPr>
              <w:t>“</w:t>
            </w:r>
            <w:r w:rsidR="00AC0A39" w:rsidRPr="00AC0A39">
              <w:rPr>
                <w:color w:val="000000" w:themeColor="text1"/>
                <w:sz w:val="20"/>
              </w:rPr>
              <w:t>The 22 trials included were randomized, double-blind, placebo-controlled trials conducted in a total of 33 countries/territories including 5 high, 13 moderately low, and 15 very low child mortality countries (Fig 1).</w:t>
            </w:r>
            <w:r w:rsidRPr="00AC0A39">
              <w:rPr>
                <w:color w:val="000000" w:themeColor="text1"/>
                <w:sz w:val="20"/>
              </w:rPr>
              <w:t>”</w:t>
            </w:r>
          </w:p>
          <w:p w:rsidR="00077147" w:rsidRPr="00AC0A39" w:rsidRDefault="00077147" w:rsidP="00AC0A39">
            <w:pPr>
              <w:tabs>
                <w:tab w:val="left" w:pos="5400"/>
              </w:tabs>
              <w:spacing w:line="240" w:lineRule="auto"/>
              <w:rPr>
                <w:color w:val="000000" w:themeColor="text1"/>
                <w:sz w:val="20"/>
              </w:rPr>
            </w:pPr>
          </w:p>
          <w:p w:rsidR="00E813B5" w:rsidRPr="00AC0A39" w:rsidRDefault="00E813B5" w:rsidP="00AC0A39">
            <w:pPr>
              <w:spacing w:line="240" w:lineRule="auto"/>
              <w:rPr>
                <w:color w:val="000000" w:themeColor="text1"/>
                <w:sz w:val="20"/>
              </w:rPr>
            </w:pPr>
            <w:r w:rsidRPr="00AC0A39">
              <w:rPr>
                <w:color w:val="000000" w:themeColor="text1"/>
                <w:sz w:val="20"/>
              </w:rPr>
              <w:t>“</w:t>
            </w:r>
            <w:r w:rsidR="00AC0A39" w:rsidRPr="00AC0A39">
              <w:rPr>
                <w:color w:val="000000" w:themeColor="text1"/>
                <w:sz w:val="20"/>
              </w:rPr>
              <w:t>Lastly, infants who had serum sample collection approximately 4-12 weeks from receipt of his/her last rotavirus vaccine dose were included (n = 7,298).</w:t>
            </w:r>
            <w:r w:rsidRPr="00AC0A39">
              <w:rPr>
                <w:color w:val="000000" w:themeColor="text1"/>
                <w:sz w:val="20"/>
              </w:rPr>
              <w:t>”</w:t>
            </w:r>
          </w:p>
          <w:p w:rsidR="00077147" w:rsidRPr="00AC0A39" w:rsidRDefault="00077147" w:rsidP="00077147">
            <w:pPr>
              <w:spacing w:line="240" w:lineRule="auto"/>
              <w:rPr>
                <w:color w:val="000000" w:themeColor="text1"/>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E813B5" w:rsidRDefault="00E813B5" w:rsidP="00077147">
            <w:pPr>
              <w:tabs>
                <w:tab w:val="left" w:pos="5400"/>
              </w:tabs>
              <w:spacing w:line="240" w:lineRule="auto"/>
              <w:rPr>
                <w:sz w:val="20"/>
              </w:rPr>
            </w:pPr>
          </w:p>
          <w:p w:rsidR="00E813B5" w:rsidRDefault="00E813B5"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535F6E" w:rsidRDefault="00535F6E" w:rsidP="00535F6E">
            <w:pPr>
              <w:tabs>
                <w:tab w:val="left" w:pos="5400"/>
              </w:tabs>
              <w:spacing w:line="240" w:lineRule="auto"/>
              <w:rPr>
                <w:sz w:val="20"/>
              </w:rPr>
            </w:pPr>
            <w:r>
              <w:rPr>
                <w:sz w:val="20"/>
              </w:rPr>
              <w:t>Methods, 1</w:t>
            </w:r>
            <w:r w:rsidRPr="00535F6E">
              <w:rPr>
                <w:sz w:val="20"/>
                <w:vertAlign w:val="superscript"/>
              </w:rPr>
              <w:t>st</w:t>
            </w:r>
            <w:r>
              <w:rPr>
                <w:sz w:val="20"/>
              </w:rPr>
              <w:t xml:space="preserve"> paragraph</w:t>
            </w:r>
          </w:p>
          <w:p w:rsidR="00E813B5" w:rsidRDefault="00E813B5" w:rsidP="00077147">
            <w:pPr>
              <w:tabs>
                <w:tab w:val="left" w:pos="5400"/>
              </w:tabs>
              <w:spacing w:line="240" w:lineRule="auto"/>
              <w:rPr>
                <w:sz w:val="20"/>
              </w:rPr>
            </w:pPr>
          </w:p>
          <w:p w:rsidR="00E813B5" w:rsidRDefault="00E813B5" w:rsidP="00077147">
            <w:pPr>
              <w:tabs>
                <w:tab w:val="left" w:pos="5400"/>
              </w:tabs>
              <w:spacing w:line="240" w:lineRule="auto"/>
              <w:rPr>
                <w:sz w:val="20"/>
              </w:rPr>
            </w:pPr>
          </w:p>
          <w:p w:rsidR="00535F6E" w:rsidRDefault="00535F6E" w:rsidP="00535F6E">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E813B5" w:rsidRDefault="00E813B5" w:rsidP="00077147">
            <w:pPr>
              <w:tabs>
                <w:tab w:val="left" w:pos="5400"/>
              </w:tabs>
              <w:spacing w:line="240" w:lineRule="auto"/>
              <w:rPr>
                <w:sz w:val="20"/>
              </w:rPr>
            </w:pPr>
          </w:p>
          <w:p w:rsidR="00E813B5" w:rsidRDefault="00E813B5" w:rsidP="00077147">
            <w:pPr>
              <w:tabs>
                <w:tab w:val="left" w:pos="5400"/>
              </w:tabs>
              <w:spacing w:line="240" w:lineRule="auto"/>
              <w:rPr>
                <w:sz w:val="20"/>
              </w:rPr>
            </w:pPr>
          </w:p>
          <w:p w:rsidR="00E813B5" w:rsidRDefault="00E813B5" w:rsidP="00077147">
            <w:pPr>
              <w:tabs>
                <w:tab w:val="left" w:pos="5400"/>
              </w:tabs>
              <w:spacing w:line="240" w:lineRule="auto"/>
              <w:rPr>
                <w:sz w:val="20"/>
              </w:rPr>
            </w:pPr>
          </w:p>
          <w:p w:rsidR="00535F6E" w:rsidRDefault="00535F6E" w:rsidP="00535F6E">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E813B5" w:rsidRPr="0022554A" w:rsidRDefault="00E813B5" w:rsidP="007B0F33">
            <w:pPr>
              <w:tabs>
                <w:tab w:val="left" w:pos="5400"/>
              </w:tabs>
              <w:spacing w:line="240" w:lineRule="auto"/>
              <w:rPr>
                <w:sz w:val="20"/>
              </w:rPr>
            </w:pPr>
          </w:p>
        </w:tc>
      </w:tr>
      <w:bookmarkEnd w:id="25"/>
      <w:bookmarkEnd w:id="26"/>
      <w:tr w:rsidR="00606B93" w:rsidRPr="0022554A" w:rsidTr="00606B93">
        <w:tc>
          <w:tcPr>
            <w:tcW w:w="2010" w:type="dxa"/>
          </w:tcPr>
          <w:p w:rsidR="00F968F7" w:rsidRPr="0022554A" w:rsidRDefault="00F968F7" w:rsidP="00077147">
            <w:pPr>
              <w:tabs>
                <w:tab w:val="left" w:pos="5400"/>
              </w:tabs>
              <w:spacing w:line="240" w:lineRule="auto"/>
              <w:rPr>
                <w:bCs/>
                <w:sz w:val="20"/>
              </w:rPr>
            </w:pPr>
            <w:r w:rsidRPr="0022554A">
              <w:rPr>
                <w:bCs/>
                <w:sz w:val="20"/>
              </w:rPr>
              <w:t>Participants</w:t>
            </w:r>
          </w:p>
        </w:tc>
        <w:tc>
          <w:tcPr>
            <w:tcW w:w="654" w:type="dxa"/>
          </w:tcPr>
          <w:p w:rsidR="00F968F7" w:rsidRPr="0022554A" w:rsidRDefault="00F968F7" w:rsidP="00077147">
            <w:pPr>
              <w:tabs>
                <w:tab w:val="left" w:pos="5400"/>
              </w:tabs>
              <w:spacing w:line="240" w:lineRule="auto"/>
              <w:jc w:val="center"/>
              <w:rPr>
                <w:sz w:val="20"/>
              </w:rPr>
            </w:pPr>
            <w:r w:rsidRPr="0022554A">
              <w:rPr>
                <w:sz w:val="20"/>
              </w:rPr>
              <w:t>6</w:t>
            </w:r>
          </w:p>
        </w:tc>
        <w:tc>
          <w:tcPr>
            <w:tcW w:w="0" w:type="auto"/>
            <w:tcBorders>
              <w:right w:val="single" w:sz="4" w:space="0" w:color="auto"/>
            </w:tcBorders>
          </w:tcPr>
          <w:p w:rsidR="00F968F7" w:rsidRPr="00AC0A39" w:rsidRDefault="00E813B5" w:rsidP="00077147">
            <w:pPr>
              <w:tabs>
                <w:tab w:val="left" w:pos="5400"/>
              </w:tabs>
              <w:spacing w:line="240" w:lineRule="auto"/>
              <w:rPr>
                <w:sz w:val="20"/>
              </w:rPr>
            </w:pPr>
            <w:r w:rsidRPr="00AC0A39">
              <w:rPr>
                <w:i/>
                <w:sz w:val="20"/>
              </w:rPr>
              <w:t>(</w:t>
            </w:r>
            <w:r w:rsidRPr="00AC0A39">
              <w:rPr>
                <w:sz w:val="20"/>
              </w:rPr>
              <w:t xml:space="preserve">a) </w:t>
            </w:r>
            <w:r w:rsidR="00F968F7" w:rsidRPr="00AC0A39">
              <w:rPr>
                <w:sz w:val="20"/>
              </w:rPr>
              <w:t>Give the eligibility criteria, and the sources and methods of selection of participants</w:t>
            </w:r>
          </w:p>
          <w:p w:rsidR="00077147" w:rsidRPr="00F17A68" w:rsidRDefault="00077147" w:rsidP="00077147">
            <w:pPr>
              <w:spacing w:line="240" w:lineRule="auto"/>
              <w:rPr>
                <w:sz w:val="20"/>
              </w:rPr>
            </w:pPr>
          </w:p>
          <w:p w:rsidR="00E813B5" w:rsidRPr="00F17A68" w:rsidRDefault="00E813B5" w:rsidP="00077147">
            <w:pPr>
              <w:spacing w:line="240" w:lineRule="auto"/>
              <w:rPr>
                <w:b/>
                <w:sz w:val="20"/>
              </w:rPr>
            </w:pPr>
            <w:r w:rsidRPr="00F17A68">
              <w:rPr>
                <w:b/>
                <w:sz w:val="20"/>
              </w:rPr>
              <w:t>Text:</w:t>
            </w:r>
          </w:p>
          <w:p w:rsidR="00E813B5" w:rsidRPr="00F17A68" w:rsidRDefault="00E813B5" w:rsidP="00077147">
            <w:pPr>
              <w:spacing w:line="240" w:lineRule="auto"/>
              <w:rPr>
                <w:color w:val="000000" w:themeColor="text1"/>
                <w:sz w:val="20"/>
              </w:rPr>
            </w:pPr>
            <w:r w:rsidRPr="00F17A68">
              <w:rPr>
                <w:color w:val="000000" w:themeColor="text1"/>
                <w:sz w:val="20"/>
              </w:rPr>
              <w:t>“</w:t>
            </w:r>
            <w:r w:rsidR="00F17A68" w:rsidRPr="00F17A68">
              <w:rPr>
                <w:color w:val="000000" w:themeColor="text1"/>
                <w:sz w:val="20"/>
              </w:rPr>
              <w:t xml:space="preserve">Since the primary aim of the analysis was to examine factors associated with </w:t>
            </w:r>
            <w:r w:rsidR="00F17A68" w:rsidRPr="00F17A68">
              <w:rPr>
                <w:sz w:val="20"/>
              </w:rPr>
              <w:t>rotavirus</w:t>
            </w:r>
            <w:r w:rsidR="00F17A68" w:rsidRPr="00F17A68">
              <w:rPr>
                <w:color w:val="000000" w:themeColor="text1"/>
                <w:sz w:val="20"/>
              </w:rPr>
              <w:t xml:space="preserve"> vaccine immunogenicity, data were limited to trial participants who received RV1 (n = 53,292, placebo groups excluded).  Data were further restricted to infants whose trial participation was completed according to protocol (classified by GSK) and who participated in the </w:t>
            </w:r>
            <w:r w:rsidR="00F17A68" w:rsidRPr="00F17A68">
              <w:rPr>
                <w:sz w:val="20"/>
              </w:rPr>
              <w:t>rotavirus</w:t>
            </w:r>
            <w:r w:rsidR="00F17A68" w:rsidRPr="00F17A68">
              <w:rPr>
                <w:color w:val="000000" w:themeColor="text1"/>
                <w:sz w:val="20"/>
              </w:rPr>
              <w:t xml:space="preserve"> immunogenicity sub-studies of the trials (n = 8,309). Lastly, infants who had serum sample collection approximately 4-12 weeks from receipt of his/her last rotavirus vaccine dose were included (n = 7,298).</w:t>
            </w:r>
            <w:r w:rsidR="00077147" w:rsidRPr="00F17A68">
              <w:rPr>
                <w:color w:val="000000" w:themeColor="text1"/>
                <w:sz w:val="20"/>
              </w:rPr>
              <w:t>”</w:t>
            </w:r>
          </w:p>
          <w:p w:rsidR="00077147" w:rsidRPr="00AC0A39" w:rsidRDefault="00077147" w:rsidP="00077147">
            <w:pPr>
              <w:spacing w:line="240" w:lineRule="auto"/>
              <w:rPr>
                <w:color w:val="000000" w:themeColor="text1"/>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65592C" w:rsidRDefault="0065592C" w:rsidP="0065592C">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077147" w:rsidRPr="0022554A" w:rsidRDefault="00077147" w:rsidP="007B0F33">
            <w:pPr>
              <w:tabs>
                <w:tab w:val="left" w:pos="5400"/>
              </w:tabs>
              <w:spacing w:line="240" w:lineRule="auto"/>
              <w:rPr>
                <w:sz w:val="20"/>
              </w:rPr>
            </w:pPr>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27" w:name="bold16" w:colFirst="0" w:colLast="0"/>
            <w:bookmarkStart w:id="28" w:name="italic17" w:colFirst="0" w:colLast="0"/>
            <w:r w:rsidRPr="0022554A">
              <w:rPr>
                <w:bCs/>
                <w:sz w:val="20"/>
              </w:rPr>
              <w:t>Variables</w:t>
            </w:r>
          </w:p>
        </w:tc>
        <w:tc>
          <w:tcPr>
            <w:tcW w:w="654" w:type="dxa"/>
          </w:tcPr>
          <w:p w:rsidR="00F968F7" w:rsidRPr="0022554A" w:rsidRDefault="00F968F7" w:rsidP="00077147">
            <w:pPr>
              <w:tabs>
                <w:tab w:val="left" w:pos="5400"/>
              </w:tabs>
              <w:spacing w:line="240" w:lineRule="auto"/>
              <w:jc w:val="center"/>
              <w:rPr>
                <w:sz w:val="20"/>
              </w:rPr>
            </w:pPr>
            <w:r w:rsidRPr="0022554A">
              <w:rPr>
                <w:sz w:val="20"/>
              </w:rPr>
              <w:t>7</w:t>
            </w:r>
          </w:p>
        </w:tc>
        <w:tc>
          <w:tcPr>
            <w:tcW w:w="0" w:type="auto"/>
            <w:tcBorders>
              <w:right w:val="single" w:sz="4" w:space="0" w:color="auto"/>
            </w:tcBorders>
          </w:tcPr>
          <w:p w:rsidR="00F968F7" w:rsidRPr="00077147" w:rsidRDefault="00F968F7" w:rsidP="00077147">
            <w:pPr>
              <w:tabs>
                <w:tab w:val="left" w:pos="5400"/>
              </w:tabs>
              <w:spacing w:line="240" w:lineRule="auto"/>
              <w:rPr>
                <w:sz w:val="20"/>
              </w:rPr>
            </w:pPr>
            <w:r w:rsidRPr="00077147">
              <w:rPr>
                <w:sz w:val="20"/>
              </w:rPr>
              <w:t>Clearly define all outcomes, exposures, predictors, potential confounders, and effect modifiers. Give diagnostic criteria, if applicable</w:t>
            </w:r>
          </w:p>
          <w:p w:rsidR="00077147" w:rsidRPr="00F17A68" w:rsidRDefault="00077147" w:rsidP="00077147">
            <w:pPr>
              <w:tabs>
                <w:tab w:val="left" w:pos="5400"/>
              </w:tabs>
              <w:spacing w:line="240" w:lineRule="auto"/>
              <w:rPr>
                <w:sz w:val="20"/>
              </w:rPr>
            </w:pPr>
          </w:p>
          <w:p w:rsidR="00077147" w:rsidRPr="00F17A68" w:rsidRDefault="00077147" w:rsidP="00077147">
            <w:pPr>
              <w:tabs>
                <w:tab w:val="left" w:pos="5400"/>
              </w:tabs>
              <w:spacing w:line="240" w:lineRule="auto"/>
              <w:rPr>
                <w:b/>
                <w:sz w:val="20"/>
              </w:rPr>
            </w:pPr>
            <w:r w:rsidRPr="00F17A68">
              <w:rPr>
                <w:b/>
                <w:sz w:val="20"/>
              </w:rPr>
              <w:t>Text:</w:t>
            </w:r>
          </w:p>
          <w:p w:rsidR="00077147" w:rsidRPr="00F17A68" w:rsidRDefault="00077147" w:rsidP="00077147">
            <w:pPr>
              <w:tabs>
                <w:tab w:val="left" w:pos="5400"/>
              </w:tabs>
              <w:spacing w:line="240" w:lineRule="auto"/>
              <w:rPr>
                <w:b/>
                <w:sz w:val="20"/>
              </w:rPr>
            </w:pPr>
            <w:r w:rsidRPr="00F17A68">
              <w:rPr>
                <w:b/>
                <w:sz w:val="20"/>
              </w:rPr>
              <w:t>“</w:t>
            </w:r>
            <w:r w:rsidR="00F17A68" w:rsidRPr="00F17A68">
              <w:rPr>
                <w:color w:val="000000" w:themeColor="text1"/>
                <w:sz w:val="20"/>
              </w:rPr>
              <w:t>The child mortality strata categories were based on 2004 under 5 mortality rates as previously described (Table S1)</w:t>
            </w:r>
            <w:r w:rsidR="0065592C">
              <w:rPr>
                <w:color w:val="000000" w:themeColor="text1"/>
                <w:sz w:val="20"/>
              </w:rPr>
              <w:t xml:space="preserve"> </w:t>
            </w:r>
            <w:r w:rsidR="00F17A68" w:rsidRPr="00F17A68">
              <w:rPr>
                <w:color w:val="000000" w:themeColor="text1"/>
                <w:sz w:val="20"/>
              </w:rPr>
              <w:fldChar w:fldCharType="begin"/>
            </w:r>
            <w:r w:rsidR="00F17A68" w:rsidRPr="00F17A68">
              <w:rPr>
                <w:color w:val="000000" w:themeColor="text1"/>
                <w:sz w:val="20"/>
              </w:rPr>
              <w:instrText xml:space="preserve"> ADDIN ZOTERO_ITEM CSL_CITATION {"citationID":"y1Fhw6l6","properties":{"formattedCitation":"[40,41]","plainCitation":"[40,41]","noteIndex":0},"citationItems":[{"id":33,"uris":["http://zotero.org/users/2581824/items/VUNE6SJP"],"uri":["http://zotero.org/users/2581824/items/VUNE6SJP"],"itemData":{"id":33,"type":"article","title":"List of Member States by WHO region and mortality stratum","publisher":"World Health Organization","URL":"http://www.who.int.proxy.library.emory.edu/whr/2003/en/member_states_182-184_en.pdf","author":[{"family":"World Health Organization","given":""}],"accessed":{"date-parts":[["2017",8,12]]}}},{"id":457,"uris":["http://zotero.org/users/2581824/items/C4IVBGGN"],"uri":["http://zotero.org/users/2581824/items/C4IVBGGN"],"itemData":{"id":457,"type":"webpage","title":"The UN Inter-agency Group for Child Mortality Estimation released the latest estimates on child mortality among children under age 5 and children aged 5-14.","container-title":"Child Mortality Estimates- CME Info","URL":"http://www.childmortality.org/","author":[{"family":"UNICEF","given":""}],"issued":{"date-parts":[["2015",9,9]]},"accessed":{"date-parts":[["2019",1,18]]}}}],"schema":"https://github.com/citation-style-language/schema/raw/master/csl-citation.json"} </w:instrText>
            </w:r>
            <w:r w:rsidR="00F17A68" w:rsidRPr="00F17A68">
              <w:rPr>
                <w:color w:val="000000" w:themeColor="text1"/>
                <w:sz w:val="20"/>
              </w:rPr>
              <w:fldChar w:fldCharType="separate"/>
            </w:r>
            <w:r w:rsidR="00F17A68" w:rsidRPr="00F17A68">
              <w:rPr>
                <w:sz w:val="20"/>
              </w:rPr>
              <w:t>[40,41]</w:t>
            </w:r>
            <w:r w:rsidR="00F17A68" w:rsidRPr="00F17A68">
              <w:rPr>
                <w:color w:val="000000" w:themeColor="text1"/>
                <w:sz w:val="20"/>
              </w:rPr>
              <w:fldChar w:fldCharType="end"/>
            </w:r>
            <w:r w:rsidR="0065592C">
              <w:rPr>
                <w:color w:val="000000" w:themeColor="text1"/>
                <w:sz w:val="20"/>
              </w:rPr>
              <w:t>.</w:t>
            </w:r>
            <w:r w:rsidR="00F17A68" w:rsidRPr="00F17A68">
              <w:rPr>
                <w:color w:val="000000" w:themeColor="text1"/>
                <w:sz w:val="20"/>
              </w:rPr>
              <w:t xml:space="preserve">  Moderately low and very low child mortality settings were combined and categorized as “low” child mortality for the primary analyses.</w:t>
            </w:r>
            <w:r w:rsidRPr="00F17A68">
              <w:rPr>
                <w:color w:val="000000" w:themeColor="text1"/>
                <w:sz w:val="20"/>
              </w:rPr>
              <w:t>”</w:t>
            </w:r>
          </w:p>
          <w:p w:rsidR="00077147" w:rsidRPr="00F17A68" w:rsidRDefault="00077147" w:rsidP="00077147">
            <w:pPr>
              <w:tabs>
                <w:tab w:val="left" w:pos="5400"/>
              </w:tabs>
              <w:spacing w:line="240" w:lineRule="auto"/>
              <w:rPr>
                <w:sz w:val="20"/>
              </w:rPr>
            </w:pPr>
          </w:p>
          <w:p w:rsidR="00077147" w:rsidRPr="00F17A68" w:rsidRDefault="00077147" w:rsidP="00350D5E">
            <w:pPr>
              <w:pStyle w:val="Normal1"/>
              <w:spacing w:line="240" w:lineRule="auto"/>
              <w:rPr>
                <w:rFonts w:ascii="Times New Roman" w:hAnsi="Times New Roman" w:cs="Times New Roman"/>
                <w:color w:val="000000" w:themeColor="text1"/>
                <w:sz w:val="20"/>
                <w:szCs w:val="20"/>
              </w:rPr>
            </w:pPr>
            <w:r w:rsidRPr="00F17A68">
              <w:rPr>
                <w:rFonts w:ascii="Times New Roman" w:hAnsi="Times New Roman" w:cs="Times New Roman"/>
                <w:sz w:val="20"/>
                <w:szCs w:val="20"/>
              </w:rPr>
              <w:t>“</w:t>
            </w:r>
            <w:r w:rsidR="00F17A68" w:rsidRPr="00F17A68">
              <w:rPr>
                <w:rFonts w:ascii="Times New Roman" w:hAnsi="Times New Roman" w:cs="Times New Roman"/>
                <w:color w:val="000000" w:themeColor="text1"/>
                <w:sz w:val="20"/>
                <w:szCs w:val="20"/>
              </w:rPr>
              <w:t>All available data for trial participants were provided by GSK and explanatory variables/covariates were selected for inclusion in the analysis based on existing literature</w:t>
            </w:r>
            <w:r w:rsidR="0065592C">
              <w:rPr>
                <w:rFonts w:ascii="Times New Roman" w:hAnsi="Times New Roman" w:cs="Times New Roman"/>
                <w:color w:val="000000" w:themeColor="text1"/>
                <w:sz w:val="20"/>
                <w:szCs w:val="20"/>
              </w:rPr>
              <w:t xml:space="preserve"> </w:t>
            </w:r>
            <w:r w:rsidR="00F17A68" w:rsidRPr="00F17A68">
              <w:rPr>
                <w:rFonts w:ascii="Times New Roman" w:hAnsi="Times New Roman" w:cs="Times New Roman"/>
                <w:color w:val="000000" w:themeColor="text1"/>
                <w:sz w:val="20"/>
                <w:szCs w:val="20"/>
              </w:rPr>
              <w:fldChar w:fldCharType="begin"/>
            </w:r>
            <w:r w:rsidR="00F17A68" w:rsidRPr="00F17A68">
              <w:rPr>
                <w:rFonts w:ascii="Times New Roman" w:hAnsi="Times New Roman" w:cs="Times New Roman"/>
                <w:color w:val="000000" w:themeColor="text1"/>
                <w:sz w:val="20"/>
                <w:szCs w:val="20"/>
              </w:rPr>
              <w:instrText xml:space="preserve"> ADDIN ZOTERO_ITEM CSL_CITATION {"citationID":"aohfcm4jp1","properties":{"formattedCitation":"[22,24]","plainCitation":"[22,24]","noteIndex":0},"citationItems":[{"id":95,"uris":["http://zotero.org/users/2581824/items/BZZ2Q8IQ"],"uri":["http://zotero.org/users/2581824/items/BZZ2Q8IQ"],"itemData":{"id":95,"type":"article-journal","title":"Oral Rotavirus Vaccines: How Well Will They Work Where They Are Needed Most?","container-title":"The Journal of Infectious Diseases","page":"S39-S48","volume":"200","issue":"s1","source":"CrossRef","DOI":"10.1086/605035","ISSN":"0022-1899, 1537-6613","title-short":"Oral Rotavirus Vaccines","language":"en","author":[{"family":"Patel","given":"Manish"},{"family":"Shane","given":"Andi L."},{"family":"Parashar","given":"Umesh D."},{"family":"Jiang","given":"Baoming"},{"family":"Gentsch","given":"Jon R."},{"family":"Glass","given":"Roger I."}],"issued":{"date-parts":[["2009",11]]}}},{"id":441,"uris":["http://zotero.org/users/2581824/items/6WQ6JDHR"],"uri":["http://zotero.org/users/2581824/items/6WQ6JDHR"],"itemData":{"id":441,"type":"article-journal","title":"Decreased performance of live attenuated, oral rotavirus vaccines in low-income settings: causes and contributing factors","container-title":"Expert Review of Vaccines","page":"1-17","source":"Crossref","DOI":"10.1080/14760584.2018.1418665","ISSN":"1476-0584, 1744-8395","title-short":"Decreased performance of live attenuated, oral rotavirus vaccines in low-income settings","language":"en","author":[{"family":"Velasquez","given":"Daniel E."},{"family":"Parashar","given":"Umesh"},{"family":"Jiang","given":"Baoming"}],"issued":{"date-parts":[["2017",12,29]]}}}],"schema":"https://github.com/citation-style-language/schema/raw/master/csl-citation.json"} </w:instrText>
            </w:r>
            <w:r w:rsidR="00F17A68" w:rsidRPr="00F17A68">
              <w:rPr>
                <w:rFonts w:ascii="Times New Roman" w:hAnsi="Times New Roman" w:cs="Times New Roman"/>
                <w:color w:val="000000" w:themeColor="text1"/>
                <w:sz w:val="20"/>
                <w:szCs w:val="20"/>
              </w:rPr>
              <w:fldChar w:fldCharType="separate"/>
            </w:r>
            <w:r w:rsidR="00F17A68" w:rsidRPr="00F17A68">
              <w:rPr>
                <w:rFonts w:ascii="Times New Roman" w:hAnsi="Times New Roman" w:cs="Times New Roman"/>
                <w:sz w:val="20"/>
                <w:szCs w:val="20"/>
              </w:rPr>
              <w:t>[22,24]</w:t>
            </w:r>
            <w:r w:rsidR="00F17A68" w:rsidRPr="00F17A68">
              <w:rPr>
                <w:rFonts w:ascii="Times New Roman" w:hAnsi="Times New Roman" w:cs="Times New Roman"/>
                <w:color w:val="000000" w:themeColor="text1"/>
                <w:sz w:val="20"/>
                <w:szCs w:val="20"/>
              </w:rPr>
              <w:fldChar w:fldCharType="end"/>
            </w:r>
            <w:r w:rsidR="0065592C">
              <w:rPr>
                <w:rFonts w:ascii="Times New Roman" w:hAnsi="Times New Roman" w:cs="Times New Roman"/>
                <w:color w:val="000000" w:themeColor="text1"/>
                <w:sz w:val="20"/>
                <w:szCs w:val="20"/>
              </w:rPr>
              <w:t>.</w:t>
            </w:r>
            <w:r w:rsidR="00F17A68" w:rsidRPr="00F17A68">
              <w:rPr>
                <w:rFonts w:ascii="Times New Roman" w:hAnsi="Times New Roman" w:cs="Times New Roman"/>
                <w:color w:val="000000" w:themeColor="text1"/>
                <w:sz w:val="20"/>
                <w:szCs w:val="20"/>
              </w:rPr>
              <w:t xml:space="preserve">  GSK data were </w:t>
            </w:r>
            <w:bookmarkStart w:id="29" w:name="_GoBack"/>
            <w:r w:rsidR="00F17A68" w:rsidRPr="00F17A68">
              <w:rPr>
                <w:rFonts w:ascii="Times New Roman" w:hAnsi="Times New Roman" w:cs="Times New Roman"/>
                <w:color w:val="000000" w:themeColor="text1"/>
                <w:sz w:val="20"/>
                <w:szCs w:val="20"/>
              </w:rPr>
              <w:t>suppl</w:t>
            </w:r>
            <w:bookmarkEnd w:id="29"/>
            <w:r w:rsidR="00F17A68" w:rsidRPr="00F17A68">
              <w:rPr>
                <w:rFonts w:ascii="Times New Roman" w:hAnsi="Times New Roman" w:cs="Times New Roman"/>
                <w:color w:val="000000" w:themeColor="text1"/>
                <w:sz w:val="20"/>
                <w:szCs w:val="20"/>
              </w:rPr>
              <w:t>emented with country-level data on gross domestic product (GDP) per capita in 2004 USD</w:t>
            </w:r>
            <w:r w:rsidR="0065592C">
              <w:rPr>
                <w:rFonts w:ascii="Times New Roman" w:hAnsi="Times New Roman" w:cs="Times New Roman"/>
                <w:color w:val="000000" w:themeColor="text1"/>
                <w:sz w:val="20"/>
                <w:szCs w:val="20"/>
              </w:rPr>
              <w:t xml:space="preserve"> </w:t>
            </w:r>
            <w:r w:rsidR="00F17A68" w:rsidRPr="00F17A68">
              <w:rPr>
                <w:rFonts w:ascii="Times New Roman" w:hAnsi="Times New Roman" w:cs="Times New Roman"/>
                <w:color w:val="000000" w:themeColor="text1"/>
                <w:sz w:val="20"/>
                <w:szCs w:val="20"/>
              </w:rPr>
              <w:fldChar w:fldCharType="begin"/>
            </w:r>
            <w:r w:rsidR="00F17A68" w:rsidRPr="00F17A68">
              <w:rPr>
                <w:rFonts w:ascii="Times New Roman" w:hAnsi="Times New Roman" w:cs="Times New Roman"/>
                <w:color w:val="000000" w:themeColor="text1"/>
                <w:sz w:val="20"/>
                <w:szCs w:val="20"/>
              </w:rPr>
              <w:instrText xml:space="preserve"> ADDIN ZOTERO_ITEM CSL_CITATION {"citationID":"PRYotxws","properties":{"formattedCitation":"[42,43]","plainCitation":"[42,43]","noteIndex":0},"citationItems":[{"id":150,"uris":["http://zotero.org/users/2581824/items/IJVEHH7N"],"uri":["http://zotero.org/users/2581824/items/IJVEHH7N"],"itemData":{"id":150,"type":"webpage","title":"World Bank Open Data","container-title":"World Development Indicators","URL":"https://data.worldbank.org/","author":[{"family":"The World Bank","given":""}],"issued":{"date-parts":[["2018"]]},"accessed":{"date-parts":[["2018",9,28]]}}},{"id":135,"uris":["http://zotero.org/users/2581824/items/RWTPMVE2"],"uri":["http://zotero.org/users/2581824/items/RWTPMVE2"],"itemData":{"id":135,"type":"webpage","title":"Taiwan (Taiwan Province of China) GDP per Capita (Current Prices, US Dollars) Statistics","container-title":"Economy Watch","URL":"http://www.economywatch.com/economic-statistics/Taiwan/GDP_Per_Capita_Current_Prices_US_Dollars/#otheryears","issued":{"date-parts":[["2018",11,28]]},"accessed":{"date-parts":[["2018",11,28]]}}}],"schema":"https://github.com/citation-style-language/schema/raw/master/csl-citation.json"} </w:instrText>
            </w:r>
            <w:r w:rsidR="00F17A68" w:rsidRPr="00F17A68">
              <w:rPr>
                <w:rFonts w:ascii="Times New Roman" w:hAnsi="Times New Roman" w:cs="Times New Roman"/>
                <w:color w:val="000000" w:themeColor="text1"/>
                <w:sz w:val="20"/>
                <w:szCs w:val="20"/>
              </w:rPr>
              <w:fldChar w:fldCharType="separate"/>
            </w:r>
            <w:r w:rsidR="00F17A68" w:rsidRPr="00F17A68">
              <w:rPr>
                <w:rFonts w:ascii="Times New Roman" w:hAnsi="Times New Roman" w:cs="Times New Roman"/>
                <w:sz w:val="20"/>
                <w:szCs w:val="20"/>
              </w:rPr>
              <w:t>[42,43]</w:t>
            </w:r>
            <w:r w:rsidR="00F17A68" w:rsidRPr="00F17A68">
              <w:rPr>
                <w:rFonts w:ascii="Times New Roman" w:hAnsi="Times New Roman" w:cs="Times New Roman"/>
                <w:color w:val="000000" w:themeColor="text1"/>
                <w:sz w:val="20"/>
                <w:szCs w:val="20"/>
              </w:rPr>
              <w:fldChar w:fldCharType="end"/>
            </w:r>
            <w:r w:rsidR="00F17A68" w:rsidRPr="00F17A68">
              <w:rPr>
                <w:rFonts w:ascii="Times New Roman" w:hAnsi="Times New Roman" w:cs="Times New Roman"/>
                <w:color w:val="000000" w:themeColor="text1"/>
                <w:sz w:val="20"/>
                <w:szCs w:val="20"/>
              </w:rPr>
              <w:t xml:space="preserve"> to represent a country’s level of development and 2004 under 5 mortality rates</w:t>
            </w:r>
            <w:r w:rsidR="0065592C">
              <w:rPr>
                <w:rFonts w:ascii="Times New Roman" w:hAnsi="Times New Roman" w:cs="Times New Roman"/>
                <w:color w:val="000000" w:themeColor="text1"/>
                <w:sz w:val="20"/>
                <w:szCs w:val="20"/>
              </w:rPr>
              <w:t xml:space="preserve"> </w:t>
            </w:r>
            <w:r w:rsidR="00F17A68" w:rsidRPr="00F17A68">
              <w:rPr>
                <w:rFonts w:ascii="Times New Roman" w:hAnsi="Times New Roman" w:cs="Times New Roman"/>
                <w:color w:val="000000" w:themeColor="text1"/>
                <w:sz w:val="20"/>
                <w:szCs w:val="20"/>
              </w:rPr>
              <w:fldChar w:fldCharType="begin"/>
            </w:r>
            <w:r w:rsidR="00F17A68" w:rsidRPr="00F17A68">
              <w:rPr>
                <w:rFonts w:ascii="Times New Roman" w:hAnsi="Times New Roman" w:cs="Times New Roman"/>
                <w:color w:val="000000" w:themeColor="text1"/>
                <w:sz w:val="20"/>
                <w:szCs w:val="20"/>
              </w:rPr>
              <w:instrText xml:space="preserve"> ADDIN ZOTERO_ITEM CSL_CITATION {"citationID":"a2gvd0bfoth","properties":{"formattedCitation":"[44\\uc0\\u8211{}46]","plainCitation":"[44–46]","noteIndex":0},"citationItems":[{"id":149,"uris":["http://zotero.org/users/2581824/items/VDHEQNGV"],"uri":["http://zotero.org/users/2581824/items/VDHEQNGV"],"itemData":{"id":149,"type":"webpage","title":"Mortality rate, under-5 (per 1,000 live births)","container-title":"World Development Indicators","URL":"https://data.worldbank.org/indicator/sh.dyn.mort","author":[{"family":"The World Bank","given":""}],"issued":{"date-parts":[["2018"]]},"accessed":{"date-parts":[["2018",9,28]]}}},{"id":134,"uris":["http://zotero.org/users/2581824/items/H6GVQ9HQ"],"uri":["http://zotero.org/users/2581824/items/H6GVQ9HQ"],"itemData":{"id":134,"type":"webpage","title":"Hong Kong- Under-five mortality rate","container-title":"Knoema data","URL":"https://knoema.com/atlas/Hong-Kong/topics/Demographics/Mortality/Under-5-mortality-rate","author":[{"family":"Knoema","given":""}],"accessed":{"date-parts":[["2018",11,28]]}}},{"id":133,"uris":["http://zotero.org/users/2581824/items/KWRVVZFW"],"uri":["http://zotero.org/users/2581824/items/KWRVVZFW"],"itemData":{"id":133,"type":"article-journal","title":"Comparing Child Mortality in Taiwan and Selected Industrialized Countries","container-title":"Journal of the Formosan Medical Association","page":"177-180","volume":"106","issue":"2","source":"Crossref","DOI":"10.1016/S0929-6646(09)60237-0","ISSN":"09296646","language":"en","author":[{"family":"Wu","given":"Jennifer Chun-Li"},{"family":"Chiang","given":"Tung-Liang"}],"issued":{"date-parts":[["2007"]]}}}],"schema":"https://github.com/citation-style-language/schema/raw/master/csl-citation.json"} </w:instrText>
            </w:r>
            <w:r w:rsidR="00F17A68" w:rsidRPr="00F17A68">
              <w:rPr>
                <w:rFonts w:ascii="Times New Roman" w:hAnsi="Times New Roman" w:cs="Times New Roman"/>
                <w:color w:val="000000" w:themeColor="text1"/>
                <w:sz w:val="20"/>
                <w:szCs w:val="20"/>
              </w:rPr>
              <w:fldChar w:fldCharType="separate"/>
            </w:r>
            <w:r w:rsidR="00F17A68" w:rsidRPr="00F17A68">
              <w:rPr>
                <w:rFonts w:ascii="Times New Roman" w:hAnsi="Times New Roman" w:cs="Times New Roman"/>
                <w:sz w:val="20"/>
                <w:szCs w:val="20"/>
              </w:rPr>
              <w:t>[44–46]</w:t>
            </w:r>
            <w:r w:rsidR="00F17A68" w:rsidRPr="00F17A68">
              <w:rPr>
                <w:rFonts w:ascii="Times New Roman" w:hAnsi="Times New Roman" w:cs="Times New Roman"/>
                <w:color w:val="000000" w:themeColor="text1"/>
                <w:sz w:val="20"/>
                <w:szCs w:val="20"/>
              </w:rPr>
              <w:fldChar w:fldCharType="end"/>
            </w:r>
            <w:r w:rsidR="0065592C">
              <w:rPr>
                <w:rFonts w:ascii="Times New Roman" w:hAnsi="Times New Roman" w:cs="Times New Roman"/>
                <w:color w:val="000000" w:themeColor="text1"/>
                <w:sz w:val="20"/>
                <w:szCs w:val="20"/>
              </w:rPr>
              <w:t xml:space="preserve">. </w:t>
            </w:r>
            <w:r w:rsidR="00F17A68" w:rsidRPr="00F17A68">
              <w:rPr>
                <w:rFonts w:ascii="Times New Roman" w:hAnsi="Times New Roman" w:cs="Times New Roman"/>
                <w:color w:val="000000" w:themeColor="text1"/>
                <w:sz w:val="20"/>
                <w:szCs w:val="20"/>
              </w:rPr>
              <w:t>These country-level variables were considered in an effort to capture potential confounders that remained unmeasured despite the individual-level factors available.</w:t>
            </w:r>
            <w:r w:rsidRPr="00F17A68">
              <w:rPr>
                <w:rFonts w:ascii="Times New Roman" w:hAnsi="Times New Roman" w:cs="Times New Roman"/>
                <w:color w:val="000000" w:themeColor="text1"/>
                <w:sz w:val="20"/>
                <w:szCs w:val="20"/>
              </w:rPr>
              <w:t xml:space="preserve">”  </w:t>
            </w:r>
          </w:p>
          <w:p w:rsidR="00077147" w:rsidRPr="00F17A68" w:rsidRDefault="00077147" w:rsidP="00350D5E">
            <w:pPr>
              <w:pStyle w:val="Normal1"/>
              <w:spacing w:line="240" w:lineRule="auto"/>
              <w:rPr>
                <w:rFonts w:ascii="Times New Roman" w:hAnsi="Times New Roman" w:cs="Times New Roman"/>
                <w:color w:val="000000" w:themeColor="text1"/>
                <w:sz w:val="20"/>
                <w:szCs w:val="20"/>
              </w:rPr>
            </w:pPr>
          </w:p>
          <w:p w:rsidR="00077147" w:rsidRPr="00F17A68" w:rsidRDefault="00077147" w:rsidP="00350D5E">
            <w:pPr>
              <w:pStyle w:val="Normal1"/>
              <w:spacing w:line="240" w:lineRule="auto"/>
              <w:rPr>
                <w:rFonts w:ascii="Times New Roman" w:eastAsia="Arial Unicode MS" w:hAnsi="Times New Roman" w:cs="Times New Roman"/>
                <w:color w:val="000000" w:themeColor="text1"/>
                <w:sz w:val="20"/>
                <w:szCs w:val="20"/>
              </w:rPr>
            </w:pPr>
            <w:r w:rsidRPr="00F17A68">
              <w:rPr>
                <w:rFonts w:ascii="Times New Roman" w:hAnsi="Times New Roman" w:cs="Times New Roman"/>
                <w:color w:val="000000" w:themeColor="text1"/>
                <w:sz w:val="20"/>
                <w:szCs w:val="20"/>
              </w:rPr>
              <w:t>“</w:t>
            </w:r>
            <w:r w:rsidR="00F17A68" w:rsidRPr="00F17A68">
              <w:rPr>
                <w:rFonts w:ascii="Times New Roman" w:eastAsia="Arial Unicode MS" w:hAnsi="Times New Roman" w:cs="Times New Roman"/>
                <w:color w:val="000000" w:themeColor="text1"/>
                <w:sz w:val="20"/>
                <w:szCs w:val="20"/>
              </w:rPr>
              <w:t xml:space="preserve">Two standard markers for immune response </w:t>
            </w:r>
            <w:r w:rsidR="00F17A68" w:rsidRPr="00F17A68">
              <w:rPr>
                <w:rFonts w:ascii="Times New Roman" w:eastAsia="Arial Unicode MS" w:hAnsi="Times New Roman" w:cs="Times New Roman"/>
                <w:color w:val="000000" w:themeColor="text1"/>
                <w:sz w:val="20"/>
                <w:szCs w:val="20"/>
              </w:rPr>
              <w:fldChar w:fldCharType="begin"/>
            </w:r>
            <w:r w:rsidR="00F17A68" w:rsidRPr="00F17A68">
              <w:rPr>
                <w:rFonts w:ascii="Times New Roman" w:eastAsia="Arial Unicode MS" w:hAnsi="Times New Roman" w:cs="Times New Roman"/>
                <w:color w:val="000000" w:themeColor="text1"/>
                <w:sz w:val="20"/>
                <w:szCs w:val="20"/>
              </w:rPr>
              <w:instrText xml:space="preserve"> ADDIN ZOTERO_ITEM CSL_CITATION {"citationID":"a249b61t5pu","properties":{"formattedCitation":"[47,48]","plainCitation":"[47,48]","noteIndex":0},"citationItems":[{"id":170,"uris":["http://zotero.org/users/2581824/items/7MHACGXJ"],"uri":["http://zotero.org/users/2581824/items/7MHACGXJ"],"itemData":{"id":170,"type":"article-journal","title":"Evaluation of vaccine-induced antibody responses: impact of new technologies","container-title":"Vaccine","page":"2756-2761","volume":"31","issue":"25","source":"PubMed","abstract":"Host response to vaccination has historically been evaluated based on a change in antibody titer that compares the post-vaccination titer to the pre-vaccination titer. A four-fold or greater increase in antigen-specific antibody has been interpreted to indicate an increase in antibody production in response to vaccination. New technologies, such as the bead-based assays, provide investigators and clinicians with precise antibody levels (reported as concentration per mL) in ranges below and above those previously available through standard assays such as ELISA. Evaluations of bead assay data to determine host response to vaccination using fold change and absolute change, with a general linear model used to calculate adjusted statistics, present very different pictures of the antibody response when pre-vaccination antibody levels are low. Absolute changes in bead assay values, although not a standard computation, appears to more accurately reflect the host response to vaccination for those individuals with extremely low pre-vaccination antibody levels. Conversely, for these same individuals, fold change may be very high while post-vaccination antibodies do not achieve seroprotective levels. Absolute change provides an alternate method to characterize host response to vaccination, especially when pre-vaccination levels are very low, and may be useful in studies designed to determine associations between host genotypes and response to vaccination.","DOI":"10.1016/j.vaccine.2013.03.065","ISSN":"1873-2518","note":"PMID: 23583812\nPMCID: PMC3672347","title-short":"Evaluation of vaccine-induced antibody responses","journalAbbreviation":"Vaccine","language":"eng","author":[{"family":"Zaccaro","given":"Daniel J."},{"family":"Wagener","given":"Diane K."},{"family":"Whisnant","given":"Carol C."},{"family":"Staats","given":"Herman F."}],"issued":{"date-parts":[["2013",6,7]]}}},{"id":171,"uris":["http://zotero.org/users/2581824/items/3CQT4W7M"],"uri":["http://zotero.org/users/2581824/items/3CQT4W7M"],"itemData":{"id":171,"type":"article-journal","title":"Seroprotection rate, mean fold increase, seroconversion rate: which parameter adequately expresses seroresponse to influenza vaccination?","container-title":"Virus Research","page":"125-132","volume":"103","issue":"1-2","source":"Crossref","DOI":"10.1016/j.virusres.2004.02.024","ISSN":"01681702","title-short":"Seroprotection rate, mean fold increase, seroconversion rate","language":"en","author":[{"family":"Beyer","given":"W.E.P"},{"family":"Palache","given":"A.M"},{"family":"Lüchters","given":"G"},{"family":"Nauta","given":"J"},{"family":"Osterhaus","given":"A.D.M.E"}],"issued":{"date-parts":[["2004",7]]}}}],"schema":"https://github.com/citation-style-language/schema/raw/master/csl-citation.json"} </w:instrText>
            </w:r>
            <w:r w:rsidR="00F17A68" w:rsidRPr="00F17A68">
              <w:rPr>
                <w:rFonts w:ascii="Times New Roman" w:eastAsia="Arial Unicode MS" w:hAnsi="Times New Roman" w:cs="Times New Roman"/>
                <w:color w:val="000000" w:themeColor="text1"/>
                <w:sz w:val="20"/>
                <w:szCs w:val="20"/>
              </w:rPr>
              <w:fldChar w:fldCharType="separate"/>
            </w:r>
            <w:r w:rsidR="00F17A68" w:rsidRPr="00F17A68">
              <w:rPr>
                <w:rFonts w:ascii="Times New Roman" w:hAnsi="Times New Roman" w:cs="Times New Roman"/>
                <w:sz w:val="20"/>
                <w:szCs w:val="20"/>
              </w:rPr>
              <w:t>[47,48]</w:t>
            </w:r>
            <w:r w:rsidR="00F17A68" w:rsidRPr="00F17A68">
              <w:rPr>
                <w:rFonts w:ascii="Times New Roman" w:eastAsia="Arial Unicode MS" w:hAnsi="Times New Roman" w:cs="Times New Roman"/>
                <w:color w:val="000000" w:themeColor="text1"/>
                <w:sz w:val="20"/>
                <w:szCs w:val="20"/>
              </w:rPr>
              <w:fldChar w:fldCharType="end"/>
            </w:r>
            <w:r w:rsidR="00F17A68" w:rsidRPr="00F17A68">
              <w:rPr>
                <w:rFonts w:ascii="Times New Roman" w:eastAsia="Arial Unicode MS" w:hAnsi="Times New Roman" w:cs="Times New Roman"/>
                <w:color w:val="000000" w:themeColor="text1"/>
                <w:sz w:val="20"/>
                <w:szCs w:val="20"/>
              </w:rPr>
              <w:t xml:space="preserve"> were analyzed as outcomes. First, in accordance with pre-specified trial definitions</w:t>
            </w:r>
            <w:r w:rsidR="00007F23">
              <w:rPr>
                <w:rFonts w:ascii="Times New Roman" w:eastAsia="Arial Unicode MS" w:hAnsi="Times New Roman" w:cs="Times New Roman"/>
                <w:color w:val="000000" w:themeColor="text1"/>
                <w:sz w:val="20"/>
                <w:szCs w:val="20"/>
              </w:rPr>
              <w:t xml:space="preserve"> </w:t>
            </w:r>
            <w:r w:rsidR="00F17A68" w:rsidRPr="00F17A68">
              <w:rPr>
                <w:rFonts w:ascii="Times New Roman" w:eastAsia="Arial Unicode MS" w:hAnsi="Times New Roman" w:cs="Times New Roman"/>
                <w:color w:val="000000" w:themeColor="text1"/>
                <w:sz w:val="20"/>
                <w:szCs w:val="20"/>
              </w:rPr>
              <w:fldChar w:fldCharType="begin"/>
            </w:r>
            <w:r w:rsidR="00F17A68" w:rsidRPr="00F17A68">
              <w:rPr>
                <w:rFonts w:ascii="Times New Roman" w:eastAsia="Arial Unicode MS" w:hAnsi="Times New Roman" w:cs="Times New Roman"/>
                <w:color w:val="000000" w:themeColor="text1"/>
                <w:sz w:val="20"/>
                <w:szCs w:val="20"/>
              </w:rPr>
              <w:instrText xml:space="preserve"> ADDIN ZOTERO_ITEM CSL_CITATION {"citationID":"NOkF4ePX","properties":{"formattedCitation":"[49,50]","plainCitation":"[49,50]","noteIndex":0},"citationItems":[{"id":361,"uris":["http://zotero.org/users/2581824/items/JAGBAAA2"],"uri":["http://zotero.org/users/2581824/items/JAGBAAA2"],"itemData":{"id":361,"type":"article","title":"Safety Study Report Rota-023 (444563/023)","publisher":"GlaxoSmithKline","URL":"https://www.gsk-studyregister.com/study?uniqueStudyId=444563/023","author":[{"family":"GlaxoSmithKline","given":""}],"issued":{"date-parts":[["2004",9,30]]},"accessed":{"date-parts":[["2019",5,17]]}}},{"id":360,"uris":["http://zotero.org/users/2581824/items/8KKHRBVN"],"uri":["http://zotero.org/users/2581824/items/8KKHRBVN"],"itemData":{"id":360,"type":"article","title":"Clinical Study Report for Study 102248 (Rota-037)","publisher":"GlaxoSmithKline","URL":"https://www.gsk-studyregister.com/study?uniqueStudyId=102248","author":[{"family":"GlaxoSmithKline","given":""}],"issued":{"date-parts":[["2009",3,19]]},"accessed":{"date-parts":[["2019",5,17]]}}}],"schema":"https://github.com/citation-style-language/schema/raw/master/csl-citation.json"} </w:instrText>
            </w:r>
            <w:r w:rsidR="00F17A68" w:rsidRPr="00F17A68">
              <w:rPr>
                <w:rFonts w:ascii="Times New Roman" w:eastAsia="Arial Unicode MS" w:hAnsi="Times New Roman" w:cs="Times New Roman"/>
                <w:color w:val="000000" w:themeColor="text1"/>
                <w:sz w:val="20"/>
                <w:szCs w:val="20"/>
              </w:rPr>
              <w:fldChar w:fldCharType="separate"/>
            </w:r>
            <w:r w:rsidR="00F17A68" w:rsidRPr="00F17A68">
              <w:rPr>
                <w:rFonts w:ascii="Times New Roman" w:hAnsi="Times New Roman" w:cs="Times New Roman"/>
                <w:sz w:val="20"/>
                <w:szCs w:val="20"/>
              </w:rPr>
              <w:t>[49,50]</w:t>
            </w:r>
            <w:r w:rsidR="00F17A68" w:rsidRPr="00F17A68">
              <w:rPr>
                <w:rFonts w:ascii="Times New Roman" w:eastAsia="Arial Unicode MS" w:hAnsi="Times New Roman" w:cs="Times New Roman"/>
                <w:color w:val="000000" w:themeColor="text1"/>
                <w:sz w:val="20"/>
                <w:szCs w:val="20"/>
              </w:rPr>
              <w:fldChar w:fldCharType="end"/>
            </w:r>
            <w:r w:rsidR="00007F23">
              <w:rPr>
                <w:rFonts w:ascii="Times New Roman" w:eastAsia="Arial Unicode MS" w:hAnsi="Times New Roman" w:cs="Times New Roman"/>
                <w:color w:val="000000" w:themeColor="text1"/>
                <w:sz w:val="20"/>
                <w:szCs w:val="20"/>
              </w:rPr>
              <w:t>,</w:t>
            </w:r>
            <w:r w:rsidR="00F17A68" w:rsidRPr="00F17A68">
              <w:rPr>
                <w:rFonts w:ascii="Times New Roman" w:eastAsia="Arial Unicode MS" w:hAnsi="Times New Roman" w:cs="Times New Roman"/>
                <w:color w:val="000000" w:themeColor="text1"/>
                <w:sz w:val="20"/>
                <w:szCs w:val="20"/>
              </w:rPr>
              <w:t xml:space="preserve"> seroconversion was defined as the appearance of serum </w:t>
            </w:r>
            <w:r w:rsidR="00F17A68" w:rsidRPr="00F17A68">
              <w:rPr>
                <w:rFonts w:ascii="Times New Roman" w:hAnsi="Times New Roman" w:cs="Times New Roman"/>
                <w:sz w:val="20"/>
                <w:szCs w:val="20"/>
              </w:rPr>
              <w:t xml:space="preserve">anti-rotavirus </w:t>
            </w:r>
            <w:r w:rsidR="00F17A68" w:rsidRPr="00F17A68">
              <w:rPr>
                <w:rFonts w:ascii="Times New Roman" w:eastAsia="Arial Unicode MS" w:hAnsi="Times New Roman" w:cs="Times New Roman"/>
                <w:color w:val="000000" w:themeColor="text1"/>
                <w:sz w:val="20"/>
                <w:szCs w:val="20"/>
              </w:rPr>
              <w:t xml:space="preserve">IgA antibodies (i.e. concentrations </w:t>
            </w:r>
            <w:r w:rsidR="00F17A68" w:rsidRPr="00F17A68">
              <w:rPr>
                <w:rFonts w:ascii="Times New Roman" w:eastAsia="Times New Roman" w:hAnsi="Times New Roman" w:cs="Times New Roman"/>
                <w:color w:val="000000" w:themeColor="text1"/>
                <w:sz w:val="20"/>
                <w:szCs w:val="20"/>
              </w:rPr>
              <w:t>≥</w:t>
            </w:r>
            <w:r w:rsidR="00F17A68" w:rsidRPr="00F17A68">
              <w:rPr>
                <w:rFonts w:ascii="Times New Roman" w:eastAsia="Arial Unicode MS" w:hAnsi="Times New Roman" w:cs="Times New Roman"/>
                <w:color w:val="000000" w:themeColor="text1"/>
                <w:sz w:val="20"/>
                <w:szCs w:val="20"/>
              </w:rPr>
              <w:t xml:space="preserve">20 U/mL) in subjects initially (prior to the first </w:t>
            </w:r>
            <w:r w:rsidR="00F17A68" w:rsidRPr="00F17A68">
              <w:rPr>
                <w:rFonts w:ascii="Times New Roman" w:hAnsi="Times New Roman" w:cs="Times New Roman"/>
                <w:color w:val="auto"/>
                <w:sz w:val="20"/>
                <w:szCs w:val="20"/>
              </w:rPr>
              <w:t>rotavirus</w:t>
            </w:r>
            <w:r w:rsidR="00F17A68" w:rsidRPr="00F17A68">
              <w:rPr>
                <w:rFonts w:ascii="Times New Roman" w:eastAsia="Arial Unicode MS" w:hAnsi="Times New Roman" w:cs="Times New Roman"/>
                <w:color w:val="000000" w:themeColor="text1"/>
                <w:sz w:val="20"/>
                <w:szCs w:val="20"/>
              </w:rPr>
              <w:t xml:space="preserve"> dose) seronegative.  The second endpoint of interest was serum </w:t>
            </w:r>
            <w:r w:rsidR="00F17A68" w:rsidRPr="00F17A68">
              <w:rPr>
                <w:rFonts w:ascii="Times New Roman" w:hAnsi="Times New Roman" w:cs="Times New Roman"/>
                <w:sz w:val="20"/>
                <w:szCs w:val="20"/>
              </w:rPr>
              <w:t xml:space="preserve">anti-rotavirus </w:t>
            </w:r>
            <w:r w:rsidR="00F17A68" w:rsidRPr="00F17A68">
              <w:rPr>
                <w:rFonts w:ascii="Times New Roman" w:eastAsia="Arial Unicode MS" w:hAnsi="Times New Roman" w:cs="Times New Roman"/>
                <w:color w:val="000000" w:themeColor="text1"/>
                <w:sz w:val="20"/>
                <w:szCs w:val="20"/>
              </w:rPr>
              <w:t xml:space="preserve">IgA titer among infants who seroconverted.  </w:t>
            </w:r>
            <w:r w:rsidR="00F17A68" w:rsidRPr="00F17A68">
              <w:rPr>
                <w:rFonts w:ascii="Times New Roman" w:hAnsi="Times New Roman" w:cs="Times New Roman"/>
                <w:color w:val="000000" w:themeColor="text1"/>
                <w:sz w:val="20"/>
                <w:szCs w:val="20"/>
              </w:rPr>
              <w:t xml:space="preserve">In all trials, post-vaccine </w:t>
            </w:r>
            <w:r w:rsidR="00F17A68" w:rsidRPr="00F17A68">
              <w:rPr>
                <w:rFonts w:ascii="Times New Roman" w:hAnsi="Times New Roman" w:cs="Times New Roman"/>
                <w:sz w:val="20"/>
                <w:szCs w:val="20"/>
              </w:rPr>
              <w:t xml:space="preserve">anti-rotavirus titer </w:t>
            </w:r>
            <w:r w:rsidR="00F17A68" w:rsidRPr="00F17A68">
              <w:rPr>
                <w:rFonts w:ascii="Times New Roman" w:hAnsi="Times New Roman" w:cs="Times New Roman"/>
                <w:color w:val="000000" w:themeColor="text1"/>
                <w:sz w:val="20"/>
                <w:szCs w:val="20"/>
              </w:rPr>
              <w:t xml:space="preserve">IgA data were collected approximately 4-12 weeks after the last administration of </w:t>
            </w:r>
            <w:r w:rsidR="00F17A68" w:rsidRPr="00F17A68">
              <w:rPr>
                <w:rFonts w:ascii="Times New Roman" w:hAnsi="Times New Roman" w:cs="Times New Roman"/>
                <w:color w:val="auto"/>
                <w:sz w:val="20"/>
                <w:szCs w:val="20"/>
              </w:rPr>
              <w:t>rotavirus</w:t>
            </w:r>
            <w:r w:rsidR="00F17A68" w:rsidRPr="00F17A68">
              <w:rPr>
                <w:rFonts w:ascii="Times New Roman" w:hAnsi="Times New Roman" w:cs="Times New Roman"/>
                <w:color w:val="000000" w:themeColor="text1"/>
                <w:sz w:val="20"/>
                <w:szCs w:val="20"/>
              </w:rPr>
              <w:t xml:space="preserve"> vaccine and were measured using enzyme-linked immunosorbent assay (ELISA) techniques</w:t>
            </w:r>
            <w:r w:rsidR="00007F23">
              <w:rPr>
                <w:rFonts w:ascii="Times New Roman" w:hAnsi="Times New Roman" w:cs="Times New Roman"/>
                <w:color w:val="000000" w:themeColor="text1"/>
                <w:sz w:val="20"/>
                <w:szCs w:val="20"/>
              </w:rPr>
              <w:t xml:space="preserve"> </w:t>
            </w:r>
            <w:r w:rsidR="00F17A68" w:rsidRPr="00F17A68">
              <w:rPr>
                <w:rFonts w:ascii="Times New Roman" w:hAnsi="Times New Roman" w:cs="Times New Roman"/>
                <w:color w:val="000000" w:themeColor="text1"/>
                <w:sz w:val="20"/>
                <w:szCs w:val="20"/>
              </w:rPr>
              <w:fldChar w:fldCharType="begin"/>
            </w:r>
            <w:r w:rsidR="00F17A68" w:rsidRPr="00F17A68">
              <w:rPr>
                <w:rFonts w:ascii="Times New Roman" w:hAnsi="Times New Roman" w:cs="Times New Roman"/>
                <w:color w:val="000000" w:themeColor="text1"/>
                <w:sz w:val="20"/>
                <w:szCs w:val="20"/>
              </w:rPr>
              <w:instrText xml:space="preserve"> ADDIN ZOTERO_ITEM CSL_CITATION {"citationID":"mHscFOC1","properties":{"formattedCitation":"[51]","plainCitation":"[51]","noteIndex":0},"citationItems":[{"id":416,"uris":["http://zotero.org/users/2581824/items/6LGPRZQX"],"uri":["http://zotero.org/users/2581824/items/6LGPRZQX"],"itemData":{"id":416,"type":"webpage","title":"Overview of ELISA","URL":"https://www.thermofisher.com/us/en/home/life-science/protein-biology/protein-biology-learning-center/protein-biology-resource-library/pierce-protein-methods/overview-elisa.html","author":[{"family":"ThermoFisher Scientific","given":""}],"accessed":{"date-parts":[["2019",2,14]]}}}],"schema":"https://github.com/citation-style-language/schema/raw/master/csl-citation.json"} </w:instrText>
            </w:r>
            <w:r w:rsidR="00F17A68" w:rsidRPr="00F17A68">
              <w:rPr>
                <w:rFonts w:ascii="Times New Roman" w:hAnsi="Times New Roman" w:cs="Times New Roman"/>
                <w:color w:val="000000" w:themeColor="text1"/>
                <w:sz w:val="20"/>
                <w:szCs w:val="20"/>
              </w:rPr>
              <w:fldChar w:fldCharType="separate"/>
            </w:r>
            <w:r w:rsidR="00F17A68" w:rsidRPr="00F17A68">
              <w:rPr>
                <w:rFonts w:ascii="Times New Roman" w:hAnsi="Times New Roman" w:cs="Times New Roman"/>
                <w:sz w:val="20"/>
                <w:szCs w:val="20"/>
              </w:rPr>
              <w:t>[51]</w:t>
            </w:r>
            <w:r w:rsidR="00F17A68" w:rsidRPr="00F17A68">
              <w:rPr>
                <w:rFonts w:ascii="Times New Roman" w:hAnsi="Times New Roman" w:cs="Times New Roman"/>
                <w:color w:val="000000" w:themeColor="text1"/>
                <w:sz w:val="20"/>
                <w:szCs w:val="20"/>
              </w:rPr>
              <w:fldChar w:fldCharType="end"/>
            </w:r>
            <w:r w:rsidR="00007F23">
              <w:rPr>
                <w:rFonts w:ascii="Times New Roman" w:hAnsi="Times New Roman" w:cs="Times New Roman"/>
                <w:color w:val="000000" w:themeColor="text1"/>
                <w:sz w:val="20"/>
                <w:szCs w:val="20"/>
              </w:rPr>
              <w:t>.</w:t>
            </w:r>
            <w:r w:rsidRPr="00F17A68">
              <w:rPr>
                <w:rFonts w:ascii="Times New Roman" w:eastAsia="Arial Unicode MS" w:hAnsi="Times New Roman" w:cs="Times New Roman"/>
                <w:color w:val="000000" w:themeColor="text1"/>
                <w:sz w:val="20"/>
                <w:szCs w:val="20"/>
              </w:rPr>
              <w:t>”</w:t>
            </w:r>
          </w:p>
          <w:p w:rsidR="00077147" w:rsidRPr="00077147" w:rsidRDefault="00077147"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65592C" w:rsidRDefault="0065592C" w:rsidP="0065592C">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07F23" w:rsidRDefault="00007F23" w:rsidP="00007F23">
            <w:pPr>
              <w:tabs>
                <w:tab w:val="left" w:pos="5400"/>
              </w:tabs>
              <w:spacing w:line="240" w:lineRule="auto"/>
              <w:rPr>
                <w:sz w:val="20"/>
              </w:rPr>
            </w:pPr>
            <w:r>
              <w:rPr>
                <w:sz w:val="20"/>
              </w:rPr>
              <w:t>Methods, 3</w:t>
            </w:r>
            <w:r w:rsidRPr="00007F23">
              <w:rPr>
                <w:sz w:val="20"/>
                <w:vertAlign w:val="superscript"/>
              </w:rPr>
              <w:t>rd</w:t>
            </w:r>
            <w:r>
              <w:rPr>
                <w:sz w:val="20"/>
              </w:rPr>
              <w:t xml:space="preserve"> paragraph</w:t>
            </w: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07F23" w:rsidRDefault="00007F23" w:rsidP="00007F23">
            <w:pPr>
              <w:tabs>
                <w:tab w:val="left" w:pos="5400"/>
              </w:tabs>
              <w:spacing w:line="240" w:lineRule="auto"/>
              <w:rPr>
                <w:sz w:val="20"/>
              </w:rPr>
            </w:pPr>
            <w:r>
              <w:rPr>
                <w:sz w:val="20"/>
              </w:rPr>
              <w:t>Methods, 4</w:t>
            </w:r>
            <w:r w:rsidRPr="00007F23">
              <w:rPr>
                <w:sz w:val="20"/>
                <w:vertAlign w:val="superscript"/>
              </w:rPr>
              <w:t>th</w:t>
            </w:r>
            <w:r>
              <w:rPr>
                <w:sz w:val="20"/>
              </w:rPr>
              <w:t xml:space="preserve"> paragraph</w:t>
            </w:r>
          </w:p>
          <w:p w:rsidR="00077147" w:rsidRPr="0022554A" w:rsidRDefault="00077147" w:rsidP="007B0F33">
            <w:pPr>
              <w:tabs>
                <w:tab w:val="left" w:pos="5400"/>
              </w:tabs>
              <w:spacing w:line="240" w:lineRule="auto"/>
              <w:rPr>
                <w:sz w:val="20"/>
              </w:rPr>
            </w:pPr>
          </w:p>
        </w:tc>
      </w:tr>
      <w:tr w:rsidR="00606B93" w:rsidRPr="0022554A" w:rsidTr="00606B93">
        <w:trPr>
          <w:trHeight w:val="294"/>
        </w:trPr>
        <w:tc>
          <w:tcPr>
            <w:tcW w:w="2010" w:type="dxa"/>
          </w:tcPr>
          <w:p w:rsidR="00F968F7" w:rsidRPr="0022554A" w:rsidRDefault="00F968F7" w:rsidP="00077147">
            <w:pPr>
              <w:tabs>
                <w:tab w:val="left" w:pos="5400"/>
              </w:tabs>
              <w:spacing w:line="240" w:lineRule="auto"/>
              <w:rPr>
                <w:bCs/>
                <w:sz w:val="20"/>
              </w:rPr>
            </w:pPr>
            <w:bookmarkStart w:id="30" w:name="bold17"/>
            <w:bookmarkStart w:id="31" w:name="italic18"/>
            <w:bookmarkEnd w:id="27"/>
            <w:bookmarkEnd w:id="28"/>
            <w:r w:rsidRPr="0022554A">
              <w:rPr>
                <w:bCs/>
                <w:sz w:val="20"/>
              </w:rPr>
              <w:lastRenderedPageBreak/>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654" w:type="dxa"/>
          </w:tcPr>
          <w:p w:rsidR="00F968F7" w:rsidRPr="00350D5E" w:rsidRDefault="00F968F7" w:rsidP="00350D5E">
            <w:pPr>
              <w:tabs>
                <w:tab w:val="left" w:pos="5400"/>
              </w:tabs>
              <w:spacing w:line="240" w:lineRule="auto"/>
              <w:rPr>
                <w:sz w:val="20"/>
              </w:rPr>
            </w:pPr>
            <w:r w:rsidRPr="00350D5E">
              <w:rPr>
                <w:sz w:val="20"/>
              </w:rPr>
              <w:t>8</w:t>
            </w:r>
            <w:bookmarkStart w:id="34" w:name="bold19"/>
            <w:r w:rsidRPr="00350D5E">
              <w:rPr>
                <w:bCs/>
                <w:sz w:val="20"/>
              </w:rPr>
              <w:t>*</w:t>
            </w:r>
            <w:bookmarkEnd w:id="34"/>
          </w:p>
        </w:tc>
        <w:tc>
          <w:tcPr>
            <w:tcW w:w="0" w:type="auto"/>
            <w:tcBorders>
              <w:right w:val="single" w:sz="4" w:space="0" w:color="auto"/>
            </w:tcBorders>
          </w:tcPr>
          <w:p w:rsidR="00F968F7" w:rsidRPr="00350D5E" w:rsidRDefault="00F968F7" w:rsidP="00350D5E">
            <w:pPr>
              <w:tabs>
                <w:tab w:val="left" w:pos="5400"/>
              </w:tabs>
              <w:spacing w:line="240" w:lineRule="auto"/>
              <w:rPr>
                <w:sz w:val="20"/>
              </w:rPr>
            </w:pPr>
            <w:r w:rsidRPr="00350D5E">
              <w:rPr>
                <w:sz w:val="20"/>
              </w:rPr>
              <w:t>For each variable of interest, give sources of data and details of methods of assessment (measurement). Describe comparability of assessment methods if there is more than one group</w:t>
            </w:r>
          </w:p>
          <w:p w:rsidR="00077147" w:rsidRPr="00350D5E" w:rsidRDefault="00077147" w:rsidP="00350D5E">
            <w:pPr>
              <w:tabs>
                <w:tab w:val="left" w:pos="5400"/>
              </w:tabs>
              <w:spacing w:line="240" w:lineRule="auto"/>
              <w:rPr>
                <w:sz w:val="20"/>
              </w:rPr>
            </w:pPr>
          </w:p>
          <w:p w:rsidR="00077147" w:rsidRPr="00350D5E" w:rsidRDefault="00077147" w:rsidP="00350D5E">
            <w:pPr>
              <w:tabs>
                <w:tab w:val="left" w:pos="5400"/>
              </w:tabs>
              <w:spacing w:line="240" w:lineRule="auto"/>
              <w:rPr>
                <w:b/>
                <w:sz w:val="20"/>
              </w:rPr>
            </w:pPr>
            <w:r w:rsidRPr="00350D5E">
              <w:rPr>
                <w:b/>
                <w:sz w:val="20"/>
              </w:rPr>
              <w:t>Text:</w:t>
            </w:r>
          </w:p>
          <w:p w:rsidR="00077147" w:rsidRPr="00350D5E" w:rsidRDefault="00077147" w:rsidP="00350D5E">
            <w:pPr>
              <w:tabs>
                <w:tab w:val="left" w:pos="5400"/>
              </w:tabs>
              <w:spacing w:line="240" w:lineRule="auto"/>
              <w:rPr>
                <w:b/>
                <w:sz w:val="20"/>
              </w:rPr>
            </w:pPr>
            <w:r w:rsidRPr="00350D5E">
              <w:rPr>
                <w:sz w:val="20"/>
              </w:rPr>
              <w:t>“</w:t>
            </w:r>
            <w:r w:rsidR="00350D5E" w:rsidRPr="00350D5E">
              <w:rPr>
                <w:color w:val="000000" w:themeColor="text1"/>
                <w:sz w:val="20"/>
              </w:rPr>
              <w:t>The child mortality strata categories were based on 2004 under 5 mortality rates as previously described (Table S1)</w:t>
            </w:r>
            <w:r w:rsidR="00007F23">
              <w:rPr>
                <w:color w:val="000000" w:themeColor="text1"/>
                <w:sz w:val="20"/>
              </w:rPr>
              <w:t xml:space="preserve"> </w:t>
            </w:r>
            <w:r w:rsidR="00350D5E" w:rsidRPr="00350D5E">
              <w:rPr>
                <w:color w:val="000000" w:themeColor="text1"/>
                <w:sz w:val="20"/>
              </w:rPr>
              <w:fldChar w:fldCharType="begin"/>
            </w:r>
            <w:r w:rsidR="00350D5E" w:rsidRPr="00350D5E">
              <w:rPr>
                <w:color w:val="000000" w:themeColor="text1"/>
                <w:sz w:val="20"/>
              </w:rPr>
              <w:instrText xml:space="preserve"> ADDIN ZOTERO_ITEM CSL_CITATION {"citationID":"y1Fhw6l6","properties":{"formattedCitation":"[40,41]","plainCitation":"[40,41]","noteIndex":0},"citationItems":[{"id":33,"uris":["http://zotero.org/users/2581824/items/VUNE6SJP"],"uri":["http://zotero.org/users/2581824/items/VUNE6SJP"],"itemData":{"id":33,"type":"article","title":"List of Member States by WHO region and mortality stratum","publisher":"World Health Organization","URL":"http://www.who.int.proxy.library.emory.edu/whr/2003/en/member_states_182-184_en.pdf","author":[{"family":"World Health Organization","given":""}],"accessed":{"date-parts":[["2017",8,12]]}}},{"id":457,"uris":["http://zotero.org/users/2581824/items/C4IVBGGN"],"uri":["http://zotero.org/users/2581824/items/C4IVBGGN"],"itemData":{"id":457,"type":"webpage","title":"The UN Inter-agency Group for Child Mortality Estimation released the latest estimates on child mortality among children under age 5 and children aged 5-14.","container-title":"Child Mortality Estimates- CME Info","URL":"http://www.childmortality.org/","author":[{"family":"UNICEF","given":""}],"issued":{"date-parts":[["2015",9,9]]},"accessed":{"date-parts":[["2019",1,18]]}}}],"schema":"https://github.com/citation-style-language/schema/raw/master/csl-citation.json"} </w:instrText>
            </w:r>
            <w:r w:rsidR="00350D5E" w:rsidRPr="00350D5E">
              <w:rPr>
                <w:color w:val="000000" w:themeColor="text1"/>
                <w:sz w:val="20"/>
              </w:rPr>
              <w:fldChar w:fldCharType="separate"/>
            </w:r>
            <w:r w:rsidR="00350D5E" w:rsidRPr="00350D5E">
              <w:rPr>
                <w:sz w:val="20"/>
              </w:rPr>
              <w:t>[40,41]</w:t>
            </w:r>
            <w:r w:rsidR="00350D5E" w:rsidRPr="00350D5E">
              <w:rPr>
                <w:color w:val="000000" w:themeColor="text1"/>
                <w:sz w:val="20"/>
              </w:rPr>
              <w:fldChar w:fldCharType="end"/>
            </w:r>
            <w:r w:rsidR="00007F23">
              <w:rPr>
                <w:color w:val="000000" w:themeColor="text1"/>
                <w:sz w:val="20"/>
              </w:rPr>
              <w:t>.</w:t>
            </w:r>
            <w:r w:rsidR="00350D5E" w:rsidRPr="00350D5E">
              <w:rPr>
                <w:color w:val="000000" w:themeColor="text1"/>
                <w:sz w:val="20"/>
              </w:rPr>
              <w:t xml:space="preserve">  Moderately low and very low child mortality settings were combined and categorized as “low” child mortality for the primary analyses.”</w:t>
            </w:r>
          </w:p>
          <w:p w:rsidR="00077147" w:rsidRPr="00350D5E" w:rsidRDefault="00077147" w:rsidP="00350D5E">
            <w:pPr>
              <w:tabs>
                <w:tab w:val="left" w:pos="5400"/>
              </w:tabs>
              <w:spacing w:line="240" w:lineRule="auto"/>
              <w:rPr>
                <w:sz w:val="20"/>
              </w:rPr>
            </w:pPr>
          </w:p>
          <w:p w:rsidR="00077147" w:rsidRPr="00350D5E" w:rsidRDefault="00077147" w:rsidP="00350D5E">
            <w:pPr>
              <w:pStyle w:val="Normal1"/>
              <w:spacing w:line="240" w:lineRule="auto"/>
              <w:rPr>
                <w:rFonts w:ascii="Times New Roman" w:hAnsi="Times New Roman" w:cs="Times New Roman"/>
                <w:color w:val="000000" w:themeColor="text1"/>
                <w:sz w:val="20"/>
                <w:szCs w:val="20"/>
              </w:rPr>
            </w:pPr>
            <w:r w:rsidRPr="00350D5E">
              <w:rPr>
                <w:rFonts w:ascii="Times New Roman" w:hAnsi="Times New Roman" w:cs="Times New Roman"/>
                <w:sz w:val="20"/>
                <w:szCs w:val="20"/>
              </w:rPr>
              <w:t>“</w:t>
            </w:r>
            <w:r w:rsidR="00350D5E" w:rsidRPr="00350D5E">
              <w:rPr>
                <w:rFonts w:ascii="Times New Roman" w:hAnsi="Times New Roman" w:cs="Times New Roman"/>
                <w:color w:val="000000" w:themeColor="text1"/>
                <w:sz w:val="20"/>
                <w:szCs w:val="20"/>
              </w:rPr>
              <w:t>All available data for trial participants were provided by GSK and explanatory variables/covariates were selected for inclusion in the analysis based on existing literature</w:t>
            </w:r>
            <w:r w:rsidR="00007F23">
              <w:rPr>
                <w:rFonts w:ascii="Times New Roman" w:hAnsi="Times New Roman" w:cs="Times New Roman"/>
                <w:color w:val="000000" w:themeColor="text1"/>
                <w:sz w:val="20"/>
                <w:szCs w:val="20"/>
              </w:rPr>
              <w:t xml:space="preserve"> </w:t>
            </w:r>
            <w:r w:rsidR="00350D5E" w:rsidRPr="00350D5E">
              <w:rPr>
                <w:rFonts w:ascii="Times New Roman" w:hAnsi="Times New Roman" w:cs="Times New Roman"/>
                <w:color w:val="000000" w:themeColor="text1"/>
                <w:sz w:val="20"/>
                <w:szCs w:val="20"/>
              </w:rPr>
              <w:fldChar w:fldCharType="begin"/>
            </w:r>
            <w:r w:rsidR="00350D5E" w:rsidRPr="00350D5E">
              <w:rPr>
                <w:rFonts w:ascii="Times New Roman" w:hAnsi="Times New Roman" w:cs="Times New Roman"/>
                <w:color w:val="000000" w:themeColor="text1"/>
                <w:sz w:val="20"/>
                <w:szCs w:val="20"/>
              </w:rPr>
              <w:instrText xml:space="preserve"> ADDIN ZOTERO_ITEM CSL_CITATION {"citationID":"aohfcm4jp1","properties":{"formattedCitation":"[22,24]","plainCitation":"[22,24]","noteIndex":0},"citationItems":[{"id":95,"uris":["http://zotero.org/users/2581824/items/BZZ2Q8IQ"],"uri":["http://zotero.org/users/2581824/items/BZZ2Q8IQ"],"itemData":{"id":95,"type":"article-journal","title":"Oral Rotavirus Vaccines: How Well Will They Work Where They Are Needed Most?","container-title":"The Journal of Infectious Diseases","page":"S39-S48","volume":"200","issue":"s1","source":"CrossRef","DOI":"10.1086/605035","ISSN":"0022-1899, 1537-6613","title-short":"Oral Rotavirus Vaccines","language":"en","author":[{"family":"Patel","given":"Manish"},{"family":"Shane","given":"Andi L."},{"family":"Parashar","given":"Umesh D."},{"family":"Jiang","given":"Baoming"},{"family":"Gentsch","given":"Jon R."},{"family":"Glass","given":"Roger I."}],"issued":{"date-parts":[["2009",11]]}}},{"id":441,"uris":["http://zotero.org/users/2581824/items/6WQ6JDHR"],"uri":["http://zotero.org/users/2581824/items/6WQ6JDHR"],"itemData":{"id":441,"type":"article-journal","title":"Decreased performance of live attenuated, oral rotavirus vaccines in low-income settings: causes and contributing factors","container-title":"Expert Review of Vaccines","page":"1-17","source":"Crossref","DOI":"10.1080/14760584.2018.1418665","ISSN":"1476-0584, 1744-8395","title-short":"Decreased performance of live attenuated, oral rotavirus vaccines in low-income settings","language":"en","author":[{"family":"Velasquez","given":"Daniel E."},{"family":"Parashar","given":"Umesh"},{"family":"Jiang","given":"Baoming"}],"issued":{"date-parts":[["2017",12,29]]}}}],"schema":"https://github.com/citation-style-language/schema/raw/master/csl-citation.json"} </w:instrText>
            </w:r>
            <w:r w:rsidR="00350D5E" w:rsidRPr="00350D5E">
              <w:rPr>
                <w:rFonts w:ascii="Times New Roman" w:hAnsi="Times New Roman" w:cs="Times New Roman"/>
                <w:color w:val="000000" w:themeColor="text1"/>
                <w:sz w:val="20"/>
                <w:szCs w:val="20"/>
              </w:rPr>
              <w:fldChar w:fldCharType="separate"/>
            </w:r>
            <w:r w:rsidR="00350D5E" w:rsidRPr="00350D5E">
              <w:rPr>
                <w:rFonts w:ascii="Times New Roman" w:hAnsi="Times New Roman" w:cs="Times New Roman"/>
                <w:sz w:val="20"/>
                <w:szCs w:val="20"/>
              </w:rPr>
              <w:t>[22,24]</w:t>
            </w:r>
            <w:r w:rsidR="00350D5E" w:rsidRPr="00350D5E">
              <w:rPr>
                <w:rFonts w:ascii="Times New Roman" w:hAnsi="Times New Roman" w:cs="Times New Roman"/>
                <w:color w:val="000000" w:themeColor="text1"/>
                <w:sz w:val="20"/>
                <w:szCs w:val="20"/>
              </w:rPr>
              <w:fldChar w:fldCharType="end"/>
            </w:r>
            <w:r w:rsidR="00007F23">
              <w:rPr>
                <w:rFonts w:ascii="Times New Roman" w:hAnsi="Times New Roman" w:cs="Times New Roman"/>
                <w:color w:val="000000" w:themeColor="text1"/>
                <w:sz w:val="20"/>
                <w:szCs w:val="20"/>
              </w:rPr>
              <w:t>.</w:t>
            </w:r>
            <w:r w:rsidR="00350D5E" w:rsidRPr="00350D5E">
              <w:rPr>
                <w:rFonts w:ascii="Times New Roman" w:hAnsi="Times New Roman" w:cs="Times New Roman"/>
                <w:color w:val="000000" w:themeColor="text1"/>
                <w:sz w:val="20"/>
                <w:szCs w:val="20"/>
              </w:rPr>
              <w:t xml:space="preserve">  GSK data were supplemented with country-level data on gross domestic product (GDP) per capita in 2004 USD</w:t>
            </w:r>
            <w:r w:rsidR="00007F23">
              <w:rPr>
                <w:rFonts w:ascii="Times New Roman" w:hAnsi="Times New Roman" w:cs="Times New Roman"/>
                <w:color w:val="000000" w:themeColor="text1"/>
                <w:sz w:val="20"/>
                <w:szCs w:val="20"/>
              </w:rPr>
              <w:t xml:space="preserve"> </w:t>
            </w:r>
            <w:r w:rsidR="00350D5E" w:rsidRPr="00350D5E">
              <w:rPr>
                <w:rFonts w:ascii="Times New Roman" w:hAnsi="Times New Roman" w:cs="Times New Roman"/>
                <w:color w:val="000000" w:themeColor="text1"/>
                <w:sz w:val="20"/>
                <w:szCs w:val="20"/>
              </w:rPr>
              <w:fldChar w:fldCharType="begin"/>
            </w:r>
            <w:r w:rsidR="00350D5E" w:rsidRPr="00350D5E">
              <w:rPr>
                <w:rFonts w:ascii="Times New Roman" w:hAnsi="Times New Roman" w:cs="Times New Roman"/>
                <w:color w:val="000000" w:themeColor="text1"/>
                <w:sz w:val="20"/>
                <w:szCs w:val="20"/>
              </w:rPr>
              <w:instrText xml:space="preserve"> ADDIN ZOTERO_ITEM CSL_CITATION {"citationID":"PRYotxws","properties":{"formattedCitation":"[42,43]","plainCitation":"[42,43]","noteIndex":0},"citationItems":[{"id":150,"uris":["http://zotero.org/users/2581824/items/IJVEHH7N"],"uri":["http://zotero.org/users/2581824/items/IJVEHH7N"],"itemData":{"id":150,"type":"webpage","title":"World Bank Open Data","container-title":"World Development Indicators","URL":"https://data.worldbank.org/","author":[{"family":"The World Bank","given":""}],"issued":{"date-parts":[["2018"]]},"accessed":{"date-parts":[["2018",9,28]]}}},{"id":135,"uris":["http://zotero.org/users/2581824/items/RWTPMVE2"],"uri":["http://zotero.org/users/2581824/items/RWTPMVE2"],"itemData":{"id":135,"type":"webpage","title":"Taiwan (Taiwan Province of China) GDP per Capita (Current Prices, US Dollars) Statistics","container-title":"Economy Watch","URL":"http://www.economywatch.com/economic-statistics/Taiwan/GDP_Per_Capita_Current_Prices_US_Dollars/#otheryears","issued":{"date-parts":[["2018",11,28]]},"accessed":{"date-parts":[["2018",11,28]]}}}],"schema":"https://github.com/citation-style-language/schema/raw/master/csl-citation.json"} </w:instrText>
            </w:r>
            <w:r w:rsidR="00350D5E" w:rsidRPr="00350D5E">
              <w:rPr>
                <w:rFonts w:ascii="Times New Roman" w:hAnsi="Times New Roman" w:cs="Times New Roman"/>
                <w:color w:val="000000" w:themeColor="text1"/>
                <w:sz w:val="20"/>
                <w:szCs w:val="20"/>
              </w:rPr>
              <w:fldChar w:fldCharType="separate"/>
            </w:r>
            <w:r w:rsidR="00350D5E" w:rsidRPr="00350D5E">
              <w:rPr>
                <w:rFonts w:ascii="Times New Roman" w:hAnsi="Times New Roman" w:cs="Times New Roman"/>
                <w:sz w:val="20"/>
                <w:szCs w:val="20"/>
              </w:rPr>
              <w:t>[42,43]</w:t>
            </w:r>
            <w:r w:rsidR="00350D5E" w:rsidRPr="00350D5E">
              <w:rPr>
                <w:rFonts w:ascii="Times New Roman" w:hAnsi="Times New Roman" w:cs="Times New Roman"/>
                <w:color w:val="000000" w:themeColor="text1"/>
                <w:sz w:val="20"/>
                <w:szCs w:val="20"/>
              </w:rPr>
              <w:fldChar w:fldCharType="end"/>
            </w:r>
            <w:r w:rsidR="00350D5E" w:rsidRPr="00350D5E">
              <w:rPr>
                <w:rFonts w:ascii="Times New Roman" w:hAnsi="Times New Roman" w:cs="Times New Roman"/>
                <w:color w:val="000000" w:themeColor="text1"/>
                <w:sz w:val="20"/>
                <w:szCs w:val="20"/>
              </w:rPr>
              <w:t xml:space="preserve"> to represent a country’s level of development and 2004 under 5 mortality rates</w:t>
            </w:r>
            <w:r w:rsidR="00007F23">
              <w:rPr>
                <w:rFonts w:ascii="Times New Roman" w:hAnsi="Times New Roman" w:cs="Times New Roman"/>
                <w:color w:val="000000" w:themeColor="text1"/>
                <w:sz w:val="20"/>
                <w:szCs w:val="20"/>
              </w:rPr>
              <w:t xml:space="preserve"> </w:t>
            </w:r>
            <w:r w:rsidR="00350D5E" w:rsidRPr="00350D5E">
              <w:rPr>
                <w:rFonts w:ascii="Times New Roman" w:hAnsi="Times New Roman" w:cs="Times New Roman"/>
                <w:color w:val="000000" w:themeColor="text1"/>
                <w:sz w:val="20"/>
                <w:szCs w:val="20"/>
              </w:rPr>
              <w:fldChar w:fldCharType="begin"/>
            </w:r>
            <w:r w:rsidR="00350D5E" w:rsidRPr="00350D5E">
              <w:rPr>
                <w:rFonts w:ascii="Times New Roman" w:hAnsi="Times New Roman" w:cs="Times New Roman"/>
                <w:color w:val="000000" w:themeColor="text1"/>
                <w:sz w:val="20"/>
                <w:szCs w:val="20"/>
              </w:rPr>
              <w:instrText xml:space="preserve"> ADDIN ZOTERO_ITEM CSL_CITATION {"citationID":"a2gvd0bfoth","properties":{"formattedCitation":"[44\\uc0\\u8211{}46]","plainCitation":"[44–46]","noteIndex":0},"citationItems":[{"id":149,"uris":["http://zotero.org/users/2581824/items/VDHEQNGV"],"uri":["http://zotero.org/users/2581824/items/VDHEQNGV"],"itemData":{"id":149,"type":"webpage","title":"Mortality rate, under-5 (per 1,000 live births)","container-title":"World Development Indicators","URL":"https://data.worldbank.org/indicator/sh.dyn.mort","author":[{"family":"The World Bank","given":""}],"issued":{"date-parts":[["2018"]]},"accessed":{"date-parts":[["2018",9,28]]}}},{"id":134,"uris":["http://zotero.org/users/2581824/items/H6GVQ9HQ"],"uri":["http://zotero.org/users/2581824/items/H6GVQ9HQ"],"itemData":{"id":134,"type":"webpage","title":"Hong Kong- Under-five mortality rate","container-title":"Knoema data","URL":"https://knoema.com/atlas/Hong-Kong/topics/Demographics/Mortality/Under-5-mortality-rate","author":[{"family":"Knoema","given":""}],"accessed":{"date-parts":[["2018",11,28]]}}},{"id":133,"uris":["http://zotero.org/users/2581824/items/KWRVVZFW"],"uri":["http://zotero.org/users/2581824/items/KWRVVZFW"],"itemData":{"id":133,"type":"article-journal","title":"Comparing Child Mortality in Taiwan and Selected Industrialized Countries","container-title":"Journal of the Formosan Medical Association","page":"177-180","volume":"106","issue":"2","source":"Crossref","DOI":"10.1016/S0929-6646(09)60237-0","ISSN":"09296646","language":"en","author":[{"family":"Wu","given":"Jennifer Chun-Li"},{"family":"Chiang","given":"Tung-Liang"}],"issued":{"date-parts":[["2007"]]}}}],"schema":"https://github.com/citation-style-language/schema/raw/master/csl-citation.json"} </w:instrText>
            </w:r>
            <w:r w:rsidR="00350D5E" w:rsidRPr="00350D5E">
              <w:rPr>
                <w:rFonts w:ascii="Times New Roman" w:hAnsi="Times New Roman" w:cs="Times New Roman"/>
                <w:color w:val="000000" w:themeColor="text1"/>
                <w:sz w:val="20"/>
                <w:szCs w:val="20"/>
              </w:rPr>
              <w:fldChar w:fldCharType="separate"/>
            </w:r>
            <w:r w:rsidR="00350D5E" w:rsidRPr="00350D5E">
              <w:rPr>
                <w:rFonts w:ascii="Times New Roman" w:hAnsi="Times New Roman" w:cs="Times New Roman"/>
                <w:sz w:val="20"/>
                <w:szCs w:val="20"/>
              </w:rPr>
              <w:t>[44–46]</w:t>
            </w:r>
            <w:r w:rsidR="00350D5E" w:rsidRPr="00350D5E">
              <w:rPr>
                <w:rFonts w:ascii="Times New Roman" w:hAnsi="Times New Roman" w:cs="Times New Roman"/>
                <w:color w:val="000000" w:themeColor="text1"/>
                <w:sz w:val="20"/>
                <w:szCs w:val="20"/>
              </w:rPr>
              <w:fldChar w:fldCharType="end"/>
            </w:r>
            <w:r w:rsidR="00007F23">
              <w:rPr>
                <w:rFonts w:ascii="Times New Roman" w:hAnsi="Times New Roman" w:cs="Times New Roman"/>
                <w:color w:val="000000" w:themeColor="text1"/>
                <w:sz w:val="20"/>
                <w:szCs w:val="20"/>
              </w:rPr>
              <w:t>.</w:t>
            </w:r>
            <w:r w:rsidR="00350D5E" w:rsidRPr="00350D5E">
              <w:rPr>
                <w:rFonts w:ascii="Times New Roman" w:hAnsi="Times New Roman" w:cs="Times New Roman"/>
                <w:color w:val="000000" w:themeColor="text1"/>
                <w:sz w:val="20"/>
                <w:szCs w:val="20"/>
              </w:rPr>
              <w:t xml:space="preserve"> These country-level variables were considered in an effort to capture potential confounders that remained unmeasured despite the individual-level factors available.</w:t>
            </w:r>
            <w:r w:rsidRPr="00350D5E">
              <w:rPr>
                <w:rFonts w:ascii="Times New Roman" w:hAnsi="Times New Roman" w:cs="Times New Roman"/>
                <w:color w:val="000000" w:themeColor="text1"/>
                <w:sz w:val="20"/>
                <w:szCs w:val="20"/>
              </w:rPr>
              <w:t xml:space="preserve">”  </w:t>
            </w:r>
          </w:p>
          <w:p w:rsidR="00077147" w:rsidRPr="00350D5E" w:rsidRDefault="00077147" w:rsidP="00350D5E">
            <w:pPr>
              <w:pStyle w:val="Normal1"/>
              <w:spacing w:line="240" w:lineRule="auto"/>
              <w:rPr>
                <w:rFonts w:ascii="Times New Roman" w:hAnsi="Times New Roman" w:cs="Times New Roman"/>
                <w:color w:val="000000" w:themeColor="text1"/>
                <w:sz w:val="20"/>
                <w:szCs w:val="20"/>
              </w:rPr>
            </w:pPr>
          </w:p>
          <w:p w:rsidR="00077147" w:rsidRDefault="00350D5E" w:rsidP="00350D5E">
            <w:pPr>
              <w:tabs>
                <w:tab w:val="left" w:pos="5400"/>
              </w:tabs>
              <w:spacing w:line="240" w:lineRule="auto"/>
              <w:rPr>
                <w:rFonts w:eastAsia="Arial Unicode MS"/>
                <w:color w:val="000000" w:themeColor="text1"/>
                <w:sz w:val="20"/>
              </w:rPr>
            </w:pPr>
            <w:r w:rsidRPr="00350D5E">
              <w:rPr>
                <w:color w:val="000000" w:themeColor="text1"/>
                <w:sz w:val="20"/>
              </w:rPr>
              <w:t>“</w:t>
            </w:r>
            <w:r w:rsidRPr="00350D5E">
              <w:rPr>
                <w:rFonts w:eastAsia="Arial Unicode MS"/>
                <w:color w:val="000000" w:themeColor="text1"/>
                <w:sz w:val="20"/>
              </w:rPr>
              <w:t xml:space="preserve">Two standard markers for immune response </w:t>
            </w:r>
            <w:r w:rsidRPr="00350D5E">
              <w:rPr>
                <w:rFonts w:eastAsia="Arial Unicode MS"/>
                <w:color w:val="000000" w:themeColor="text1"/>
                <w:sz w:val="20"/>
              </w:rPr>
              <w:fldChar w:fldCharType="begin"/>
            </w:r>
            <w:r w:rsidRPr="00350D5E">
              <w:rPr>
                <w:rFonts w:eastAsia="Arial Unicode MS"/>
                <w:color w:val="000000" w:themeColor="text1"/>
                <w:sz w:val="20"/>
              </w:rPr>
              <w:instrText xml:space="preserve"> ADDIN ZOTERO_ITEM CSL_CITATION {"citationID":"a249b61t5pu","properties":{"formattedCitation":"[47,48]","plainCitation":"[47,48]","noteIndex":0},"citationItems":[{"id":170,"uris":["http://zotero.org/users/2581824/items/7MHACGXJ"],"uri":["http://zotero.org/users/2581824/items/7MHACGXJ"],"itemData":{"id":170,"type":"article-journal","title":"Evaluation of vaccine-induced antibody responses: impact of new technologies","container-title":"Vaccine","page":"2756-2761","volume":"31","issue":"25","source":"PubMed","abstract":"Host response to vaccination has historically been evaluated based on a change in antibody titer that compares the post-vaccination titer to the pre-vaccination titer. A four-fold or greater increase in antigen-specific antibody has been interpreted to indicate an increase in antibody production in response to vaccination. New technologies, such as the bead-based assays, provide investigators and clinicians with precise antibody levels (reported as concentration per mL) in ranges below and above those previously available through standard assays such as ELISA. Evaluations of bead assay data to determine host response to vaccination using fold change and absolute change, with a general linear model used to calculate adjusted statistics, present very different pictures of the antibody response when pre-vaccination antibody levels are low. Absolute changes in bead assay values, although not a standard computation, appears to more accurately reflect the host response to vaccination for those individuals with extremely low pre-vaccination antibody levels. Conversely, for these same individuals, fold change may be very high while post-vaccination antibodies do not achieve seroprotective levels. Absolute change provides an alternate method to characterize host response to vaccination, especially when pre-vaccination levels are very low, and may be useful in studies designed to determine associations between host genotypes and response to vaccination.","DOI":"10.1016/j.vaccine.2013.03.065","ISSN":"1873-2518","note":"PMID: 23583812\nPMCID: PMC3672347","title-short":"Evaluation of vaccine-induced antibody responses","journalAbbreviation":"Vaccine","language":"eng","author":[{"family":"Zaccaro","given":"Daniel J."},{"family":"Wagener","given":"Diane K."},{"family":"Whisnant","given":"Carol C."},{"family":"Staats","given":"Herman F."}],"issued":{"date-parts":[["2013",6,7]]}}},{"id":171,"uris":["http://zotero.org/users/2581824/items/3CQT4W7M"],"uri":["http://zotero.org/users/2581824/items/3CQT4W7M"],"itemData":{"id":171,"type":"article-journal","title":"Seroprotection rate, mean fold increase, seroconversion rate: which parameter adequately expresses seroresponse to influenza vaccination?","container-title":"Virus Research","page":"125-132","volume":"103","issue":"1-2","source":"Crossref","DOI":"10.1016/j.virusres.2004.02.024","ISSN":"01681702","title-short":"Seroprotection rate, mean fold increase, seroconversion rate","language":"en","author":[{"family":"Beyer","given":"W.E.P"},{"family":"Palache","given":"A.M"},{"family":"Lüchters","given":"G"},{"family":"Nauta","given":"J"},{"family":"Osterhaus","given":"A.D.M.E"}],"issued":{"date-parts":[["2004",7]]}}}],"schema":"https://github.com/citation-style-language/schema/raw/master/csl-citation.json"} </w:instrText>
            </w:r>
            <w:r w:rsidRPr="00350D5E">
              <w:rPr>
                <w:rFonts w:eastAsia="Arial Unicode MS"/>
                <w:color w:val="000000" w:themeColor="text1"/>
                <w:sz w:val="20"/>
              </w:rPr>
              <w:fldChar w:fldCharType="separate"/>
            </w:r>
            <w:r w:rsidRPr="00350D5E">
              <w:rPr>
                <w:sz w:val="20"/>
              </w:rPr>
              <w:t>[47,48]</w:t>
            </w:r>
            <w:r w:rsidRPr="00350D5E">
              <w:rPr>
                <w:rFonts w:eastAsia="Arial Unicode MS"/>
                <w:color w:val="000000" w:themeColor="text1"/>
                <w:sz w:val="20"/>
              </w:rPr>
              <w:fldChar w:fldCharType="end"/>
            </w:r>
            <w:r w:rsidRPr="00350D5E">
              <w:rPr>
                <w:rFonts w:eastAsia="Arial Unicode MS"/>
                <w:color w:val="000000" w:themeColor="text1"/>
                <w:sz w:val="20"/>
              </w:rPr>
              <w:t xml:space="preserve"> were </w:t>
            </w:r>
            <w:proofErr w:type="spellStart"/>
            <w:r w:rsidRPr="00350D5E">
              <w:rPr>
                <w:rFonts w:eastAsia="Arial Unicode MS"/>
                <w:color w:val="000000" w:themeColor="text1"/>
                <w:sz w:val="20"/>
              </w:rPr>
              <w:t>analyzed</w:t>
            </w:r>
            <w:proofErr w:type="spellEnd"/>
            <w:r w:rsidRPr="00350D5E">
              <w:rPr>
                <w:rFonts w:eastAsia="Arial Unicode MS"/>
                <w:color w:val="000000" w:themeColor="text1"/>
                <w:sz w:val="20"/>
              </w:rPr>
              <w:t xml:space="preserve"> as outcomes. First, in accordance with pre-specified trial definitions</w:t>
            </w:r>
            <w:r w:rsidR="00007F23">
              <w:rPr>
                <w:rFonts w:eastAsia="Arial Unicode MS"/>
                <w:color w:val="000000" w:themeColor="text1"/>
                <w:sz w:val="20"/>
              </w:rPr>
              <w:t xml:space="preserve"> </w:t>
            </w:r>
            <w:r w:rsidRPr="00350D5E">
              <w:rPr>
                <w:rFonts w:eastAsia="Arial Unicode MS"/>
                <w:color w:val="000000" w:themeColor="text1"/>
                <w:sz w:val="20"/>
              </w:rPr>
              <w:fldChar w:fldCharType="begin"/>
            </w:r>
            <w:r w:rsidRPr="00350D5E">
              <w:rPr>
                <w:rFonts w:eastAsia="Arial Unicode MS"/>
                <w:color w:val="000000" w:themeColor="text1"/>
                <w:sz w:val="20"/>
              </w:rPr>
              <w:instrText xml:space="preserve"> ADDIN ZOTERO_ITEM CSL_CITATION {"citationID":"NOkF4ePX","properties":{"formattedCitation":"[49,50]","plainCitation":"[49,50]","noteIndex":0},"citationItems":[{"id":361,"uris":["http://zotero.org/users/2581824/items/JAGBAAA2"],"uri":["http://zotero.org/users/2581824/items/JAGBAAA2"],"itemData":{"id":361,"type":"article","title":"Safety Study Report Rota-023 (444563/023)","publisher":"GlaxoSmithKline","URL":"https://www.gsk-studyregister.com/study?uniqueStudyId=444563/023","author":[{"family":"GlaxoSmithKline","given":""}],"issued":{"date-parts":[["2004",9,30]]},"accessed":{"date-parts":[["2019",5,17]]}}},{"id":360,"uris":["http://zotero.org/users/2581824/items/8KKHRBVN"],"uri":["http://zotero.org/users/2581824/items/8KKHRBVN"],"itemData":{"id":360,"type":"article","title":"Clinical Study Report for Study 102248 (Rota-037)","publisher":"GlaxoSmithKline","URL":"https://www.gsk-studyregister.com/study?uniqueStudyId=102248","author":[{"family":"GlaxoSmithKline","given":""}],"issued":{"date-parts":[["2009",3,19]]},"accessed":{"date-parts":[["2019",5,17]]}}}],"schema":"https://github.com/citation-style-language/schema/raw/master/csl-citation.json"} </w:instrText>
            </w:r>
            <w:r w:rsidRPr="00350D5E">
              <w:rPr>
                <w:rFonts w:eastAsia="Arial Unicode MS"/>
                <w:color w:val="000000" w:themeColor="text1"/>
                <w:sz w:val="20"/>
              </w:rPr>
              <w:fldChar w:fldCharType="separate"/>
            </w:r>
            <w:r w:rsidRPr="00350D5E">
              <w:rPr>
                <w:sz w:val="20"/>
              </w:rPr>
              <w:t>[49,50]</w:t>
            </w:r>
            <w:r w:rsidRPr="00350D5E">
              <w:rPr>
                <w:rFonts w:eastAsia="Arial Unicode MS"/>
                <w:color w:val="000000" w:themeColor="text1"/>
                <w:sz w:val="20"/>
              </w:rPr>
              <w:fldChar w:fldCharType="end"/>
            </w:r>
            <w:r w:rsidR="00007F23">
              <w:rPr>
                <w:rFonts w:eastAsia="Arial Unicode MS"/>
                <w:color w:val="000000" w:themeColor="text1"/>
                <w:sz w:val="20"/>
              </w:rPr>
              <w:t>,</w:t>
            </w:r>
            <w:r w:rsidRPr="00350D5E">
              <w:rPr>
                <w:rFonts w:eastAsia="Arial Unicode MS"/>
                <w:color w:val="000000" w:themeColor="text1"/>
                <w:sz w:val="20"/>
              </w:rPr>
              <w:t xml:space="preserve"> seroconversion was defined as the appearance of serum </w:t>
            </w:r>
            <w:r w:rsidRPr="00350D5E">
              <w:rPr>
                <w:sz w:val="20"/>
              </w:rPr>
              <w:t xml:space="preserve">anti-rotavirus </w:t>
            </w:r>
            <w:r w:rsidRPr="00350D5E">
              <w:rPr>
                <w:rFonts w:eastAsia="Arial Unicode MS"/>
                <w:color w:val="000000" w:themeColor="text1"/>
                <w:sz w:val="20"/>
              </w:rPr>
              <w:t xml:space="preserve">IgA antibodies (i.e. concentrations </w:t>
            </w:r>
            <w:r w:rsidRPr="00350D5E">
              <w:rPr>
                <w:color w:val="000000" w:themeColor="text1"/>
                <w:sz w:val="20"/>
              </w:rPr>
              <w:t>≥</w:t>
            </w:r>
            <w:r w:rsidRPr="00350D5E">
              <w:rPr>
                <w:rFonts w:eastAsia="Arial Unicode MS"/>
                <w:color w:val="000000" w:themeColor="text1"/>
                <w:sz w:val="20"/>
              </w:rPr>
              <w:t xml:space="preserve">20 U/mL) in subjects initially (prior to the first </w:t>
            </w:r>
            <w:r w:rsidRPr="00350D5E">
              <w:rPr>
                <w:sz w:val="20"/>
              </w:rPr>
              <w:t>rotavirus</w:t>
            </w:r>
            <w:r w:rsidRPr="00350D5E">
              <w:rPr>
                <w:rFonts w:eastAsia="Arial Unicode MS"/>
                <w:color w:val="000000" w:themeColor="text1"/>
                <w:sz w:val="20"/>
              </w:rPr>
              <w:t xml:space="preserve"> dose) seronegative.  The second endpoint of interest was serum </w:t>
            </w:r>
            <w:r w:rsidRPr="00350D5E">
              <w:rPr>
                <w:sz w:val="20"/>
              </w:rPr>
              <w:t xml:space="preserve">anti-rotavirus </w:t>
            </w:r>
            <w:r w:rsidRPr="00350D5E">
              <w:rPr>
                <w:rFonts w:eastAsia="Arial Unicode MS"/>
                <w:color w:val="000000" w:themeColor="text1"/>
                <w:sz w:val="20"/>
              </w:rPr>
              <w:t xml:space="preserve">IgA </w:t>
            </w:r>
            <w:proofErr w:type="spellStart"/>
            <w:r w:rsidRPr="00350D5E">
              <w:rPr>
                <w:rFonts w:eastAsia="Arial Unicode MS"/>
                <w:color w:val="000000" w:themeColor="text1"/>
                <w:sz w:val="20"/>
              </w:rPr>
              <w:t>titer</w:t>
            </w:r>
            <w:proofErr w:type="spellEnd"/>
            <w:r w:rsidRPr="00350D5E">
              <w:rPr>
                <w:rFonts w:eastAsia="Arial Unicode MS"/>
                <w:color w:val="000000" w:themeColor="text1"/>
                <w:sz w:val="20"/>
              </w:rPr>
              <w:t xml:space="preserve"> among infants who seroconverted.  </w:t>
            </w:r>
            <w:r w:rsidRPr="00350D5E">
              <w:rPr>
                <w:color w:val="000000" w:themeColor="text1"/>
                <w:sz w:val="20"/>
              </w:rPr>
              <w:t xml:space="preserve">In all trials, post-vaccine </w:t>
            </w:r>
            <w:r w:rsidRPr="00350D5E">
              <w:rPr>
                <w:sz w:val="20"/>
              </w:rPr>
              <w:t xml:space="preserve">anti-rotavirus </w:t>
            </w:r>
            <w:proofErr w:type="spellStart"/>
            <w:r w:rsidRPr="00350D5E">
              <w:rPr>
                <w:sz w:val="20"/>
              </w:rPr>
              <w:t>titer</w:t>
            </w:r>
            <w:proofErr w:type="spellEnd"/>
            <w:r w:rsidRPr="00350D5E">
              <w:rPr>
                <w:sz w:val="20"/>
              </w:rPr>
              <w:t xml:space="preserve"> </w:t>
            </w:r>
            <w:r w:rsidRPr="00350D5E">
              <w:rPr>
                <w:color w:val="000000" w:themeColor="text1"/>
                <w:sz w:val="20"/>
              </w:rPr>
              <w:t xml:space="preserve">IgA data were collected approximately 4-12 weeks after the last administration of </w:t>
            </w:r>
            <w:r w:rsidRPr="00350D5E">
              <w:rPr>
                <w:sz w:val="20"/>
              </w:rPr>
              <w:t>rotavirus</w:t>
            </w:r>
            <w:r w:rsidRPr="00350D5E">
              <w:rPr>
                <w:color w:val="000000" w:themeColor="text1"/>
                <w:sz w:val="20"/>
              </w:rPr>
              <w:t xml:space="preserve"> vaccine and were measured using enzyme-linked immunosorbent assay (ELISA) techniques</w:t>
            </w:r>
            <w:r w:rsidR="00007F23">
              <w:rPr>
                <w:color w:val="000000" w:themeColor="text1"/>
                <w:sz w:val="20"/>
              </w:rPr>
              <w:t xml:space="preserve"> </w:t>
            </w:r>
            <w:r w:rsidRPr="00350D5E">
              <w:rPr>
                <w:color w:val="000000" w:themeColor="text1"/>
                <w:sz w:val="20"/>
              </w:rPr>
              <w:fldChar w:fldCharType="begin"/>
            </w:r>
            <w:r w:rsidRPr="00350D5E">
              <w:rPr>
                <w:color w:val="000000" w:themeColor="text1"/>
                <w:sz w:val="20"/>
              </w:rPr>
              <w:instrText xml:space="preserve"> ADDIN ZOTERO_ITEM CSL_CITATION {"citationID":"mHscFOC1","properties":{"formattedCitation":"[51]","plainCitation":"[51]","noteIndex":0},"citationItems":[{"id":416,"uris":["http://zotero.org/users/2581824/items/6LGPRZQX"],"uri":["http://zotero.org/users/2581824/items/6LGPRZQX"],"itemData":{"id":416,"type":"webpage","title":"Overview of ELISA","URL":"https://www.thermofisher.com/us/en/home/life-science/protein-biology/protein-biology-learning-center/protein-biology-resource-library/pierce-protein-methods/overview-elisa.html","author":[{"family":"ThermoFisher Scientific","given":""}],"accessed":{"date-parts":[["2019",2,14]]}}}],"schema":"https://github.com/citation-style-language/schema/raw/master/csl-citation.json"} </w:instrText>
            </w:r>
            <w:r w:rsidRPr="00350D5E">
              <w:rPr>
                <w:color w:val="000000" w:themeColor="text1"/>
                <w:sz w:val="20"/>
              </w:rPr>
              <w:fldChar w:fldCharType="separate"/>
            </w:r>
            <w:r w:rsidRPr="00350D5E">
              <w:rPr>
                <w:sz w:val="20"/>
              </w:rPr>
              <w:t>[51]</w:t>
            </w:r>
            <w:r w:rsidRPr="00350D5E">
              <w:rPr>
                <w:color w:val="000000" w:themeColor="text1"/>
                <w:sz w:val="20"/>
              </w:rPr>
              <w:fldChar w:fldCharType="end"/>
            </w:r>
            <w:r w:rsidR="00007F23">
              <w:rPr>
                <w:color w:val="000000" w:themeColor="text1"/>
                <w:sz w:val="20"/>
              </w:rPr>
              <w:t>.</w:t>
            </w:r>
            <w:r w:rsidRPr="00350D5E">
              <w:rPr>
                <w:rFonts w:eastAsia="Arial Unicode MS"/>
                <w:color w:val="000000" w:themeColor="text1"/>
                <w:sz w:val="20"/>
              </w:rPr>
              <w:t>”</w:t>
            </w:r>
          </w:p>
          <w:p w:rsidR="00350D5E" w:rsidRPr="00350D5E" w:rsidRDefault="00350D5E" w:rsidP="00350D5E">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07F23" w:rsidRDefault="00007F23" w:rsidP="00007F23">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07F23" w:rsidRDefault="00007F23" w:rsidP="00007F23">
            <w:pPr>
              <w:tabs>
                <w:tab w:val="left" w:pos="5400"/>
              </w:tabs>
              <w:spacing w:line="240" w:lineRule="auto"/>
              <w:rPr>
                <w:sz w:val="20"/>
              </w:rPr>
            </w:pPr>
            <w:r>
              <w:rPr>
                <w:sz w:val="20"/>
              </w:rPr>
              <w:t>Methods, 3</w:t>
            </w:r>
            <w:r w:rsidRPr="00007F23">
              <w:rPr>
                <w:sz w:val="20"/>
                <w:vertAlign w:val="superscript"/>
              </w:rPr>
              <w:t>rd</w:t>
            </w:r>
            <w:r>
              <w:rPr>
                <w:sz w:val="20"/>
              </w:rPr>
              <w:t xml:space="preserve"> paragraph</w:t>
            </w: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077147">
            <w:pPr>
              <w:tabs>
                <w:tab w:val="left" w:pos="5400"/>
              </w:tabs>
              <w:spacing w:line="240" w:lineRule="auto"/>
              <w:rPr>
                <w:sz w:val="20"/>
              </w:rPr>
            </w:pPr>
          </w:p>
          <w:p w:rsidR="00077147" w:rsidRDefault="00077147" w:rsidP="007B0F33">
            <w:pPr>
              <w:tabs>
                <w:tab w:val="left" w:pos="5400"/>
              </w:tabs>
              <w:spacing w:line="240" w:lineRule="auto"/>
              <w:rPr>
                <w:sz w:val="20"/>
              </w:rPr>
            </w:pPr>
          </w:p>
          <w:p w:rsidR="00007F23" w:rsidRDefault="00007F23" w:rsidP="007B0F33">
            <w:pPr>
              <w:tabs>
                <w:tab w:val="left" w:pos="5400"/>
              </w:tabs>
              <w:spacing w:line="240" w:lineRule="auto"/>
              <w:rPr>
                <w:sz w:val="20"/>
              </w:rPr>
            </w:pPr>
          </w:p>
          <w:p w:rsidR="00007F23" w:rsidRDefault="00007F23" w:rsidP="00007F23">
            <w:pPr>
              <w:tabs>
                <w:tab w:val="left" w:pos="5400"/>
              </w:tabs>
              <w:spacing w:line="240" w:lineRule="auto"/>
              <w:rPr>
                <w:sz w:val="20"/>
              </w:rPr>
            </w:pPr>
            <w:r>
              <w:rPr>
                <w:sz w:val="20"/>
              </w:rPr>
              <w:t>Methods, 4</w:t>
            </w:r>
            <w:r w:rsidRPr="00007F23">
              <w:rPr>
                <w:sz w:val="20"/>
                <w:vertAlign w:val="superscript"/>
              </w:rPr>
              <w:t>th</w:t>
            </w:r>
            <w:r>
              <w:rPr>
                <w:sz w:val="20"/>
              </w:rPr>
              <w:t xml:space="preserve"> paragraph</w:t>
            </w:r>
          </w:p>
          <w:p w:rsidR="00007F23" w:rsidRPr="00077147" w:rsidRDefault="00007F23" w:rsidP="007B0F33">
            <w:pPr>
              <w:tabs>
                <w:tab w:val="left" w:pos="5400"/>
              </w:tabs>
              <w:spacing w:line="240" w:lineRule="auto"/>
              <w:rPr>
                <w:sz w:val="20"/>
              </w:rPr>
            </w:pPr>
          </w:p>
        </w:tc>
      </w:tr>
      <w:tr w:rsidR="00606B93" w:rsidRPr="0022554A" w:rsidTr="00606B93">
        <w:tc>
          <w:tcPr>
            <w:tcW w:w="2010" w:type="dxa"/>
          </w:tcPr>
          <w:p w:rsidR="00F968F7" w:rsidRPr="0022554A" w:rsidRDefault="00F968F7" w:rsidP="00077147">
            <w:pPr>
              <w:tabs>
                <w:tab w:val="left" w:pos="5400"/>
              </w:tabs>
              <w:spacing w:line="240" w:lineRule="auto"/>
              <w:rPr>
                <w:bCs/>
                <w:color w:val="000000"/>
                <w:sz w:val="20"/>
              </w:rPr>
            </w:pPr>
            <w:bookmarkStart w:id="35" w:name="bold20" w:colFirst="0" w:colLast="0"/>
            <w:bookmarkStart w:id="36" w:name="italic20" w:colFirst="0" w:colLast="0"/>
            <w:r w:rsidRPr="0022554A">
              <w:rPr>
                <w:bCs/>
                <w:color w:val="000000"/>
                <w:sz w:val="20"/>
              </w:rPr>
              <w:lastRenderedPageBreak/>
              <w:t>Bias</w:t>
            </w:r>
          </w:p>
        </w:tc>
        <w:tc>
          <w:tcPr>
            <w:tcW w:w="654" w:type="dxa"/>
          </w:tcPr>
          <w:p w:rsidR="00F968F7" w:rsidRPr="0022554A" w:rsidRDefault="00F968F7" w:rsidP="00077147">
            <w:pPr>
              <w:tabs>
                <w:tab w:val="left" w:pos="5400"/>
              </w:tabs>
              <w:spacing w:line="240" w:lineRule="auto"/>
              <w:jc w:val="center"/>
              <w:rPr>
                <w:sz w:val="20"/>
              </w:rPr>
            </w:pPr>
            <w:r w:rsidRPr="0022554A">
              <w:rPr>
                <w:sz w:val="20"/>
              </w:rPr>
              <w:t>9</w:t>
            </w:r>
          </w:p>
        </w:tc>
        <w:tc>
          <w:tcPr>
            <w:tcW w:w="0" w:type="auto"/>
            <w:tcBorders>
              <w:right w:val="single" w:sz="4" w:space="0" w:color="auto"/>
            </w:tcBorders>
          </w:tcPr>
          <w:p w:rsidR="00F968F7" w:rsidRDefault="00F968F7" w:rsidP="00105B47">
            <w:pPr>
              <w:tabs>
                <w:tab w:val="left" w:pos="5400"/>
              </w:tabs>
              <w:spacing w:line="240" w:lineRule="auto"/>
              <w:rPr>
                <w:color w:val="000000"/>
                <w:sz w:val="20"/>
              </w:rPr>
            </w:pPr>
            <w:r w:rsidRPr="0022554A">
              <w:rPr>
                <w:color w:val="000000"/>
                <w:sz w:val="20"/>
              </w:rPr>
              <w:t>Describe any efforts to address potential sources of bias</w:t>
            </w:r>
          </w:p>
          <w:p w:rsidR="00077147" w:rsidRDefault="00077147" w:rsidP="00105B47">
            <w:pPr>
              <w:tabs>
                <w:tab w:val="left" w:pos="5400"/>
              </w:tabs>
              <w:spacing w:line="240" w:lineRule="auto"/>
              <w:rPr>
                <w:color w:val="000000"/>
                <w:sz w:val="20"/>
              </w:rPr>
            </w:pPr>
          </w:p>
          <w:p w:rsidR="00105B47" w:rsidRPr="00105B47" w:rsidRDefault="00105B47" w:rsidP="00105B47">
            <w:pPr>
              <w:tabs>
                <w:tab w:val="left" w:pos="5400"/>
              </w:tabs>
              <w:spacing w:line="240" w:lineRule="auto"/>
              <w:rPr>
                <w:b/>
                <w:color w:val="000000"/>
                <w:sz w:val="20"/>
              </w:rPr>
            </w:pPr>
            <w:r>
              <w:rPr>
                <w:b/>
                <w:color w:val="000000"/>
                <w:sz w:val="20"/>
              </w:rPr>
              <w:t>Text:</w:t>
            </w:r>
          </w:p>
          <w:p w:rsidR="0061634F" w:rsidRPr="0061634F" w:rsidRDefault="00105B47" w:rsidP="0061634F">
            <w:pPr>
              <w:pStyle w:val="Normal1"/>
              <w:spacing w:line="240" w:lineRule="auto"/>
              <w:rPr>
                <w:rFonts w:ascii="Times New Roman" w:hAnsi="Times New Roman" w:cs="Times New Roman"/>
                <w:color w:val="000000" w:themeColor="text1"/>
                <w:sz w:val="20"/>
                <w:szCs w:val="20"/>
              </w:rPr>
            </w:pPr>
            <w:r>
              <w:rPr>
                <w:color w:val="000000" w:themeColor="text1"/>
                <w:sz w:val="20"/>
              </w:rPr>
              <w:t>“</w:t>
            </w:r>
            <w:r w:rsidR="0061634F" w:rsidRPr="00350D5E">
              <w:rPr>
                <w:rFonts w:ascii="Times New Roman" w:hAnsi="Times New Roman" w:cs="Times New Roman"/>
                <w:color w:val="000000" w:themeColor="text1"/>
                <w:sz w:val="20"/>
                <w:szCs w:val="20"/>
              </w:rPr>
              <w:t>GSK data were supplemented with country-level data on gross domestic product (GDP) per capita in 2004 USD</w:t>
            </w:r>
            <w:r w:rsidR="00007F23">
              <w:rPr>
                <w:rFonts w:ascii="Times New Roman" w:hAnsi="Times New Roman" w:cs="Times New Roman"/>
                <w:color w:val="000000" w:themeColor="text1"/>
                <w:sz w:val="20"/>
                <w:szCs w:val="20"/>
              </w:rPr>
              <w:t xml:space="preserve"> </w:t>
            </w:r>
            <w:r w:rsidR="0061634F" w:rsidRPr="00350D5E">
              <w:rPr>
                <w:rFonts w:ascii="Times New Roman" w:hAnsi="Times New Roman" w:cs="Times New Roman"/>
                <w:color w:val="000000" w:themeColor="text1"/>
                <w:sz w:val="20"/>
                <w:szCs w:val="20"/>
              </w:rPr>
              <w:fldChar w:fldCharType="begin"/>
            </w:r>
            <w:r w:rsidR="0061634F" w:rsidRPr="00350D5E">
              <w:rPr>
                <w:rFonts w:ascii="Times New Roman" w:hAnsi="Times New Roman" w:cs="Times New Roman"/>
                <w:color w:val="000000" w:themeColor="text1"/>
                <w:sz w:val="20"/>
                <w:szCs w:val="20"/>
              </w:rPr>
              <w:instrText xml:space="preserve"> ADDIN ZOTERO_ITEM CSL_CITATION {"citationID":"PRYotxws","properties":{"formattedCitation":"[42,43]","plainCitation":"[42,43]","noteIndex":0},"citationItems":[{"id":150,"uris":["http://zotero.org/users/2581824/items/IJVEHH7N"],"uri":["http://zotero.org/users/2581824/items/IJVEHH7N"],"itemData":{"id":150,"type":"webpage","title":"World Bank Open Data","container-title":"World Development Indicators","URL":"https://data.worldbank.org/","author":[{"family":"The World Bank","given":""}],"issued":{"date-parts":[["2018"]]},"accessed":{"date-parts":[["2018",9,28]]}}},{"id":135,"uris":["http://zotero.org/users/2581824/items/RWTPMVE2"],"uri":["http://zotero.org/users/2581824/items/RWTPMVE2"],"itemData":{"id":135,"type":"webpage","title":"Taiwan (Taiwan Province of China) GDP per Capita (Current Prices, US Dollars) Statistics","container-title":"Economy Watch","URL":"http://www.economywatch.com/economic-statistics/Taiwan/GDP_Per_Capita_Current_Prices_US_Dollars/#otheryears","issued":{"date-parts":[["2018",11,28]]},"accessed":{"date-parts":[["2018",11,28]]}}}],"schema":"https://github.com/citation-style-language/schema/raw/master/csl-citation.json"} </w:instrText>
            </w:r>
            <w:r w:rsidR="0061634F" w:rsidRPr="00350D5E">
              <w:rPr>
                <w:rFonts w:ascii="Times New Roman" w:hAnsi="Times New Roman" w:cs="Times New Roman"/>
                <w:color w:val="000000" w:themeColor="text1"/>
                <w:sz w:val="20"/>
                <w:szCs w:val="20"/>
              </w:rPr>
              <w:fldChar w:fldCharType="separate"/>
            </w:r>
            <w:r w:rsidR="0061634F" w:rsidRPr="00350D5E">
              <w:rPr>
                <w:rFonts w:ascii="Times New Roman" w:hAnsi="Times New Roman" w:cs="Times New Roman"/>
                <w:sz w:val="20"/>
                <w:szCs w:val="20"/>
              </w:rPr>
              <w:t>[42,43]</w:t>
            </w:r>
            <w:r w:rsidR="0061634F" w:rsidRPr="00350D5E">
              <w:rPr>
                <w:rFonts w:ascii="Times New Roman" w:hAnsi="Times New Roman" w:cs="Times New Roman"/>
                <w:color w:val="000000" w:themeColor="text1"/>
                <w:sz w:val="20"/>
                <w:szCs w:val="20"/>
              </w:rPr>
              <w:fldChar w:fldCharType="end"/>
            </w:r>
            <w:r w:rsidR="0061634F" w:rsidRPr="00350D5E">
              <w:rPr>
                <w:rFonts w:ascii="Times New Roman" w:hAnsi="Times New Roman" w:cs="Times New Roman"/>
                <w:color w:val="000000" w:themeColor="text1"/>
                <w:sz w:val="20"/>
                <w:szCs w:val="20"/>
              </w:rPr>
              <w:t xml:space="preserve"> to represent a country’s level of development and 2004 under 5 </w:t>
            </w:r>
            <w:r w:rsidR="0061634F" w:rsidRPr="0061634F">
              <w:rPr>
                <w:rFonts w:ascii="Times New Roman" w:hAnsi="Times New Roman" w:cs="Times New Roman"/>
                <w:color w:val="000000" w:themeColor="text1"/>
                <w:sz w:val="20"/>
                <w:szCs w:val="20"/>
              </w:rPr>
              <w:t>mortality rates</w:t>
            </w:r>
            <w:r w:rsidR="00007F23">
              <w:rPr>
                <w:rFonts w:ascii="Times New Roman" w:hAnsi="Times New Roman" w:cs="Times New Roman"/>
                <w:color w:val="000000" w:themeColor="text1"/>
                <w:sz w:val="20"/>
                <w:szCs w:val="20"/>
              </w:rPr>
              <w:t xml:space="preserve"> </w:t>
            </w:r>
            <w:r w:rsidR="0061634F" w:rsidRPr="0061634F">
              <w:rPr>
                <w:rFonts w:ascii="Times New Roman" w:hAnsi="Times New Roman" w:cs="Times New Roman"/>
                <w:color w:val="000000" w:themeColor="text1"/>
                <w:sz w:val="20"/>
                <w:szCs w:val="20"/>
              </w:rPr>
              <w:fldChar w:fldCharType="begin"/>
            </w:r>
            <w:r w:rsidR="0061634F" w:rsidRPr="0061634F">
              <w:rPr>
                <w:rFonts w:ascii="Times New Roman" w:hAnsi="Times New Roman" w:cs="Times New Roman"/>
                <w:color w:val="000000" w:themeColor="text1"/>
                <w:sz w:val="20"/>
                <w:szCs w:val="20"/>
              </w:rPr>
              <w:instrText xml:space="preserve"> ADDIN ZOTERO_ITEM CSL_CITATION {"citationID":"a2gvd0bfoth","properties":{"formattedCitation":"[44\\uc0\\u8211{}46]","plainCitation":"[44–46]","noteIndex":0},"citationItems":[{"id":149,"uris":["http://zotero.org/users/2581824/items/VDHEQNGV"],"uri":["http://zotero.org/users/2581824/items/VDHEQNGV"],"itemData":{"id":149,"type":"webpage","title":"Mortality rate, under-5 (per 1,000 live births)","container-title":"World Development Indicators","URL":"https://data.worldbank.org/indicator/sh.dyn.mort","author":[{"family":"The World Bank","given":""}],"issued":{"date-parts":[["2018"]]},"accessed":{"date-parts":[["2018",9,28]]}}},{"id":134,"uris":["http://zotero.org/users/2581824/items/H6GVQ9HQ"],"uri":["http://zotero.org/users/2581824/items/H6GVQ9HQ"],"itemData":{"id":134,"type":"webpage","title":"Hong Kong- Under-five mortality rate","container-title":"Knoema data","URL":"https://knoema.com/atlas/Hong-Kong/topics/Demographics/Mortality/Under-5-mortality-rate","author":[{"family":"Knoema","given":""}],"accessed":{"date-parts":[["2018",11,28]]}}},{"id":133,"uris":["http://zotero.org/users/2581824/items/KWRVVZFW"],"uri":["http://zotero.org/users/2581824/items/KWRVVZFW"],"itemData":{"id":133,"type":"article-journal","title":"Comparing Child Mortality in Taiwan and Selected Industrialized Countries","container-title":"Journal of the Formosan Medical Association","page":"177-180","volume":"106","issue":"2","source":"Crossref","DOI":"10.1016/S0929-6646(09)60237-0","ISSN":"09296646","language":"en","author":[{"family":"Wu","given":"Jennifer Chun-Li"},{"family":"Chiang","given":"Tung-Liang"}],"issued":{"date-parts":[["2007"]]}}}],"schema":"https://github.com/citation-style-language/schema/raw/master/csl-citation.json"} </w:instrText>
            </w:r>
            <w:r w:rsidR="0061634F" w:rsidRPr="0061634F">
              <w:rPr>
                <w:rFonts w:ascii="Times New Roman" w:hAnsi="Times New Roman" w:cs="Times New Roman"/>
                <w:color w:val="000000" w:themeColor="text1"/>
                <w:sz w:val="20"/>
                <w:szCs w:val="20"/>
              </w:rPr>
              <w:fldChar w:fldCharType="separate"/>
            </w:r>
            <w:r w:rsidR="0061634F" w:rsidRPr="0061634F">
              <w:rPr>
                <w:rFonts w:ascii="Times New Roman" w:hAnsi="Times New Roman" w:cs="Times New Roman"/>
                <w:sz w:val="20"/>
                <w:szCs w:val="20"/>
              </w:rPr>
              <w:t>[44–46]</w:t>
            </w:r>
            <w:r w:rsidR="0061634F" w:rsidRPr="0061634F">
              <w:rPr>
                <w:rFonts w:ascii="Times New Roman" w:hAnsi="Times New Roman" w:cs="Times New Roman"/>
                <w:color w:val="000000" w:themeColor="text1"/>
                <w:sz w:val="20"/>
                <w:szCs w:val="20"/>
              </w:rPr>
              <w:fldChar w:fldCharType="end"/>
            </w:r>
            <w:r w:rsidR="00007F23">
              <w:rPr>
                <w:rFonts w:ascii="Times New Roman" w:hAnsi="Times New Roman" w:cs="Times New Roman"/>
                <w:color w:val="000000" w:themeColor="text1"/>
                <w:sz w:val="20"/>
                <w:szCs w:val="20"/>
              </w:rPr>
              <w:t>.</w:t>
            </w:r>
            <w:r w:rsidR="0061634F" w:rsidRPr="0061634F">
              <w:rPr>
                <w:rFonts w:ascii="Times New Roman" w:hAnsi="Times New Roman" w:cs="Times New Roman"/>
                <w:color w:val="000000" w:themeColor="text1"/>
                <w:sz w:val="20"/>
                <w:szCs w:val="20"/>
              </w:rPr>
              <w:t xml:space="preserve"> These country-level variables were considered in an effort to capture potential confounders that remained unmeasured despite the individual-level factors available.”  </w:t>
            </w:r>
          </w:p>
          <w:p w:rsidR="00105B47" w:rsidRPr="0061634F" w:rsidRDefault="00105B47" w:rsidP="00105B47">
            <w:pPr>
              <w:tabs>
                <w:tab w:val="left" w:pos="5400"/>
              </w:tabs>
              <w:spacing w:line="240" w:lineRule="auto"/>
              <w:rPr>
                <w:color w:val="000000" w:themeColor="text1"/>
                <w:sz w:val="20"/>
              </w:rPr>
            </w:pPr>
          </w:p>
          <w:p w:rsidR="00105B47" w:rsidRPr="0061634F" w:rsidRDefault="00105B47" w:rsidP="00105B47">
            <w:pPr>
              <w:pStyle w:val="Normal1"/>
              <w:spacing w:line="240" w:lineRule="auto"/>
              <w:rPr>
                <w:rFonts w:ascii="Times New Roman" w:hAnsi="Times New Roman" w:cs="Times New Roman"/>
                <w:color w:val="000000" w:themeColor="text1"/>
                <w:sz w:val="20"/>
                <w:szCs w:val="20"/>
              </w:rPr>
            </w:pPr>
            <w:r w:rsidRPr="0061634F">
              <w:rPr>
                <w:rFonts w:ascii="Times New Roman" w:hAnsi="Times New Roman" w:cs="Times New Roman"/>
                <w:color w:val="000000" w:themeColor="text1"/>
                <w:sz w:val="20"/>
                <w:szCs w:val="20"/>
              </w:rPr>
              <w:t>“</w:t>
            </w:r>
            <w:r w:rsidR="0061634F" w:rsidRPr="0061634F">
              <w:rPr>
                <w:rFonts w:ascii="Times New Roman" w:hAnsi="Times New Roman" w:cs="Times New Roman"/>
                <w:color w:val="000000" w:themeColor="text1"/>
                <w:sz w:val="20"/>
                <w:szCs w:val="20"/>
              </w:rPr>
              <w:t>We examined whether the relationships identified using the full, combined dataset remained consistent within each mortality stratum; this would indicate that use of the combined dataset captured differences beyond those driven by child mortality stratum alone.  To this end, a sensitivity analysis was conducted by fitting the final seroconversion model separately to data stratified by high and low child mortality settings, as well as moderately low and very low child mortality settings.</w:t>
            </w:r>
            <w:r w:rsidRPr="0061634F">
              <w:rPr>
                <w:rFonts w:ascii="Times New Roman" w:hAnsi="Times New Roman" w:cs="Times New Roman"/>
                <w:color w:val="000000" w:themeColor="text1"/>
                <w:sz w:val="20"/>
                <w:szCs w:val="20"/>
              </w:rPr>
              <w:t>”</w:t>
            </w:r>
          </w:p>
          <w:p w:rsidR="00105B47" w:rsidRPr="0061634F" w:rsidRDefault="00105B47" w:rsidP="00105B47">
            <w:pPr>
              <w:pStyle w:val="Normal1"/>
              <w:spacing w:line="240" w:lineRule="auto"/>
              <w:rPr>
                <w:rFonts w:ascii="Times New Roman" w:hAnsi="Times New Roman" w:cs="Times New Roman"/>
                <w:color w:val="000000" w:themeColor="text1"/>
                <w:sz w:val="20"/>
                <w:szCs w:val="20"/>
              </w:rPr>
            </w:pPr>
          </w:p>
          <w:p w:rsidR="0061634F" w:rsidRPr="0061634F" w:rsidRDefault="00105B47" w:rsidP="00105B47">
            <w:pPr>
              <w:pStyle w:val="Normal1"/>
              <w:spacing w:line="240" w:lineRule="auto"/>
              <w:rPr>
                <w:rFonts w:ascii="Times New Roman" w:hAnsi="Times New Roman" w:cs="Times New Roman"/>
                <w:color w:val="000000" w:themeColor="text1"/>
                <w:sz w:val="20"/>
                <w:szCs w:val="20"/>
              </w:rPr>
            </w:pPr>
            <w:r w:rsidRPr="0061634F">
              <w:rPr>
                <w:rFonts w:ascii="Times New Roman" w:hAnsi="Times New Roman" w:cs="Times New Roman"/>
                <w:color w:val="000000" w:themeColor="text1"/>
                <w:sz w:val="20"/>
                <w:szCs w:val="20"/>
              </w:rPr>
              <w:t>“</w:t>
            </w:r>
            <w:r w:rsidR="0061634F" w:rsidRPr="0061634F">
              <w:rPr>
                <w:rFonts w:ascii="Times New Roman" w:hAnsi="Times New Roman" w:cs="Times New Roman"/>
                <w:color w:val="000000" w:themeColor="text1"/>
                <w:sz w:val="20"/>
                <w:szCs w:val="20"/>
              </w:rPr>
              <w:t>In addition, the final seroconversion model was tested using a subset of the data comprised of infants who were confirmed to be seronegative prior to vaccination.  This sub-analysis was conducted to confirm that results produced from analysis of the full seroconversion dataset were consistent with results using infants with both pre- and post-vaccine serology.  If consistent, this would suggest that inclusion of infants without pre-vaccine serology data was not causing substantial bias in our estimates.</w:t>
            </w:r>
            <w:r w:rsidRPr="0061634F">
              <w:rPr>
                <w:rFonts w:ascii="Times New Roman" w:hAnsi="Times New Roman" w:cs="Times New Roman"/>
                <w:color w:val="000000" w:themeColor="text1"/>
                <w:sz w:val="20"/>
                <w:szCs w:val="20"/>
              </w:rPr>
              <w:t>”</w:t>
            </w:r>
          </w:p>
          <w:p w:rsidR="00105B47" w:rsidRPr="0022554A" w:rsidRDefault="00105B47" w:rsidP="00077147">
            <w:pPr>
              <w:tabs>
                <w:tab w:val="left" w:pos="5400"/>
              </w:tabs>
              <w:spacing w:line="240" w:lineRule="auto"/>
              <w:rPr>
                <w:color w:val="000000"/>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61634F" w:rsidRDefault="0061634F" w:rsidP="00077147">
            <w:pPr>
              <w:tabs>
                <w:tab w:val="left" w:pos="5400"/>
              </w:tabs>
              <w:spacing w:line="240" w:lineRule="auto"/>
              <w:rPr>
                <w:color w:val="000000"/>
                <w:sz w:val="20"/>
              </w:rPr>
            </w:pPr>
          </w:p>
          <w:p w:rsidR="00007F23" w:rsidRDefault="00007F23" w:rsidP="00007F23">
            <w:pPr>
              <w:tabs>
                <w:tab w:val="left" w:pos="5400"/>
              </w:tabs>
              <w:spacing w:line="240" w:lineRule="auto"/>
              <w:rPr>
                <w:sz w:val="20"/>
              </w:rPr>
            </w:pPr>
            <w:r>
              <w:rPr>
                <w:sz w:val="20"/>
              </w:rPr>
              <w:t>Methods, 3</w:t>
            </w:r>
            <w:r w:rsidRPr="00007F23">
              <w:rPr>
                <w:sz w:val="20"/>
                <w:vertAlign w:val="superscript"/>
              </w:rPr>
              <w:t>rd</w:t>
            </w:r>
            <w:r>
              <w:rPr>
                <w:sz w:val="20"/>
              </w:rPr>
              <w:t xml:space="preserve"> paragraph</w:t>
            </w: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B14D82" w:rsidRDefault="00B14D82" w:rsidP="00077147">
            <w:pPr>
              <w:tabs>
                <w:tab w:val="left" w:pos="5400"/>
              </w:tabs>
              <w:spacing w:line="240" w:lineRule="auto"/>
              <w:rPr>
                <w:color w:val="000000"/>
                <w:sz w:val="20"/>
              </w:rPr>
            </w:pPr>
          </w:p>
          <w:p w:rsidR="00105B47" w:rsidRDefault="00007F23" w:rsidP="00077147">
            <w:pPr>
              <w:tabs>
                <w:tab w:val="left" w:pos="5400"/>
              </w:tabs>
              <w:spacing w:line="240" w:lineRule="auto"/>
              <w:rPr>
                <w:color w:val="000000"/>
                <w:sz w:val="20"/>
              </w:rPr>
            </w:pPr>
            <w:r>
              <w:rPr>
                <w:color w:val="000000"/>
                <w:sz w:val="20"/>
              </w:rPr>
              <w:t>Methods, 2</w:t>
            </w:r>
            <w:r w:rsidRPr="00007F23">
              <w:rPr>
                <w:color w:val="000000"/>
                <w:sz w:val="20"/>
                <w:vertAlign w:val="superscript"/>
              </w:rPr>
              <w:t>nd</w:t>
            </w:r>
            <w:r>
              <w:rPr>
                <w:color w:val="000000"/>
                <w:sz w:val="20"/>
              </w:rPr>
              <w:t xml:space="preserve"> to last paragraph</w:t>
            </w: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105B47" w:rsidRDefault="00105B47" w:rsidP="00077147">
            <w:pPr>
              <w:tabs>
                <w:tab w:val="left" w:pos="5400"/>
              </w:tabs>
              <w:spacing w:line="240" w:lineRule="auto"/>
              <w:rPr>
                <w:color w:val="000000"/>
                <w:sz w:val="20"/>
              </w:rPr>
            </w:pPr>
          </w:p>
          <w:p w:rsidR="00B14D82" w:rsidRDefault="00B14D82" w:rsidP="00077147">
            <w:pPr>
              <w:tabs>
                <w:tab w:val="left" w:pos="5400"/>
              </w:tabs>
              <w:spacing w:line="240" w:lineRule="auto"/>
              <w:rPr>
                <w:color w:val="000000"/>
                <w:sz w:val="20"/>
              </w:rPr>
            </w:pPr>
          </w:p>
          <w:p w:rsidR="00007F23" w:rsidRDefault="00007F23" w:rsidP="00007F23">
            <w:pPr>
              <w:tabs>
                <w:tab w:val="left" w:pos="5400"/>
              </w:tabs>
              <w:spacing w:line="240" w:lineRule="auto"/>
              <w:rPr>
                <w:color w:val="000000"/>
                <w:sz w:val="20"/>
              </w:rPr>
            </w:pPr>
            <w:r>
              <w:rPr>
                <w:color w:val="000000"/>
                <w:sz w:val="20"/>
              </w:rPr>
              <w:t>Methods, 2</w:t>
            </w:r>
            <w:r w:rsidRPr="00007F23">
              <w:rPr>
                <w:color w:val="000000"/>
                <w:sz w:val="20"/>
                <w:vertAlign w:val="superscript"/>
              </w:rPr>
              <w:t>nd</w:t>
            </w:r>
            <w:r>
              <w:rPr>
                <w:color w:val="000000"/>
                <w:sz w:val="20"/>
              </w:rPr>
              <w:t xml:space="preserve"> to last paragraph</w:t>
            </w:r>
          </w:p>
          <w:p w:rsidR="00105B47" w:rsidRPr="0022554A" w:rsidRDefault="00105B47" w:rsidP="00077147">
            <w:pPr>
              <w:tabs>
                <w:tab w:val="left" w:pos="5400"/>
              </w:tabs>
              <w:spacing w:line="240" w:lineRule="auto"/>
              <w:rPr>
                <w:color w:val="000000"/>
                <w:sz w:val="20"/>
              </w:rPr>
            </w:pPr>
          </w:p>
        </w:tc>
      </w:tr>
      <w:tr w:rsidR="00606B93" w:rsidRPr="0022554A" w:rsidTr="00606B93">
        <w:tc>
          <w:tcPr>
            <w:tcW w:w="2010" w:type="dxa"/>
          </w:tcPr>
          <w:p w:rsidR="00F968F7" w:rsidRPr="00300FC9" w:rsidRDefault="00F968F7" w:rsidP="00077147">
            <w:pPr>
              <w:tabs>
                <w:tab w:val="left" w:pos="5400"/>
              </w:tabs>
              <w:spacing w:line="240" w:lineRule="auto"/>
              <w:rPr>
                <w:bCs/>
                <w:sz w:val="20"/>
              </w:rPr>
            </w:pPr>
            <w:bookmarkStart w:id="37" w:name="bold21" w:colFirst="0" w:colLast="0"/>
            <w:bookmarkStart w:id="38" w:name="italic21" w:colFirst="0" w:colLast="0"/>
            <w:bookmarkEnd w:id="35"/>
            <w:bookmarkEnd w:id="36"/>
            <w:r w:rsidRPr="00300FC9">
              <w:rPr>
                <w:bCs/>
                <w:sz w:val="20"/>
              </w:rPr>
              <w:t>Study size</w:t>
            </w:r>
          </w:p>
        </w:tc>
        <w:tc>
          <w:tcPr>
            <w:tcW w:w="654" w:type="dxa"/>
          </w:tcPr>
          <w:p w:rsidR="00F968F7" w:rsidRPr="00502C91" w:rsidRDefault="00F968F7" w:rsidP="00502C91">
            <w:pPr>
              <w:tabs>
                <w:tab w:val="left" w:pos="5400"/>
              </w:tabs>
              <w:spacing w:line="240" w:lineRule="auto"/>
              <w:rPr>
                <w:sz w:val="20"/>
              </w:rPr>
            </w:pPr>
            <w:r w:rsidRPr="00502C91">
              <w:rPr>
                <w:sz w:val="20"/>
              </w:rPr>
              <w:t>10</w:t>
            </w:r>
          </w:p>
        </w:tc>
        <w:tc>
          <w:tcPr>
            <w:tcW w:w="0" w:type="auto"/>
            <w:tcBorders>
              <w:right w:val="single" w:sz="4" w:space="0" w:color="auto"/>
            </w:tcBorders>
          </w:tcPr>
          <w:p w:rsidR="00F968F7" w:rsidRPr="00502C91" w:rsidRDefault="00F968F7" w:rsidP="00502C91">
            <w:pPr>
              <w:tabs>
                <w:tab w:val="left" w:pos="5400"/>
              </w:tabs>
              <w:spacing w:line="240" w:lineRule="auto"/>
              <w:rPr>
                <w:sz w:val="20"/>
              </w:rPr>
            </w:pPr>
            <w:r w:rsidRPr="00502C91">
              <w:rPr>
                <w:sz w:val="20"/>
              </w:rPr>
              <w:t>Explain how the study size was arrived at</w:t>
            </w:r>
          </w:p>
          <w:p w:rsidR="00105B47" w:rsidRPr="00502C91" w:rsidRDefault="00105B47" w:rsidP="00502C91">
            <w:pPr>
              <w:tabs>
                <w:tab w:val="left" w:pos="5400"/>
              </w:tabs>
              <w:spacing w:line="240" w:lineRule="auto"/>
              <w:rPr>
                <w:sz w:val="20"/>
              </w:rPr>
            </w:pPr>
          </w:p>
          <w:p w:rsidR="00105B47" w:rsidRPr="00502C91" w:rsidRDefault="00105B47" w:rsidP="00502C91">
            <w:pPr>
              <w:tabs>
                <w:tab w:val="left" w:pos="5400"/>
              </w:tabs>
              <w:spacing w:line="240" w:lineRule="auto"/>
              <w:rPr>
                <w:b/>
                <w:sz w:val="20"/>
              </w:rPr>
            </w:pPr>
            <w:r w:rsidRPr="00502C91">
              <w:rPr>
                <w:b/>
                <w:sz w:val="20"/>
              </w:rPr>
              <w:t>Text:</w:t>
            </w:r>
          </w:p>
          <w:p w:rsidR="0061634F" w:rsidRPr="00502C91" w:rsidRDefault="0061634F" w:rsidP="00502C91">
            <w:pPr>
              <w:tabs>
                <w:tab w:val="left" w:pos="5400"/>
              </w:tabs>
              <w:spacing w:line="240" w:lineRule="auto"/>
              <w:rPr>
                <w:color w:val="000000" w:themeColor="text1"/>
                <w:sz w:val="20"/>
              </w:rPr>
            </w:pPr>
            <w:r w:rsidRPr="00502C91">
              <w:rPr>
                <w:sz w:val="20"/>
              </w:rPr>
              <w:t>“</w:t>
            </w:r>
            <w:r w:rsidRPr="00502C91">
              <w:rPr>
                <w:color w:val="000000" w:themeColor="text1"/>
                <w:sz w:val="20"/>
              </w:rPr>
              <w:t xml:space="preserve">We pooled individual-level data from infants </w:t>
            </w:r>
            <w:r w:rsidR="00007F23">
              <w:rPr>
                <w:color w:val="000000" w:themeColor="text1"/>
                <w:sz w:val="20"/>
              </w:rPr>
              <w:t>(5-17 weeks of age)</w:t>
            </w:r>
            <w:r w:rsidR="00007F23" w:rsidRPr="00AC0A39">
              <w:rPr>
                <w:color w:val="000000" w:themeColor="text1"/>
                <w:sz w:val="20"/>
              </w:rPr>
              <w:t xml:space="preserve"> </w:t>
            </w:r>
            <w:r w:rsidRPr="00502C91">
              <w:rPr>
                <w:color w:val="000000" w:themeColor="text1"/>
                <w:sz w:val="20"/>
              </w:rPr>
              <w:t>enrolled in GSK’s phase II and III clinical trials of the RV1 vaccine initiated during 2000–2010 (Table 1).”</w:t>
            </w:r>
          </w:p>
          <w:p w:rsidR="00105B47" w:rsidRPr="00502C91" w:rsidRDefault="00105B47" w:rsidP="00502C91">
            <w:pPr>
              <w:tabs>
                <w:tab w:val="left" w:pos="5400"/>
              </w:tabs>
              <w:spacing w:line="240" w:lineRule="auto"/>
              <w:rPr>
                <w:color w:val="000000" w:themeColor="text1"/>
                <w:sz w:val="20"/>
              </w:rPr>
            </w:pPr>
          </w:p>
          <w:p w:rsidR="0061634F" w:rsidRPr="00502C91" w:rsidRDefault="0061634F" w:rsidP="00502C91">
            <w:pPr>
              <w:spacing w:line="240" w:lineRule="auto"/>
              <w:rPr>
                <w:color w:val="000000" w:themeColor="text1"/>
                <w:sz w:val="20"/>
              </w:rPr>
            </w:pPr>
            <w:r w:rsidRPr="00502C91">
              <w:rPr>
                <w:color w:val="000000" w:themeColor="text1"/>
                <w:sz w:val="20"/>
              </w:rPr>
              <w:t xml:space="preserve">“Since the primary aim of the analysis was to examine factors associated with </w:t>
            </w:r>
            <w:r w:rsidRPr="00502C91">
              <w:rPr>
                <w:sz w:val="20"/>
              </w:rPr>
              <w:t>rotavirus</w:t>
            </w:r>
            <w:r w:rsidRPr="00502C91">
              <w:rPr>
                <w:color w:val="000000" w:themeColor="text1"/>
                <w:sz w:val="20"/>
              </w:rPr>
              <w:t xml:space="preserve"> vaccine immunogenicity, data were limited to trial participants who received RV1 (n = 53,292, placebo groups excluded).  Data were further restricted to infants whose trial participation was completed according to protocol (classified by GSK) and who participated in the </w:t>
            </w:r>
            <w:r w:rsidRPr="00502C91">
              <w:rPr>
                <w:sz w:val="20"/>
              </w:rPr>
              <w:t>rotavirus</w:t>
            </w:r>
            <w:r w:rsidRPr="00502C91">
              <w:rPr>
                <w:color w:val="000000" w:themeColor="text1"/>
                <w:sz w:val="20"/>
              </w:rPr>
              <w:t xml:space="preserve"> immunogenicity sub-studies of the trials (n = 8,309). Lastly, infants who had serum sample collection approximately 4-12 weeks from receipt of his/her last rotavirus vaccine dose were included (n = 7,298).”</w:t>
            </w:r>
          </w:p>
          <w:p w:rsidR="00105B47" w:rsidRPr="00502C91" w:rsidRDefault="00105B47" w:rsidP="00502C91">
            <w:pPr>
              <w:spacing w:line="240" w:lineRule="auto"/>
              <w:rPr>
                <w:color w:val="000000" w:themeColor="text1"/>
                <w:sz w:val="20"/>
              </w:rPr>
            </w:pPr>
          </w:p>
          <w:p w:rsidR="00105B47" w:rsidRPr="00502C91" w:rsidRDefault="00105B47" w:rsidP="00502C91">
            <w:pPr>
              <w:pStyle w:val="Normal1"/>
              <w:spacing w:line="240" w:lineRule="auto"/>
              <w:rPr>
                <w:rFonts w:ascii="Times New Roman" w:hAnsi="Times New Roman" w:cs="Times New Roman"/>
                <w:color w:val="000000" w:themeColor="text1"/>
                <w:sz w:val="20"/>
                <w:szCs w:val="20"/>
              </w:rPr>
            </w:pPr>
            <w:r w:rsidRPr="00502C91">
              <w:rPr>
                <w:rFonts w:ascii="Times New Roman" w:hAnsi="Times New Roman" w:cs="Times New Roman"/>
                <w:color w:val="000000" w:themeColor="text1"/>
                <w:sz w:val="20"/>
                <w:szCs w:val="20"/>
              </w:rPr>
              <w:t>“</w:t>
            </w:r>
            <w:r w:rsidR="00502C91" w:rsidRPr="00502C91">
              <w:rPr>
                <w:rFonts w:ascii="Times New Roman" w:hAnsi="Times New Roman" w:cs="Times New Roman"/>
                <w:color w:val="000000" w:themeColor="text1"/>
                <w:sz w:val="20"/>
                <w:szCs w:val="20"/>
              </w:rPr>
              <w:t xml:space="preserve">A total of 18 infants (3 from high child mortality settings) were excluded from analysis due to pre-vaccine serology data indicating these children had prior </w:t>
            </w:r>
            <w:r w:rsidR="00502C91" w:rsidRPr="00502C91">
              <w:rPr>
                <w:rFonts w:ascii="Times New Roman" w:hAnsi="Times New Roman" w:cs="Times New Roman"/>
                <w:color w:val="auto"/>
                <w:sz w:val="20"/>
                <w:szCs w:val="20"/>
              </w:rPr>
              <w:t>rotavirus</w:t>
            </w:r>
            <w:r w:rsidR="00502C91" w:rsidRPr="00502C91">
              <w:rPr>
                <w:rFonts w:ascii="Times New Roman" w:hAnsi="Times New Roman" w:cs="Times New Roman"/>
                <w:color w:val="000000" w:themeColor="text1"/>
                <w:sz w:val="20"/>
                <w:szCs w:val="20"/>
              </w:rPr>
              <w:t xml:space="preserve"> infection (i.e. </w:t>
            </w:r>
            <w:r w:rsidR="00502C91" w:rsidRPr="00502C91">
              <w:rPr>
                <w:rFonts w:ascii="Times New Roman" w:hAnsi="Times New Roman" w:cs="Times New Roman"/>
                <w:sz w:val="20"/>
                <w:szCs w:val="20"/>
              </w:rPr>
              <w:t xml:space="preserve">anti-rotavirus </w:t>
            </w:r>
            <w:r w:rsidR="00502C91" w:rsidRPr="00502C91">
              <w:rPr>
                <w:rFonts w:ascii="Times New Roman" w:hAnsi="Times New Roman" w:cs="Times New Roman"/>
                <w:color w:val="000000" w:themeColor="text1"/>
                <w:sz w:val="20"/>
                <w:szCs w:val="20"/>
              </w:rPr>
              <w:t>IgA titer of ≥20 U/mL prior to the first rotavirus vaccine dose)</w:t>
            </w:r>
            <w:r w:rsidR="00502C91">
              <w:rPr>
                <w:rFonts w:ascii="Times New Roman" w:hAnsi="Times New Roman" w:cs="Times New Roman"/>
                <w:color w:val="000000" w:themeColor="text1"/>
                <w:sz w:val="20"/>
                <w:szCs w:val="20"/>
              </w:rPr>
              <w:t>…</w:t>
            </w:r>
            <w:r w:rsidR="00502C91" w:rsidRPr="00502C91">
              <w:rPr>
                <w:rFonts w:ascii="Times New Roman" w:hAnsi="Times New Roman" w:cs="Times New Roman"/>
                <w:color w:val="000000" w:themeColor="text1"/>
                <w:sz w:val="20"/>
                <w:szCs w:val="20"/>
              </w:rPr>
              <w:t xml:space="preserve"> Data on 7,280 and 5,161 infants were included in the anti-rotavirus IgA seroconversion and anti-rotavirus IgA titer modeling, respectively.</w:t>
            </w:r>
            <w:r w:rsidRPr="00502C91">
              <w:rPr>
                <w:rFonts w:ascii="Times New Roman" w:hAnsi="Times New Roman" w:cs="Times New Roman"/>
                <w:color w:val="000000" w:themeColor="text1"/>
                <w:sz w:val="20"/>
                <w:szCs w:val="20"/>
              </w:rPr>
              <w:t>”</w:t>
            </w:r>
          </w:p>
          <w:p w:rsidR="00105B47" w:rsidRPr="00502C91" w:rsidRDefault="00105B47" w:rsidP="00502C91">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007F23" w:rsidRDefault="00007F23" w:rsidP="00007F23">
            <w:pPr>
              <w:tabs>
                <w:tab w:val="left" w:pos="5400"/>
              </w:tabs>
              <w:spacing w:line="240" w:lineRule="auto"/>
              <w:rPr>
                <w:sz w:val="20"/>
              </w:rPr>
            </w:pPr>
            <w:r>
              <w:rPr>
                <w:sz w:val="20"/>
              </w:rPr>
              <w:t>Methods, 1</w:t>
            </w:r>
            <w:r w:rsidRPr="00535F6E">
              <w:rPr>
                <w:sz w:val="20"/>
                <w:vertAlign w:val="superscript"/>
              </w:rPr>
              <w:t>st</w:t>
            </w:r>
            <w:r>
              <w:rPr>
                <w:sz w:val="20"/>
              </w:rPr>
              <w:t xml:space="preserve"> paragraph</w:t>
            </w: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007F23" w:rsidRDefault="00007F23" w:rsidP="00007F23">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105B47" w:rsidRDefault="00105B47" w:rsidP="00077147">
            <w:pPr>
              <w:tabs>
                <w:tab w:val="left" w:pos="5400"/>
              </w:tabs>
              <w:spacing w:line="240" w:lineRule="auto"/>
              <w:rPr>
                <w:sz w:val="20"/>
              </w:rPr>
            </w:pPr>
          </w:p>
          <w:p w:rsidR="00502C91" w:rsidRDefault="00502C91" w:rsidP="00077147">
            <w:pPr>
              <w:tabs>
                <w:tab w:val="left" w:pos="5400"/>
              </w:tabs>
              <w:spacing w:line="240" w:lineRule="auto"/>
              <w:rPr>
                <w:sz w:val="20"/>
              </w:rPr>
            </w:pPr>
          </w:p>
          <w:p w:rsidR="00105B47" w:rsidRPr="0022554A" w:rsidRDefault="00007F23" w:rsidP="007B0F33">
            <w:pPr>
              <w:tabs>
                <w:tab w:val="left" w:pos="5400"/>
              </w:tabs>
              <w:spacing w:line="240" w:lineRule="auto"/>
              <w:rPr>
                <w:sz w:val="20"/>
              </w:rPr>
            </w:pPr>
            <w:r>
              <w:rPr>
                <w:sz w:val="20"/>
              </w:rPr>
              <w:t>Results, 1</w:t>
            </w:r>
            <w:r w:rsidRPr="00007F23">
              <w:rPr>
                <w:sz w:val="20"/>
                <w:vertAlign w:val="superscript"/>
              </w:rPr>
              <w:t>st</w:t>
            </w:r>
            <w:r>
              <w:rPr>
                <w:sz w:val="20"/>
              </w:rPr>
              <w:t xml:space="preserve"> paragraph</w:t>
            </w:r>
          </w:p>
        </w:tc>
      </w:tr>
      <w:tr w:rsidR="00606B93" w:rsidRPr="0022554A" w:rsidTr="00606B93">
        <w:tc>
          <w:tcPr>
            <w:tcW w:w="2010" w:type="dxa"/>
          </w:tcPr>
          <w:p w:rsidR="00F968F7" w:rsidRPr="00300FC9" w:rsidRDefault="00F968F7" w:rsidP="00077147">
            <w:pPr>
              <w:tabs>
                <w:tab w:val="left" w:pos="5400"/>
              </w:tabs>
              <w:spacing w:line="240" w:lineRule="auto"/>
              <w:rPr>
                <w:bCs/>
                <w:sz w:val="20"/>
              </w:rPr>
            </w:pPr>
            <w:bookmarkStart w:id="39" w:name="bold22"/>
            <w:bookmarkStart w:id="40" w:name="italic22"/>
            <w:bookmarkEnd w:id="37"/>
            <w:bookmarkEnd w:id="38"/>
            <w:r w:rsidRPr="00300FC9">
              <w:rPr>
                <w:bCs/>
                <w:sz w:val="20"/>
              </w:rPr>
              <w:t>Quantitative</w:t>
            </w:r>
            <w:bookmarkStart w:id="41" w:name="bold23"/>
            <w:bookmarkStart w:id="42" w:name="italic23"/>
            <w:bookmarkEnd w:id="39"/>
            <w:bookmarkEnd w:id="40"/>
            <w:r w:rsidRPr="00300FC9">
              <w:rPr>
                <w:bCs/>
                <w:sz w:val="20"/>
              </w:rPr>
              <w:t xml:space="preserve"> variables</w:t>
            </w:r>
            <w:bookmarkEnd w:id="41"/>
            <w:bookmarkEnd w:id="42"/>
          </w:p>
        </w:tc>
        <w:tc>
          <w:tcPr>
            <w:tcW w:w="654" w:type="dxa"/>
          </w:tcPr>
          <w:p w:rsidR="00F968F7" w:rsidRPr="00300FC9" w:rsidRDefault="00F968F7" w:rsidP="00077147">
            <w:pPr>
              <w:tabs>
                <w:tab w:val="left" w:pos="5400"/>
              </w:tabs>
              <w:spacing w:line="240" w:lineRule="auto"/>
              <w:jc w:val="center"/>
              <w:rPr>
                <w:sz w:val="20"/>
              </w:rPr>
            </w:pPr>
            <w:r w:rsidRPr="00300FC9">
              <w:rPr>
                <w:sz w:val="20"/>
              </w:rPr>
              <w:t>11</w:t>
            </w:r>
          </w:p>
        </w:tc>
        <w:tc>
          <w:tcPr>
            <w:tcW w:w="0" w:type="auto"/>
            <w:tcBorders>
              <w:right w:val="single" w:sz="4" w:space="0" w:color="auto"/>
            </w:tcBorders>
          </w:tcPr>
          <w:p w:rsidR="00F968F7" w:rsidRPr="00300FC9" w:rsidRDefault="00F968F7" w:rsidP="00077147">
            <w:pPr>
              <w:tabs>
                <w:tab w:val="left" w:pos="5400"/>
              </w:tabs>
              <w:spacing w:line="240" w:lineRule="auto"/>
              <w:rPr>
                <w:sz w:val="20"/>
              </w:rPr>
            </w:pPr>
            <w:r w:rsidRPr="00300FC9">
              <w:rPr>
                <w:sz w:val="20"/>
              </w:rPr>
              <w:t>Explain how quantitative variables were handled in the analyses. If applicable, describe which groupings were chosen and why</w:t>
            </w:r>
          </w:p>
          <w:p w:rsidR="009161F9" w:rsidRPr="00E10319" w:rsidRDefault="009161F9" w:rsidP="00077147">
            <w:pPr>
              <w:tabs>
                <w:tab w:val="left" w:pos="5400"/>
              </w:tabs>
              <w:spacing w:line="240" w:lineRule="auto"/>
              <w:rPr>
                <w:sz w:val="20"/>
              </w:rPr>
            </w:pPr>
          </w:p>
          <w:p w:rsidR="00FF24F1" w:rsidRPr="00E10319" w:rsidRDefault="00FF24F1" w:rsidP="00077147">
            <w:pPr>
              <w:tabs>
                <w:tab w:val="left" w:pos="5400"/>
              </w:tabs>
              <w:spacing w:line="240" w:lineRule="auto"/>
              <w:rPr>
                <w:b/>
                <w:color w:val="000000" w:themeColor="text1"/>
                <w:sz w:val="20"/>
              </w:rPr>
            </w:pPr>
            <w:r w:rsidRPr="00E10319">
              <w:rPr>
                <w:b/>
                <w:color w:val="000000" w:themeColor="text1"/>
                <w:sz w:val="20"/>
              </w:rPr>
              <w:t>Text:</w:t>
            </w:r>
          </w:p>
          <w:p w:rsidR="007B0F33" w:rsidRPr="00E10319" w:rsidRDefault="00FF24F1" w:rsidP="007B0F33">
            <w:pPr>
              <w:tabs>
                <w:tab w:val="left" w:pos="5400"/>
              </w:tabs>
              <w:spacing w:line="240" w:lineRule="auto"/>
              <w:rPr>
                <w:color w:val="000000" w:themeColor="text1"/>
                <w:sz w:val="20"/>
              </w:rPr>
            </w:pPr>
            <w:r w:rsidRPr="00E10319">
              <w:rPr>
                <w:color w:val="000000" w:themeColor="text1"/>
                <w:sz w:val="20"/>
              </w:rPr>
              <w:t>“</w:t>
            </w:r>
            <w:r w:rsidR="00E10319" w:rsidRPr="00E10319">
              <w:rPr>
                <w:color w:val="000000" w:themeColor="text1"/>
                <w:sz w:val="20"/>
              </w:rPr>
              <w:t xml:space="preserve">Individual-level variables in the initial model included: time from last </w:t>
            </w:r>
            <w:r w:rsidR="00E10319" w:rsidRPr="00E10319">
              <w:rPr>
                <w:sz w:val="20"/>
              </w:rPr>
              <w:t>rotavirus</w:t>
            </w:r>
            <w:r w:rsidR="00E10319" w:rsidRPr="00E10319">
              <w:rPr>
                <w:color w:val="000000" w:themeColor="text1"/>
                <w:sz w:val="20"/>
              </w:rPr>
              <w:t xml:space="preserve"> dose to serology sample, number of </w:t>
            </w:r>
            <w:r w:rsidR="00E10319" w:rsidRPr="00E10319">
              <w:rPr>
                <w:sz w:val="20"/>
              </w:rPr>
              <w:t>rotavirus</w:t>
            </w:r>
            <w:r w:rsidR="00E10319" w:rsidRPr="00E10319">
              <w:rPr>
                <w:color w:val="000000" w:themeColor="text1"/>
                <w:sz w:val="20"/>
              </w:rPr>
              <w:t xml:space="preserve"> vaccine doses, age at first vaccine dose (weeks), vaccine concentration, sex, length-for-age z-score (LAZ) to represent </w:t>
            </w:r>
            <w:r w:rsidR="00E10319" w:rsidRPr="00E10319">
              <w:rPr>
                <w:color w:val="000000" w:themeColor="text1"/>
                <w:sz w:val="20"/>
              </w:rPr>
              <w:lastRenderedPageBreak/>
              <w:t>nutritional status, and concomitant OPV.  Country-level variables in the initial model included: GDP, under 5 mortality rate, and child mortality stratum (dichotomous).</w:t>
            </w:r>
            <w:r w:rsidRPr="00E10319">
              <w:rPr>
                <w:color w:val="000000" w:themeColor="text1"/>
                <w:sz w:val="20"/>
              </w:rPr>
              <w:t>”</w:t>
            </w:r>
          </w:p>
          <w:p w:rsidR="00FF24F1" w:rsidRPr="00300FC9" w:rsidRDefault="007B0F33" w:rsidP="007B0F33">
            <w:pPr>
              <w:tabs>
                <w:tab w:val="left" w:pos="5400"/>
              </w:tabs>
              <w:spacing w:line="240" w:lineRule="auto"/>
              <w:rPr>
                <w:sz w:val="20"/>
              </w:rPr>
            </w:pPr>
            <w:r w:rsidRPr="00300FC9">
              <w:rPr>
                <w:sz w:val="20"/>
              </w:rPr>
              <w:t xml:space="preserve"> </w:t>
            </w: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300FC9" w:rsidRDefault="00300FC9" w:rsidP="00077147">
            <w:pPr>
              <w:tabs>
                <w:tab w:val="left" w:pos="5400"/>
              </w:tabs>
              <w:spacing w:line="240" w:lineRule="auto"/>
              <w:rPr>
                <w:sz w:val="20"/>
              </w:rPr>
            </w:pPr>
          </w:p>
          <w:p w:rsidR="00300FC9" w:rsidRDefault="00300FC9" w:rsidP="00077147">
            <w:pPr>
              <w:tabs>
                <w:tab w:val="left" w:pos="5400"/>
              </w:tabs>
              <w:spacing w:line="240" w:lineRule="auto"/>
              <w:rPr>
                <w:sz w:val="20"/>
              </w:rPr>
            </w:pPr>
          </w:p>
          <w:p w:rsidR="00300FC9" w:rsidRDefault="00300FC9" w:rsidP="00077147">
            <w:pPr>
              <w:tabs>
                <w:tab w:val="left" w:pos="5400"/>
              </w:tabs>
              <w:spacing w:line="240" w:lineRule="auto"/>
              <w:rPr>
                <w:sz w:val="20"/>
              </w:rPr>
            </w:pPr>
          </w:p>
          <w:p w:rsidR="00300FC9" w:rsidRPr="0022554A" w:rsidRDefault="00007F23" w:rsidP="007B0F33">
            <w:pPr>
              <w:tabs>
                <w:tab w:val="left" w:pos="5400"/>
              </w:tabs>
              <w:spacing w:line="240" w:lineRule="auto"/>
              <w:rPr>
                <w:sz w:val="20"/>
              </w:rPr>
            </w:pPr>
            <w:r>
              <w:rPr>
                <w:sz w:val="20"/>
              </w:rPr>
              <w:t>Methods, 7</w:t>
            </w:r>
            <w:r w:rsidRPr="00007F23">
              <w:rPr>
                <w:sz w:val="20"/>
                <w:vertAlign w:val="superscript"/>
              </w:rPr>
              <w:t>th</w:t>
            </w:r>
            <w:r>
              <w:rPr>
                <w:sz w:val="20"/>
              </w:rPr>
              <w:t xml:space="preserve"> paragraph</w:t>
            </w:r>
          </w:p>
        </w:tc>
      </w:tr>
      <w:tr w:rsidR="00606B93" w:rsidRPr="0022554A" w:rsidTr="00606B93">
        <w:tc>
          <w:tcPr>
            <w:tcW w:w="2010" w:type="dxa"/>
            <w:vMerge w:val="restart"/>
          </w:tcPr>
          <w:p w:rsidR="00F968F7" w:rsidRPr="0022554A" w:rsidRDefault="00F968F7" w:rsidP="00077147">
            <w:pPr>
              <w:tabs>
                <w:tab w:val="left" w:pos="5400"/>
              </w:tabs>
              <w:spacing w:line="240" w:lineRule="auto"/>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654" w:type="dxa"/>
            <w:vMerge w:val="restart"/>
          </w:tcPr>
          <w:p w:rsidR="00F968F7" w:rsidRPr="0022554A" w:rsidRDefault="00F968F7" w:rsidP="00077147">
            <w:pPr>
              <w:tabs>
                <w:tab w:val="left" w:pos="5400"/>
              </w:tabs>
              <w:spacing w:line="240" w:lineRule="auto"/>
              <w:jc w:val="center"/>
              <w:rPr>
                <w:sz w:val="20"/>
              </w:rPr>
            </w:pPr>
            <w:r w:rsidRPr="0022554A">
              <w:rPr>
                <w:sz w:val="20"/>
              </w:rPr>
              <w:t>12</w:t>
            </w:r>
          </w:p>
        </w:tc>
        <w:tc>
          <w:tcPr>
            <w:tcW w:w="0" w:type="auto"/>
            <w:tcBorders>
              <w:right w:val="single" w:sz="4" w:space="0" w:color="auto"/>
            </w:tcBorders>
          </w:tcPr>
          <w:p w:rsidR="00F968F7" w:rsidRPr="00FF24F1" w:rsidRDefault="00FF24F1" w:rsidP="00FF24F1">
            <w:pPr>
              <w:tabs>
                <w:tab w:val="left" w:pos="5400"/>
              </w:tabs>
              <w:spacing w:line="240" w:lineRule="auto"/>
              <w:rPr>
                <w:sz w:val="20"/>
              </w:rPr>
            </w:pPr>
            <w:r w:rsidRPr="00FF24F1">
              <w:rPr>
                <w:i/>
                <w:sz w:val="20"/>
              </w:rPr>
              <w:t>(</w:t>
            </w:r>
            <w:r w:rsidRPr="00FF24F1">
              <w:rPr>
                <w:sz w:val="20"/>
              </w:rPr>
              <w:t xml:space="preserve">a) </w:t>
            </w:r>
            <w:r w:rsidR="00F968F7" w:rsidRPr="00FF24F1">
              <w:rPr>
                <w:sz w:val="20"/>
              </w:rPr>
              <w:t>Describe all statistical methods, including those used to control for confounding</w:t>
            </w:r>
          </w:p>
          <w:p w:rsidR="00FF24F1" w:rsidRPr="00FF24F1" w:rsidRDefault="00FF24F1" w:rsidP="00FF24F1">
            <w:pPr>
              <w:spacing w:line="240" w:lineRule="auto"/>
              <w:rPr>
                <w:sz w:val="20"/>
              </w:rPr>
            </w:pPr>
          </w:p>
          <w:p w:rsidR="00FF24F1" w:rsidRPr="00532B75" w:rsidRDefault="00FF24F1" w:rsidP="00FF24F1">
            <w:pPr>
              <w:spacing w:line="240" w:lineRule="auto"/>
              <w:rPr>
                <w:sz w:val="20"/>
              </w:rPr>
            </w:pPr>
            <w:r w:rsidRPr="00FF24F1">
              <w:rPr>
                <w:b/>
                <w:sz w:val="20"/>
              </w:rPr>
              <w:t>Text:</w:t>
            </w:r>
          </w:p>
          <w:p w:rsidR="00FF24F1" w:rsidRPr="00532B75" w:rsidRDefault="00FF24F1" w:rsidP="00FF24F1">
            <w:pPr>
              <w:spacing w:line="240" w:lineRule="auto"/>
              <w:rPr>
                <w:color w:val="000000" w:themeColor="text1"/>
                <w:sz w:val="20"/>
              </w:rPr>
            </w:pPr>
            <w:r w:rsidRPr="00532B75">
              <w:rPr>
                <w:sz w:val="20"/>
              </w:rPr>
              <w:t>“</w:t>
            </w:r>
            <w:r w:rsidR="00532B75" w:rsidRPr="00532B75">
              <w:rPr>
                <w:color w:val="000000" w:themeColor="text1"/>
                <w:sz w:val="20"/>
              </w:rPr>
              <w:t xml:space="preserve">Regression models were fit to estimate the effects of individual and country-level factors on vaccine immunogenicity outcomes while controlling for potential confounders. Mixed effect logistic regression and mixed effect linear regression models were used to </w:t>
            </w:r>
            <w:proofErr w:type="spellStart"/>
            <w:r w:rsidR="00532B75" w:rsidRPr="00532B75">
              <w:rPr>
                <w:color w:val="000000" w:themeColor="text1"/>
                <w:sz w:val="20"/>
              </w:rPr>
              <w:t>analyze</w:t>
            </w:r>
            <w:proofErr w:type="spellEnd"/>
            <w:r w:rsidR="00532B75" w:rsidRPr="00532B75">
              <w:rPr>
                <w:color w:val="000000" w:themeColor="text1"/>
                <w:sz w:val="20"/>
              </w:rPr>
              <w:t xml:space="preserve"> the anti-rotavirus IgA seroconversion (dichotomous) and anti-rotavirus IgA antibody </w:t>
            </w:r>
            <w:proofErr w:type="spellStart"/>
            <w:r w:rsidR="00532B75" w:rsidRPr="00532B75">
              <w:rPr>
                <w:color w:val="000000" w:themeColor="text1"/>
                <w:sz w:val="20"/>
              </w:rPr>
              <w:t>titer</w:t>
            </w:r>
            <w:proofErr w:type="spellEnd"/>
            <w:r w:rsidR="00532B75" w:rsidRPr="00532B75">
              <w:rPr>
                <w:color w:val="000000" w:themeColor="text1"/>
                <w:sz w:val="20"/>
              </w:rPr>
              <w:t xml:space="preserve"> (continuous, log transformed) outcomes, respectively.</w:t>
            </w:r>
            <w:r w:rsidRPr="00532B75">
              <w:rPr>
                <w:color w:val="000000" w:themeColor="text1"/>
                <w:sz w:val="20"/>
              </w:rPr>
              <w:t>”</w:t>
            </w:r>
          </w:p>
          <w:p w:rsidR="00FF24F1" w:rsidRPr="00532B75" w:rsidRDefault="00FF24F1" w:rsidP="00FF24F1">
            <w:pPr>
              <w:spacing w:line="240" w:lineRule="auto"/>
              <w:rPr>
                <w:color w:val="000000" w:themeColor="text1"/>
                <w:sz w:val="20"/>
              </w:rPr>
            </w:pPr>
          </w:p>
          <w:p w:rsidR="00FF24F1" w:rsidRPr="00532B75" w:rsidRDefault="00FF24F1" w:rsidP="00532B75">
            <w:pPr>
              <w:pStyle w:val="Normal1"/>
              <w:spacing w:line="240" w:lineRule="auto"/>
              <w:rPr>
                <w:rFonts w:ascii="Times New Roman" w:hAnsi="Times New Roman" w:cs="Times New Roman"/>
                <w:color w:val="000000" w:themeColor="text1"/>
                <w:sz w:val="20"/>
                <w:szCs w:val="20"/>
              </w:rPr>
            </w:pPr>
            <w:r w:rsidRPr="00FF24F1">
              <w:rPr>
                <w:rFonts w:ascii="Times New Roman" w:hAnsi="Times New Roman" w:cs="Times New Roman"/>
                <w:color w:val="000000" w:themeColor="text1"/>
                <w:sz w:val="20"/>
                <w:szCs w:val="20"/>
              </w:rPr>
              <w:t>“</w:t>
            </w:r>
            <w:r w:rsidR="00532B75" w:rsidRPr="00532B75">
              <w:rPr>
                <w:rFonts w:ascii="Times New Roman" w:hAnsi="Times New Roman" w:cs="Times New Roman"/>
                <w:color w:val="000000" w:themeColor="text1"/>
                <w:sz w:val="20"/>
                <w:szCs w:val="20"/>
              </w:rPr>
              <w:t>The modeling strategy for both outcomes began with variable specification, incorporating all individual-level characteristics as explanatory variables and controlling for potential country-level covariates selected based on variable distributions and existing literature.</w:t>
            </w:r>
            <w:r w:rsidRPr="00532B75">
              <w:rPr>
                <w:rFonts w:ascii="Times New Roman" w:hAnsi="Times New Roman" w:cs="Times New Roman"/>
                <w:color w:val="000000" w:themeColor="text1"/>
                <w:sz w:val="20"/>
                <w:szCs w:val="20"/>
              </w:rPr>
              <w:t>”</w:t>
            </w:r>
          </w:p>
          <w:p w:rsidR="00FF24F1" w:rsidRPr="00532B75" w:rsidRDefault="00FF24F1" w:rsidP="00532B75">
            <w:pPr>
              <w:pStyle w:val="Normal1"/>
              <w:spacing w:line="240" w:lineRule="auto"/>
              <w:rPr>
                <w:rFonts w:ascii="Times New Roman" w:hAnsi="Times New Roman" w:cs="Times New Roman"/>
                <w:color w:val="000000" w:themeColor="text1"/>
                <w:sz w:val="20"/>
                <w:szCs w:val="20"/>
              </w:rPr>
            </w:pPr>
          </w:p>
          <w:p w:rsidR="00FF24F1" w:rsidRPr="00532B75" w:rsidRDefault="00FF24F1" w:rsidP="00532B75">
            <w:pPr>
              <w:pStyle w:val="Normal1"/>
              <w:spacing w:line="240" w:lineRule="auto"/>
              <w:rPr>
                <w:rFonts w:ascii="Times New Roman" w:hAnsi="Times New Roman" w:cs="Times New Roman"/>
                <w:color w:val="000000" w:themeColor="text1"/>
                <w:sz w:val="20"/>
                <w:szCs w:val="20"/>
              </w:rPr>
            </w:pPr>
            <w:r w:rsidRPr="00532B75">
              <w:rPr>
                <w:rFonts w:ascii="Times New Roman" w:hAnsi="Times New Roman" w:cs="Times New Roman"/>
                <w:color w:val="000000" w:themeColor="text1"/>
                <w:sz w:val="20"/>
                <w:szCs w:val="20"/>
              </w:rPr>
              <w:t>“</w:t>
            </w:r>
            <w:r w:rsidR="00532B75" w:rsidRPr="00532B75">
              <w:rPr>
                <w:rFonts w:ascii="Times New Roman" w:hAnsi="Times New Roman" w:cs="Times New Roman"/>
                <w:color w:val="000000" w:themeColor="text1"/>
                <w:sz w:val="20"/>
                <w:szCs w:val="20"/>
              </w:rPr>
              <w:t>Random effects were employed using a random intercept for each trial to account for potentially unmeasured differences between trial protocols or environments.  The initial model included all explanatory variables of interest and incorporated interaction terms between each main effect and child mortality stratum.  The model was applied to combined data from all child mortality strata and backwards elimination was then conducted using an α = 0.10 cut-off for variable inclusion, maintaining a hierarchically well-formulated model throughout.</w:t>
            </w:r>
            <w:r w:rsidRPr="00532B75">
              <w:rPr>
                <w:rFonts w:ascii="Times New Roman" w:hAnsi="Times New Roman" w:cs="Times New Roman"/>
                <w:color w:val="000000" w:themeColor="text1"/>
                <w:sz w:val="20"/>
                <w:szCs w:val="20"/>
              </w:rPr>
              <w:t>”</w:t>
            </w:r>
          </w:p>
          <w:p w:rsidR="00FF24F1" w:rsidRPr="00532B75" w:rsidRDefault="00FF24F1" w:rsidP="00FF24F1">
            <w:pPr>
              <w:pStyle w:val="Normal1"/>
              <w:spacing w:line="240" w:lineRule="auto"/>
              <w:rPr>
                <w:rFonts w:ascii="Times New Roman" w:hAnsi="Times New Roman" w:cs="Times New Roman"/>
                <w:color w:val="000000" w:themeColor="text1"/>
                <w:sz w:val="20"/>
                <w:szCs w:val="20"/>
              </w:rPr>
            </w:pPr>
          </w:p>
          <w:p w:rsidR="00FF24F1" w:rsidRPr="00532B75" w:rsidRDefault="00FF24F1" w:rsidP="00FF24F1">
            <w:pPr>
              <w:pStyle w:val="Normal1"/>
              <w:spacing w:line="240" w:lineRule="auto"/>
              <w:rPr>
                <w:rFonts w:ascii="Times New Roman" w:hAnsi="Times New Roman" w:cs="Times New Roman"/>
                <w:color w:val="000000" w:themeColor="text1"/>
                <w:sz w:val="20"/>
                <w:szCs w:val="20"/>
              </w:rPr>
            </w:pPr>
            <w:r w:rsidRPr="00532B75">
              <w:rPr>
                <w:rFonts w:ascii="Times New Roman" w:hAnsi="Times New Roman" w:cs="Times New Roman"/>
                <w:color w:val="000000" w:themeColor="text1"/>
                <w:sz w:val="20"/>
                <w:szCs w:val="20"/>
              </w:rPr>
              <w:t>“</w:t>
            </w:r>
            <w:r w:rsidR="00532B75" w:rsidRPr="00532B75">
              <w:rPr>
                <w:rFonts w:ascii="Times New Roman" w:hAnsi="Times New Roman" w:cs="Times New Roman"/>
                <w:color w:val="000000" w:themeColor="text1"/>
                <w:sz w:val="20"/>
                <w:szCs w:val="20"/>
              </w:rPr>
              <w:t>Backwards elimination was subsequently performed after each variable was modified.  Where initial models were prohibitively large and issues with model convergence were encountered, the most informative end models resulting from previous backwards elimination procedures were used as the starting point for investigation of refined measures.  After all variables were explored, the most parsimonious model with all relevant variables and covariates was selected as the final model using Akaike information criterion (AIC) criteria (lower AIC indicating a better model) and assessed for multicollinearity using variance inflation factors (VIFs).”</w:t>
            </w:r>
          </w:p>
          <w:p w:rsidR="00FF24F1" w:rsidRPr="00FF24F1" w:rsidRDefault="00FF24F1" w:rsidP="00FF24F1">
            <w:pPr>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007F23" w:rsidP="00077147">
            <w:pPr>
              <w:tabs>
                <w:tab w:val="left" w:pos="5400"/>
              </w:tabs>
              <w:spacing w:line="240" w:lineRule="auto"/>
              <w:rPr>
                <w:sz w:val="20"/>
              </w:rPr>
            </w:pPr>
            <w:r>
              <w:rPr>
                <w:sz w:val="20"/>
              </w:rPr>
              <w:t>Methods, 5</w:t>
            </w:r>
            <w:r w:rsidRPr="00007F23">
              <w:rPr>
                <w:sz w:val="20"/>
                <w:vertAlign w:val="superscript"/>
              </w:rPr>
              <w:t>th</w:t>
            </w:r>
            <w:r>
              <w:rPr>
                <w:sz w:val="20"/>
              </w:rPr>
              <w:t xml:space="preserve"> paragraph</w:t>
            </w: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B04B4C" w:rsidP="00077147">
            <w:pPr>
              <w:tabs>
                <w:tab w:val="left" w:pos="5400"/>
              </w:tabs>
              <w:spacing w:line="240" w:lineRule="auto"/>
              <w:rPr>
                <w:sz w:val="20"/>
              </w:rPr>
            </w:pPr>
            <w:r>
              <w:rPr>
                <w:sz w:val="20"/>
              </w:rPr>
              <w:t>Methods, 7</w:t>
            </w:r>
            <w:r w:rsidRPr="00B04B4C">
              <w:rPr>
                <w:sz w:val="20"/>
                <w:vertAlign w:val="superscript"/>
              </w:rPr>
              <w:t>th</w:t>
            </w:r>
            <w:r>
              <w:rPr>
                <w:sz w:val="20"/>
              </w:rPr>
              <w:t xml:space="preserve"> paragraph</w:t>
            </w: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B04B4C" w:rsidRDefault="00B04B4C" w:rsidP="00B04B4C">
            <w:pPr>
              <w:tabs>
                <w:tab w:val="left" w:pos="5400"/>
              </w:tabs>
              <w:spacing w:line="240" w:lineRule="auto"/>
              <w:rPr>
                <w:sz w:val="20"/>
              </w:rPr>
            </w:pPr>
            <w:r>
              <w:rPr>
                <w:sz w:val="20"/>
              </w:rPr>
              <w:t>Methods, 7</w:t>
            </w:r>
            <w:r w:rsidRPr="00B04B4C">
              <w:rPr>
                <w:sz w:val="20"/>
                <w:vertAlign w:val="superscript"/>
              </w:rPr>
              <w:t>th</w:t>
            </w:r>
            <w:r>
              <w:rPr>
                <w:sz w:val="20"/>
              </w:rPr>
              <w:t xml:space="preserve"> paragraph</w:t>
            </w: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B04B4C" w:rsidRDefault="00B04B4C" w:rsidP="00B04B4C">
            <w:pPr>
              <w:tabs>
                <w:tab w:val="left" w:pos="5400"/>
              </w:tabs>
              <w:spacing w:line="240" w:lineRule="auto"/>
              <w:rPr>
                <w:sz w:val="20"/>
              </w:rPr>
            </w:pPr>
            <w:r>
              <w:rPr>
                <w:sz w:val="20"/>
              </w:rPr>
              <w:t>Methods, 8</w:t>
            </w:r>
            <w:r w:rsidRPr="00B04B4C">
              <w:rPr>
                <w:sz w:val="20"/>
                <w:vertAlign w:val="superscript"/>
              </w:rPr>
              <w:t>th</w:t>
            </w:r>
            <w:r>
              <w:rPr>
                <w:sz w:val="20"/>
              </w:rPr>
              <w:t xml:space="preserve"> paragraph</w:t>
            </w:r>
          </w:p>
          <w:p w:rsidR="00FF24F1" w:rsidRPr="0022554A" w:rsidRDefault="00FF24F1" w:rsidP="007B0F33">
            <w:pPr>
              <w:tabs>
                <w:tab w:val="left" w:pos="5400"/>
              </w:tabs>
              <w:spacing w:line="240" w:lineRule="auto"/>
              <w:rPr>
                <w:sz w:val="20"/>
              </w:rPr>
            </w:pP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45" w:name="bold24" w:colFirst="0" w:colLast="0"/>
            <w:bookmarkStart w:id="46" w:name="italic26" w:colFirst="0" w:colLast="0"/>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Pr="001775FD" w:rsidRDefault="00F968F7" w:rsidP="00FF24F1">
            <w:pPr>
              <w:tabs>
                <w:tab w:val="left" w:pos="5400"/>
              </w:tabs>
              <w:spacing w:line="240" w:lineRule="auto"/>
              <w:rPr>
                <w:sz w:val="20"/>
              </w:rPr>
            </w:pPr>
            <w:r w:rsidRPr="00FF24F1">
              <w:rPr>
                <w:sz w:val="20"/>
              </w:rPr>
              <w:t>(</w:t>
            </w:r>
            <w:r w:rsidRPr="00FF24F1">
              <w:rPr>
                <w:i/>
                <w:sz w:val="20"/>
              </w:rPr>
              <w:t>b</w:t>
            </w:r>
            <w:r w:rsidRPr="00FF24F1">
              <w:rPr>
                <w:sz w:val="20"/>
              </w:rPr>
              <w:t>) Describe any methods used to examine subgroups and interactions</w:t>
            </w:r>
          </w:p>
          <w:p w:rsidR="00FF24F1" w:rsidRPr="001775FD" w:rsidRDefault="00FF24F1" w:rsidP="00FF24F1">
            <w:pPr>
              <w:tabs>
                <w:tab w:val="left" w:pos="5400"/>
              </w:tabs>
              <w:spacing w:line="240" w:lineRule="auto"/>
              <w:rPr>
                <w:sz w:val="20"/>
              </w:rPr>
            </w:pPr>
          </w:p>
          <w:p w:rsidR="001775FD" w:rsidRPr="00E154B4" w:rsidRDefault="001775FD" w:rsidP="00FF24F1">
            <w:pPr>
              <w:pStyle w:val="Normal1"/>
              <w:spacing w:line="240" w:lineRule="auto"/>
              <w:rPr>
                <w:rFonts w:ascii="Times New Roman" w:hAnsi="Times New Roman" w:cs="Times New Roman"/>
                <w:color w:val="000000" w:themeColor="text1"/>
                <w:sz w:val="20"/>
                <w:szCs w:val="20"/>
              </w:rPr>
            </w:pPr>
            <w:r w:rsidRPr="00E154B4">
              <w:rPr>
                <w:rFonts w:ascii="Times New Roman" w:hAnsi="Times New Roman" w:cs="Times New Roman"/>
                <w:b/>
                <w:color w:val="000000" w:themeColor="text1"/>
                <w:sz w:val="20"/>
                <w:szCs w:val="20"/>
              </w:rPr>
              <w:t>Text:</w:t>
            </w:r>
          </w:p>
          <w:p w:rsidR="001775FD" w:rsidRPr="00E154B4" w:rsidRDefault="001775FD" w:rsidP="00FF24F1">
            <w:pPr>
              <w:pStyle w:val="Normal1"/>
              <w:spacing w:line="240" w:lineRule="auto"/>
              <w:rPr>
                <w:rFonts w:ascii="Times New Roman" w:hAnsi="Times New Roman" w:cs="Times New Roman"/>
                <w:color w:val="000000" w:themeColor="text1"/>
                <w:sz w:val="20"/>
                <w:szCs w:val="20"/>
              </w:rPr>
            </w:pPr>
            <w:r w:rsidRPr="00E154B4">
              <w:rPr>
                <w:rFonts w:ascii="Times New Roman" w:hAnsi="Times New Roman" w:cs="Times New Roman"/>
                <w:color w:val="000000" w:themeColor="text1"/>
                <w:sz w:val="20"/>
                <w:szCs w:val="20"/>
              </w:rPr>
              <w:t>“</w:t>
            </w:r>
            <w:r w:rsidR="00E154B4" w:rsidRPr="00E154B4">
              <w:rPr>
                <w:rFonts w:ascii="Times New Roman" w:hAnsi="Times New Roman" w:cs="Times New Roman"/>
                <w:color w:val="000000" w:themeColor="text1"/>
                <w:sz w:val="20"/>
                <w:szCs w:val="20"/>
              </w:rPr>
              <w:t>The initial model included all explanatory variables of interest and incorporated interaction terms between each main effect and child mortality stratum.</w:t>
            </w:r>
            <w:r w:rsidRPr="00E154B4">
              <w:rPr>
                <w:rFonts w:ascii="Times New Roman" w:hAnsi="Times New Roman" w:cs="Times New Roman"/>
                <w:color w:val="000000" w:themeColor="text1"/>
                <w:sz w:val="20"/>
                <w:szCs w:val="20"/>
              </w:rPr>
              <w:t>”</w:t>
            </w:r>
          </w:p>
          <w:p w:rsidR="001775FD" w:rsidRPr="00E154B4" w:rsidRDefault="001775FD" w:rsidP="00FF24F1">
            <w:pPr>
              <w:pStyle w:val="Normal1"/>
              <w:spacing w:line="240" w:lineRule="auto"/>
              <w:rPr>
                <w:rFonts w:ascii="Times New Roman" w:hAnsi="Times New Roman" w:cs="Times New Roman"/>
                <w:color w:val="000000" w:themeColor="text1"/>
                <w:sz w:val="20"/>
                <w:szCs w:val="20"/>
              </w:rPr>
            </w:pPr>
          </w:p>
          <w:p w:rsidR="00E154B4" w:rsidRPr="0061634F" w:rsidRDefault="00E154B4" w:rsidP="00E154B4">
            <w:pPr>
              <w:pStyle w:val="Normal1"/>
              <w:spacing w:line="240" w:lineRule="auto"/>
              <w:rPr>
                <w:rFonts w:ascii="Times New Roman" w:hAnsi="Times New Roman" w:cs="Times New Roman"/>
                <w:color w:val="000000" w:themeColor="text1"/>
                <w:sz w:val="20"/>
                <w:szCs w:val="20"/>
              </w:rPr>
            </w:pPr>
            <w:r w:rsidRPr="00E154B4">
              <w:rPr>
                <w:rFonts w:ascii="Times New Roman" w:hAnsi="Times New Roman" w:cs="Times New Roman"/>
                <w:color w:val="000000" w:themeColor="text1"/>
                <w:sz w:val="20"/>
                <w:szCs w:val="20"/>
              </w:rPr>
              <w:t>“We examined whether the relationships identified using the full, combined dataset remained consistent within each mortality stratum; this would</w:t>
            </w:r>
            <w:r w:rsidRPr="0061634F">
              <w:rPr>
                <w:rFonts w:ascii="Times New Roman" w:hAnsi="Times New Roman" w:cs="Times New Roman"/>
                <w:color w:val="000000" w:themeColor="text1"/>
                <w:sz w:val="20"/>
                <w:szCs w:val="20"/>
              </w:rPr>
              <w:t xml:space="preserve"> indicate that use of the combined dataset captured differences beyond those driven by child mortality stratum alone.  To this end, a sensitivity analysis was conducted by fitting the final seroconversion model separately to data stratified by high and low child mortality settings, as well as moderately low and very low child mortality settings.”</w:t>
            </w:r>
          </w:p>
          <w:p w:rsidR="00E154B4" w:rsidRPr="0061634F" w:rsidRDefault="00E154B4" w:rsidP="00E154B4">
            <w:pPr>
              <w:pStyle w:val="Normal1"/>
              <w:spacing w:line="240" w:lineRule="auto"/>
              <w:rPr>
                <w:rFonts w:ascii="Times New Roman" w:hAnsi="Times New Roman" w:cs="Times New Roman"/>
                <w:color w:val="000000" w:themeColor="text1"/>
                <w:sz w:val="20"/>
                <w:szCs w:val="20"/>
              </w:rPr>
            </w:pPr>
          </w:p>
          <w:p w:rsidR="00E154B4" w:rsidRPr="0061634F" w:rsidRDefault="00E154B4" w:rsidP="00E154B4">
            <w:pPr>
              <w:pStyle w:val="Normal1"/>
              <w:spacing w:line="240" w:lineRule="auto"/>
              <w:rPr>
                <w:rFonts w:ascii="Times New Roman" w:hAnsi="Times New Roman" w:cs="Times New Roman"/>
                <w:color w:val="000000" w:themeColor="text1"/>
                <w:sz w:val="20"/>
                <w:szCs w:val="20"/>
              </w:rPr>
            </w:pPr>
            <w:r w:rsidRPr="0061634F">
              <w:rPr>
                <w:rFonts w:ascii="Times New Roman" w:hAnsi="Times New Roman" w:cs="Times New Roman"/>
                <w:color w:val="000000" w:themeColor="text1"/>
                <w:sz w:val="20"/>
                <w:szCs w:val="20"/>
              </w:rPr>
              <w:t xml:space="preserve">“In addition, the final seroconversion model was tested using a subset of the data comprised of infants who were confirmed to be </w:t>
            </w:r>
            <w:r w:rsidRPr="0061634F">
              <w:rPr>
                <w:rFonts w:ascii="Times New Roman" w:hAnsi="Times New Roman" w:cs="Times New Roman"/>
                <w:color w:val="000000" w:themeColor="text1"/>
                <w:sz w:val="20"/>
                <w:szCs w:val="20"/>
              </w:rPr>
              <w:lastRenderedPageBreak/>
              <w:t>seronegative prior to vaccination.  This sub-analysis was conducted to confirm that results produced from analysis of the full seroconversion dataset were consistent with results using infants with both pre- and post-vaccine serology.  If consistent, this would suggest that inclusion of infants without pre-vaccine serology data was not causing substantial bias in our estimates.”</w:t>
            </w:r>
          </w:p>
          <w:p w:rsidR="00FF24F1" w:rsidRPr="00FF24F1" w:rsidRDefault="00FF24F1" w:rsidP="00FF24F1">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4A7100" w:rsidRDefault="004A7100" w:rsidP="00077147">
            <w:pPr>
              <w:tabs>
                <w:tab w:val="left" w:pos="5400"/>
              </w:tabs>
              <w:spacing w:line="240" w:lineRule="auto"/>
              <w:rPr>
                <w:sz w:val="20"/>
              </w:rPr>
            </w:pPr>
          </w:p>
          <w:p w:rsidR="001775FD" w:rsidRDefault="001775FD" w:rsidP="00077147">
            <w:pPr>
              <w:tabs>
                <w:tab w:val="left" w:pos="5400"/>
              </w:tabs>
              <w:spacing w:line="240" w:lineRule="auto"/>
              <w:rPr>
                <w:sz w:val="20"/>
              </w:rPr>
            </w:pPr>
          </w:p>
          <w:p w:rsidR="001775FD" w:rsidRDefault="001775FD" w:rsidP="00077147">
            <w:pPr>
              <w:tabs>
                <w:tab w:val="left" w:pos="5400"/>
              </w:tabs>
              <w:spacing w:line="240" w:lineRule="auto"/>
              <w:rPr>
                <w:sz w:val="20"/>
              </w:rPr>
            </w:pPr>
          </w:p>
          <w:p w:rsidR="00B04B4C" w:rsidRDefault="00B04B4C" w:rsidP="00B04B4C">
            <w:pPr>
              <w:tabs>
                <w:tab w:val="left" w:pos="5400"/>
              </w:tabs>
              <w:spacing w:line="240" w:lineRule="auto"/>
              <w:rPr>
                <w:sz w:val="20"/>
              </w:rPr>
            </w:pPr>
            <w:r>
              <w:rPr>
                <w:sz w:val="20"/>
              </w:rPr>
              <w:t>Methods, 7</w:t>
            </w:r>
            <w:r w:rsidRPr="00B04B4C">
              <w:rPr>
                <w:sz w:val="20"/>
                <w:vertAlign w:val="superscript"/>
              </w:rPr>
              <w:t>th</w:t>
            </w:r>
            <w:r>
              <w:rPr>
                <w:sz w:val="20"/>
              </w:rPr>
              <w:t xml:space="preserve"> paragraph</w:t>
            </w:r>
          </w:p>
          <w:p w:rsidR="001775FD" w:rsidRDefault="001775FD" w:rsidP="00077147">
            <w:pPr>
              <w:tabs>
                <w:tab w:val="left" w:pos="5400"/>
              </w:tabs>
              <w:spacing w:line="240" w:lineRule="auto"/>
              <w:rPr>
                <w:sz w:val="20"/>
              </w:rPr>
            </w:pPr>
          </w:p>
          <w:p w:rsidR="001775FD" w:rsidRDefault="001775FD" w:rsidP="00077147">
            <w:pPr>
              <w:tabs>
                <w:tab w:val="left" w:pos="5400"/>
              </w:tabs>
              <w:spacing w:line="240" w:lineRule="auto"/>
              <w:rPr>
                <w:sz w:val="20"/>
              </w:rPr>
            </w:pPr>
          </w:p>
          <w:p w:rsidR="004A7100" w:rsidRDefault="00B04B4C" w:rsidP="007B0F33">
            <w:pPr>
              <w:tabs>
                <w:tab w:val="left" w:pos="5400"/>
              </w:tabs>
              <w:spacing w:line="240" w:lineRule="auto"/>
              <w:rPr>
                <w:sz w:val="20"/>
              </w:rPr>
            </w:pPr>
            <w:r>
              <w:rPr>
                <w:sz w:val="20"/>
              </w:rPr>
              <w:t>Methods, 2</w:t>
            </w:r>
            <w:r w:rsidRPr="00B04B4C">
              <w:rPr>
                <w:sz w:val="20"/>
                <w:vertAlign w:val="superscript"/>
              </w:rPr>
              <w:t>nd</w:t>
            </w:r>
            <w:r>
              <w:rPr>
                <w:sz w:val="20"/>
              </w:rPr>
              <w:t xml:space="preserve"> to last paragraph</w:t>
            </w:r>
          </w:p>
          <w:p w:rsidR="00E154B4" w:rsidRDefault="00E154B4" w:rsidP="007B0F33">
            <w:pPr>
              <w:tabs>
                <w:tab w:val="left" w:pos="5400"/>
              </w:tabs>
              <w:spacing w:line="240" w:lineRule="auto"/>
              <w:rPr>
                <w:sz w:val="20"/>
              </w:rPr>
            </w:pPr>
          </w:p>
          <w:p w:rsidR="00E154B4" w:rsidRDefault="00E154B4" w:rsidP="007B0F33">
            <w:pPr>
              <w:tabs>
                <w:tab w:val="left" w:pos="5400"/>
              </w:tabs>
              <w:spacing w:line="240" w:lineRule="auto"/>
              <w:rPr>
                <w:sz w:val="20"/>
              </w:rPr>
            </w:pPr>
          </w:p>
          <w:p w:rsidR="00E154B4" w:rsidRDefault="00E154B4" w:rsidP="007B0F33">
            <w:pPr>
              <w:tabs>
                <w:tab w:val="left" w:pos="5400"/>
              </w:tabs>
              <w:spacing w:line="240" w:lineRule="auto"/>
              <w:rPr>
                <w:sz w:val="20"/>
              </w:rPr>
            </w:pPr>
          </w:p>
          <w:p w:rsidR="00E154B4" w:rsidRDefault="00E154B4" w:rsidP="007B0F33">
            <w:pPr>
              <w:tabs>
                <w:tab w:val="left" w:pos="5400"/>
              </w:tabs>
              <w:spacing w:line="240" w:lineRule="auto"/>
              <w:rPr>
                <w:sz w:val="20"/>
              </w:rPr>
            </w:pPr>
          </w:p>
          <w:p w:rsidR="00E154B4" w:rsidRDefault="00E154B4" w:rsidP="007B0F33">
            <w:pPr>
              <w:tabs>
                <w:tab w:val="left" w:pos="5400"/>
              </w:tabs>
              <w:spacing w:line="240" w:lineRule="auto"/>
              <w:rPr>
                <w:sz w:val="20"/>
              </w:rPr>
            </w:pPr>
          </w:p>
          <w:p w:rsidR="00E154B4" w:rsidRDefault="00E154B4" w:rsidP="007B0F33">
            <w:pPr>
              <w:tabs>
                <w:tab w:val="left" w:pos="5400"/>
              </w:tabs>
              <w:spacing w:line="240" w:lineRule="auto"/>
              <w:rPr>
                <w:sz w:val="20"/>
              </w:rPr>
            </w:pPr>
          </w:p>
          <w:p w:rsidR="00B04B4C" w:rsidRDefault="00B04B4C" w:rsidP="00B04B4C">
            <w:pPr>
              <w:tabs>
                <w:tab w:val="left" w:pos="5400"/>
              </w:tabs>
              <w:spacing w:line="240" w:lineRule="auto"/>
              <w:rPr>
                <w:sz w:val="20"/>
              </w:rPr>
            </w:pPr>
            <w:r>
              <w:rPr>
                <w:sz w:val="20"/>
              </w:rPr>
              <w:lastRenderedPageBreak/>
              <w:t>Methods, 2</w:t>
            </w:r>
            <w:r w:rsidRPr="00B04B4C">
              <w:rPr>
                <w:sz w:val="20"/>
                <w:vertAlign w:val="superscript"/>
              </w:rPr>
              <w:t>nd</w:t>
            </w:r>
            <w:r>
              <w:rPr>
                <w:sz w:val="20"/>
              </w:rPr>
              <w:t xml:space="preserve"> to last paragraph</w:t>
            </w:r>
          </w:p>
          <w:p w:rsidR="00E154B4" w:rsidRPr="0022554A" w:rsidRDefault="00E154B4" w:rsidP="007B0F33">
            <w:pPr>
              <w:tabs>
                <w:tab w:val="left" w:pos="5400"/>
              </w:tabs>
              <w:spacing w:line="240" w:lineRule="auto"/>
              <w:rPr>
                <w:sz w:val="20"/>
              </w:rPr>
            </w:pP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47" w:name="bold25" w:colFirst="0" w:colLast="0"/>
            <w:bookmarkStart w:id="48" w:name="italic27" w:colFirst="0" w:colLast="0"/>
            <w:bookmarkEnd w:id="45"/>
            <w:bookmarkEnd w:id="46"/>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Default="00F968F7" w:rsidP="00077147">
            <w:pPr>
              <w:tabs>
                <w:tab w:val="left" w:pos="5400"/>
              </w:tabs>
              <w:spacing w:line="240" w:lineRule="auto"/>
              <w:rPr>
                <w:sz w:val="20"/>
              </w:rPr>
            </w:pPr>
            <w:r w:rsidRPr="0022554A">
              <w:rPr>
                <w:sz w:val="20"/>
              </w:rPr>
              <w:t>(</w:t>
            </w:r>
            <w:r w:rsidRPr="0022554A">
              <w:rPr>
                <w:i/>
                <w:sz w:val="20"/>
              </w:rPr>
              <w:t>c</w:t>
            </w:r>
            <w:r w:rsidRPr="0022554A">
              <w:rPr>
                <w:sz w:val="20"/>
              </w:rPr>
              <w:t>) Explain how missing data were addressed</w:t>
            </w:r>
          </w:p>
          <w:p w:rsidR="00FF24F1" w:rsidRDefault="00FF24F1" w:rsidP="00077147">
            <w:pPr>
              <w:tabs>
                <w:tab w:val="left" w:pos="5400"/>
              </w:tabs>
              <w:spacing w:line="240" w:lineRule="auto"/>
              <w:rPr>
                <w:sz w:val="20"/>
              </w:rPr>
            </w:pPr>
          </w:p>
          <w:p w:rsidR="00FF24F1" w:rsidRPr="00D626E0" w:rsidRDefault="00FF24F1" w:rsidP="00077147">
            <w:pPr>
              <w:tabs>
                <w:tab w:val="left" w:pos="5400"/>
              </w:tabs>
              <w:spacing w:line="240" w:lineRule="auto"/>
              <w:rPr>
                <w:sz w:val="20"/>
              </w:rPr>
            </w:pPr>
            <w:r w:rsidRPr="00D626E0">
              <w:rPr>
                <w:b/>
                <w:sz w:val="20"/>
              </w:rPr>
              <w:t>Text:</w:t>
            </w:r>
          </w:p>
          <w:p w:rsidR="00FF24F1" w:rsidRPr="00EF36A6" w:rsidRDefault="00FF24F1" w:rsidP="00077147">
            <w:pPr>
              <w:tabs>
                <w:tab w:val="left" w:pos="5400"/>
              </w:tabs>
              <w:spacing w:line="240" w:lineRule="auto"/>
              <w:rPr>
                <w:color w:val="000000" w:themeColor="text1"/>
                <w:sz w:val="20"/>
              </w:rPr>
            </w:pPr>
            <w:r w:rsidRPr="00D626E0">
              <w:rPr>
                <w:color w:val="000000" w:themeColor="text1"/>
                <w:sz w:val="20"/>
              </w:rPr>
              <w:t>“</w:t>
            </w:r>
            <w:r w:rsidR="00D626E0" w:rsidRPr="00D626E0">
              <w:rPr>
                <w:color w:val="000000" w:themeColor="text1"/>
                <w:sz w:val="20"/>
              </w:rPr>
              <w:t xml:space="preserve">Because our analysis was restricted to infants who participated in the trials according to protocol, the only instances of missing data </w:t>
            </w:r>
            <w:r w:rsidR="00AE72E8">
              <w:rPr>
                <w:color w:val="000000" w:themeColor="text1"/>
                <w:sz w:val="20"/>
              </w:rPr>
              <w:t xml:space="preserve">were </w:t>
            </w:r>
            <w:r w:rsidR="00D626E0" w:rsidRPr="00D626E0">
              <w:rPr>
                <w:color w:val="000000" w:themeColor="text1"/>
                <w:sz w:val="20"/>
              </w:rPr>
              <w:t xml:space="preserve">related to LAZ; height </w:t>
            </w:r>
            <w:r w:rsidR="00AE72E8">
              <w:rPr>
                <w:color w:val="000000" w:themeColor="text1"/>
                <w:sz w:val="20"/>
              </w:rPr>
              <w:t>was</w:t>
            </w:r>
            <w:r w:rsidR="00D626E0" w:rsidRPr="00D626E0">
              <w:rPr>
                <w:color w:val="000000" w:themeColor="text1"/>
                <w:sz w:val="20"/>
              </w:rPr>
              <w:t xml:space="preserve"> not included in the protocols of a </w:t>
            </w:r>
            <w:r w:rsidR="00D626E0" w:rsidRPr="00EF36A6">
              <w:rPr>
                <w:color w:val="000000" w:themeColor="text1"/>
                <w:sz w:val="20"/>
              </w:rPr>
              <w:t>few studies and infants without these measurements were excluded in the models where LAZ was used as a predictor</w:t>
            </w:r>
            <w:r w:rsidR="00EF36A6" w:rsidRPr="00EF36A6">
              <w:rPr>
                <w:color w:val="000000" w:themeColor="text1"/>
                <w:sz w:val="20"/>
              </w:rPr>
              <w:t xml:space="preserve"> (seroconversion models: n = 691 (9%), IgA </w:t>
            </w:r>
            <w:proofErr w:type="spellStart"/>
            <w:r w:rsidR="00EF36A6" w:rsidRPr="00EF36A6">
              <w:rPr>
                <w:color w:val="000000" w:themeColor="text1"/>
                <w:sz w:val="20"/>
              </w:rPr>
              <w:t>titer</w:t>
            </w:r>
            <w:proofErr w:type="spellEnd"/>
            <w:r w:rsidR="00EF36A6" w:rsidRPr="00EF36A6">
              <w:rPr>
                <w:color w:val="000000" w:themeColor="text1"/>
                <w:sz w:val="20"/>
              </w:rPr>
              <w:t xml:space="preserve"> models: n = 525 (10%)</w:t>
            </w:r>
            <w:r w:rsidRPr="00EF36A6">
              <w:rPr>
                <w:color w:val="000000" w:themeColor="text1"/>
                <w:sz w:val="20"/>
              </w:rPr>
              <w:t>.”</w:t>
            </w:r>
          </w:p>
          <w:p w:rsidR="00FF24F1" w:rsidRPr="00FF24F1" w:rsidRDefault="00FF24F1"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D626E0" w:rsidRDefault="00D626E0" w:rsidP="00D626E0">
            <w:pPr>
              <w:tabs>
                <w:tab w:val="left" w:pos="5400"/>
              </w:tabs>
              <w:spacing w:line="240" w:lineRule="auto"/>
              <w:rPr>
                <w:sz w:val="20"/>
              </w:rPr>
            </w:pPr>
            <w:r>
              <w:rPr>
                <w:sz w:val="20"/>
              </w:rPr>
              <w:t>Methods, 7</w:t>
            </w:r>
            <w:r w:rsidRPr="00B04B4C">
              <w:rPr>
                <w:sz w:val="20"/>
                <w:vertAlign w:val="superscript"/>
              </w:rPr>
              <w:t>th</w:t>
            </w:r>
            <w:r>
              <w:rPr>
                <w:sz w:val="20"/>
              </w:rPr>
              <w:t xml:space="preserve"> paragraph</w:t>
            </w:r>
          </w:p>
          <w:p w:rsidR="00FF24F1" w:rsidRPr="0022554A" w:rsidRDefault="00FF24F1" w:rsidP="007B0F33">
            <w:pPr>
              <w:tabs>
                <w:tab w:val="left" w:pos="5400"/>
              </w:tabs>
              <w:spacing w:line="240" w:lineRule="auto"/>
              <w:rPr>
                <w:sz w:val="20"/>
              </w:rPr>
            </w:pP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49" w:name="bold26" w:colFirst="0" w:colLast="0"/>
            <w:bookmarkStart w:id="50" w:name="italic28" w:colFirst="0" w:colLast="0"/>
            <w:bookmarkEnd w:id="47"/>
            <w:bookmarkEnd w:id="48"/>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Default="00F968F7" w:rsidP="00077147">
            <w:pPr>
              <w:tabs>
                <w:tab w:val="left" w:pos="5400"/>
              </w:tabs>
              <w:spacing w:line="240" w:lineRule="auto"/>
              <w:rPr>
                <w:sz w:val="20"/>
              </w:rPr>
            </w:pPr>
            <w:r w:rsidRPr="0022554A">
              <w:rPr>
                <w:sz w:val="20"/>
              </w:rPr>
              <w:t>(</w:t>
            </w:r>
            <w:r w:rsidRPr="0022554A">
              <w:rPr>
                <w:i/>
                <w:sz w:val="20"/>
              </w:rPr>
              <w:t>d</w:t>
            </w:r>
            <w:r w:rsidRPr="0022554A">
              <w:rPr>
                <w:sz w:val="20"/>
              </w:rPr>
              <w:t>) If applicable, describe analytical methods taking account of sampling strategy</w:t>
            </w:r>
          </w:p>
          <w:p w:rsidR="00CD35DA" w:rsidRDefault="00CD35DA" w:rsidP="00077147">
            <w:pPr>
              <w:tabs>
                <w:tab w:val="left" w:pos="5400"/>
              </w:tabs>
              <w:spacing w:line="240" w:lineRule="auto"/>
              <w:rPr>
                <w:sz w:val="20"/>
              </w:rPr>
            </w:pPr>
          </w:p>
          <w:p w:rsidR="00FF24F1" w:rsidRPr="00075E3C" w:rsidRDefault="004A7100" w:rsidP="00077147">
            <w:pPr>
              <w:tabs>
                <w:tab w:val="left" w:pos="5400"/>
              </w:tabs>
              <w:spacing w:line="240" w:lineRule="auto"/>
              <w:rPr>
                <w:b/>
                <w:sz w:val="20"/>
              </w:rPr>
            </w:pPr>
            <w:r w:rsidRPr="00075E3C">
              <w:rPr>
                <w:b/>
                <w:sz w:val="20"/>
              </w:rPr>
              <w:t>Text:</w:t>
            </w:r>
          </w:p>
          <w:p w:rsidR="004A7100" w:rsidRPr="00075E3C" w:rsidRDefault="004A7100" w:rsidP="00077147">
            <w:pPr>
              <w:tabs>
                <w:tab w:val="left" w:pos="5400"/>
              </w:tabs>
              <w:spacing w:line="240" w:lineRule="auto"/>
              <w:rPr>
                <w:b/>
                <w:sz w:val="20"/>
              </w:rPr>
            </w:pPr>
            <w:r w:rsidRPr="00075E3C">
              <w:rPr>
                <w:color w:val="000000" w:themeColor="text1"/>
                <w:sz w:val="20"/>
              </w:rPr>
              <w:t>“</w:t>
            </w:r>
            <w:r w:rsidR="00075E3C" w:rsidRPr="00075E3C">
              <w:rPr>
                <w:color w:val="000000" w:themeColor="text1"/>
                <w:sz w:val="20"/>
              </w:rPr>
              <w:t>Random effects were employed using a random intercept for each trial to account for potentially unmeasured differences between trial protocols or environments.</w:t>
            </w:r>
            <w:r w:rsidRPr="00075E3C">
              <w:rPr>
                <w:color w:val="000000" w:themeColor="text1"/>
                <w:sz w:val="20"/>
              </w:rPr>
              <w:t>”</w:t>
            </w:r>
          </w:p>
          <w:p w:rsidR="00FF24F1" w:rsidRPr="0022554A" w:rsidRDefault="00FF24F1"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4A7100" w:rsidRDefault="004A7100" w:rsidP="00077147">
            <w:pPr>
              <w:tabs>
                <w:tab w:val="left" w:pos="5400"/>
              </w:tabs>
              <w:spacing w:line="240" w:lineRule="auto"/>
              <w:rPr>
                <w:sz w:val="20"/>
              </w:rPr>
            </w:pPr>
          </w:p>
          <w:p w:rsidR="004A7100" w:rsidRDefault="004A7100" w:rsidP="00077147">
            <w:pPr>
              <w:tabs>
                <w:tab w:val="left" w:pos="5400"/>
              </w:tabs>
              <w:spacing w:line="240" w:lineRule="auto"/>
              <w:rPr>
                <w:sz w:val="20"/>
              </w:rPr>
            </w:pPr>
          </w:p>
          <w:p w:rsidR="00CD35DA" w:rsidRDefault="00CD35DA" w:rsidP="00077147">
            <w:pPr>
              <w:tabs>
                <w:tab w:val="left" w:pos="5400"/>
              </w:tabs>
              <w:spacing w:line="240" w:lineRule="auto"/>
              <w:rPr>
                <w:sz w:val="20"/>
              </w:rPr>
            </w:pPr>
          </w:p>
          <w:p w:rsidR="00D626E0" w:rsidRDefault="00D626E0" w:rsidP="00D626E0">
            <w:pPr>
              <w:tabs>
                <w:tab w:val="left" w:pos="5400"/>
              </w:tabs>
              <w:spacing w:line="240" w:lineRule="auto"/>
              <w:rPr>
                <w:sz w:val="20"/>
              </w:rPr>
            </w:pPr>
            <w:r>
              <w:rPr>
                <w:sz w:val="20"/>
              </w:rPr>
              <w:t>Methods, 7</w:t>
            </w:r>
            <w:r w:rsidRPr="00B04B4C">
              <w:rPr>
                <w:sz w:val="20"/>
                <w:vertAlign w:val="superscript"/>
              </w:rPr>
              <w:t>th</w:t>
            </w:r>
            <w:r>
              <w:rPr>
                <w:sz w:val="20"/>
              </w:rPr>
              <w:t xml:space="preserve"> paragraph</w:t>
            </w:r>
          </w:p>
          <w:p w:rsidR="004A7100" w:rsidRPr="0022554A" w:rsidRDefault="004A7100" w:rsidP="007B0F33">
            <w:pPr>
              <w:tabs>
                <w:tab w:val="left" w:pos="5400"/>
              </w:tabs>
              <w:spacing w:line="240" w:lineRule="auto"/>
              <w:rPr>
                <w:sz w:val="20"/>
              </w:rPr>
            </w:pP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51" w:name="bold27" w:colFirst="0" w:colLast="0"/>
            <w:bookmarkStart w:id="52" w:name="italic29" w:colFirst="0" w:colLast="0"/>
            <w:bookmarkEnd w:id="49"/>
            <w:bookmarkEnd w:id="50"/>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Default="00F968F7" w:rsidP="00077147">
            <w:pPr>
              <w:tabs>
                <w:tab w:val="left" w:pos="5400"/>
              </w:tabs>
              <w:spacing w:line="240" w:lineRule="auto"/>
              <w:rPr>
                <w:sz w:val="20"/>
              </w:rPr>
            </w:pPr>
            <w:r w:rsidRPr="0022554A">
              <w:rPr>
                <w:sz w:val="20"/>
              </w:rPr>
              <w:t>(</w:t>
            </w:r>
            <w:r w:rsidRPr="0022554A">
              <w:rPr>
                <w:i/>
                <w:sz w:val="20"/>
                <w:u w:val="single"/>
              </w:rPr>
              <w:t>e</w:t>
            </w:r>
            <w:r w:rsidRPr="0022554A">
              <w:rPr>
                <w:sz w:val="20"/>
              </w:rPr>
              <w:t>) Describe any sensitivity analyses</w:t>
            </w: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b/>
                <w:sz w:val="20"/>
              </w:rPr>
            </w:pPr>
            <w:r>
              <w:rPr>
                <w:b/>
                <w:sz w:val="20"/>
              </w:rPr>
              <w:t>Text:</w:t>
            </w:r>
          </w:p>
          <w:p w:rsidR="00F03A0D" w:rsidRPr="0061634F" w:rsidRDefault="00F03A0D" w:rsidP="00F03A0D">
            <w:pPr>
              <w:pStyle w:val="Normal1"/>
              <w:spacing w:line="240" w:lineRule="auto"/>
              <w:rPr>
                <w:rFonts w:ascii="Times New Roman" w:hAnsi="Times New Roman" w:cs="Times New Roman"/>
                <w:color w:val="000000" w:themeColor="text1"/>
                <w:sz w:val="20"/>
                <w:szCs w:val="20"/>
              </w:rPr>
            </w:pPr>
            <w:r w:rsidRPr="00E154B4">
              <w:rPr>
                <w:rFonts w:ascii="Times New Roman" w:hAnsi="Times New Roman" w:cs="Times New Roman"/>
                <w:color w:val="000000" w:themeColor="text1"/>
                <w:sz w:val="20"/>
                <w:szCs w:val="20"/>
              </w:rPr>
              <w:t>“We examined whether the relationships identified using the full, combined dataset remained consistent within each mortality stratum; this would</w:t>
            </w:r>
            <w:r w:rsidRPr="0061634F">
              <w:rPr>
                <w:rFonts w:ascii="Times New Roman" w:hAnsi="Times New Roman" w:cs="Times New Roman"/>
                <w:color w:val="000000" w:themeColor="text1"/>
                <w:sz w:val="20"/>
                <w:szCs w:val="20"/>
              </w:rPr>
              <w:t xml:space="preserve"> indicate that use of the combined dataset captured differences beyond those driven by child mortality stratum alone.  To this end, a sensitivity analysis was conducted by fitting the final seroconversion model separately to data stratified by high and low child mortality settings, as well as moderately low and very low child mortality settings.”</w:t>
            </w:r>
          </w:p>
          <w:p w:rsidR="00F03A0D" w:rsidRPr="0061634F" w:rsidRDefault="00F03A0D" w:rsidP="00F03A0D">
            <w:pPr>
              <w:pStyle w:val="Normal1"/>
              <w:spacing w:line="240" w:lineRule="auto"/>
              <w:rPr>
                <w:rFonts w:ascii="Times New Roman" w:hAnsi="Times New Roman" w:cs="Times New Roman"/>
                <w:color w:val="000000" w:themeColor="text1"/>
                <w:sz w:val="20"/>
                <w:szCs w:val="20"/>
              </w:rPr>
            </w:pPr>
          </w:p>
          <w:p w:rsidR="00F03A0D" w:rsidRPr="0061634F" w:rsidRDefault="00F03A0D" w:rsidP="00F03A0D">
            <w:pPr>
              <w:pStyle w:val="Normal1"/>
              <w:spacing w:line="240" w:lineRule="auto"/>
              <w:rPr>
                <w:rFonts w:ascii="Times New Roman" w:hAnsi="Times New Roman" w:cs="Times New Roman"/>
                <w:color w:val="000000" w:themeColor="text1"/>
                <w:sz w:val="20"/>
                <w:szCs w:val="20"/>
              </w:rPr>
            </w:pPr>
            <w:r w:rsidRPr="0061634F">
              <w:rPr>
                <w:rFonts w:ascii="Times New Roman" w:hAnsi="Times New Roman" w:cs="Times New Roman"/>
                <w:color w:val="000000" w:themeColor="text1"/>
                <w:sz w:val="20"/>
                <w:szCs w:val="20"/>
              </w:rPr>
              <w:t>“In addition, the final seroconversion model was tested using a subset of the data comprised of infants who were confirmed to be seronegative prior to vaccination.  This sub-analysis was conducted to confirm that results produced from analysis of the full seroconversion dataset were consistent with results using infants with both pre- and post-vaccine serology.  If consistent, this would suggest that inclusion of infants without pre-vaccine serology data was not causing substantial bias in our estimates.”</w:t>
            </w:r>
          </w:p>
          <w:p w:rsidR="00FF24F1" w:rsidRPr="00FF24F1" w:rsidRDefault="00FF24F1" w:rsidP="00077147">
            <w:pPr>
              <w:tabs>
                <w:tab w:val="left" w:pos="5400"/>
              </w:tabs>
              <w:spacing w:line="240" w:lineRule="auto"/>
              <w:rPr>
                <w:b/>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FF24F1" w:rsidRDefault="00FF24F1" w:rsidP="00077147">
            <w:pPr>
              <w:tabs>
                <w:tab w:val="left" w:pos="5400"/>
              </w:tabs>
              <w:spacing w:line="240" w:lineRule="auto"/>
              <w:rPr>
                <w:sz w:val="20"/>
              </w:rPr>
            </w:pPr>
          </w:p>
          <w:p w:rsidR="00D626E0" w:rsidRDefault="00D626E0" w:rsidP="00D626E0">
            <w:pPr>
              <w:tabs>
                <w:tab w:val="left" w:pos="5400"/>
              </w:tabs>
              <w:spacing w:line="240" w:lineRule="auto"/>
              <w:rPr>
                <w:color w:val="000000"/>
                <w:sz w:val="20"/>
              </w:rPr>
            </w:pPr>
            <w:r>
              <w:rPr>
                <w:color w:val="000000"/>
                <w:sz w:val="20"/>
              </w:rPr>
              <w:t>Methods, 2</w:t>
            </w:r>
            <w:r w:rsidRPr="00007F23">
              <w:rPr>
                <w:color w:val="000000"/>
                <w:sz w:val="20"/>
                <w:vertAlign w:val="superscript"/>
              </w:rPr>
              <w:t>nd</w:t>
            </w:r>
            <w:r>
              <w:rPr>
                <w:color w:val="000000"/>
                <w:sz w:val="20"/>
              </w:rPr>
              <w:t xml:space="preserve"> to last paragraph</w:t>
            </w:r>
          </w:p>
          <w:p w:rsidR="00F03A0D" w:rsidRDefault="00F03A0D" w:rsidP="007B0F33">
            <w:pPr>
              <w:tabs>
                <w:tab w:val="left" w:pos="5400"/>
              </w:tabs>
              <w:spacing w:line="240" w:lineRule="auto"/>
              <w:rPr>
                <w:sz w:val="20"/>
              </w:rPr>
            </w:pPr>
          </w:p>
          <w:p w:rsidR="00F03A0D" w:rsidRDefault="00F03A0D" w:rsidP="007B0F33">
            <w:pPr>
              <w:tabs>
                <w:tab w:val="left" w:pos="5400"/>
              </w:tabs>
              <w:spacing w:line="240" w:lineRule="auto"/>
              <w:rPr>
                <w:sz w:val="20"/>
              </w:rPr>
            </w:pPr>
          </w:p>
          <w:p w:rsidR="00F03A0D" w:rsidRDefault="00F03A0D" w:rsidP="007B0F33">
            <w:pPr>
              <w:tabs>
                <w:tab w:val="left" w:pos="5400"/>
              </w:tabs>
              <w:spacing w:line="240" w:lineRule="auto"/>
              <w:rPr>
                <w:sz w:val="20"/>
              </w:rPr>
            </w:pPr>
          </w:p>
          <w:p w:rsidR="00F03A0D" w:rsidRDefault="00F03A0D" w:rsidP="007B0F33">
            <w:pPr>
              <w:tabs>
                <w:tab w:val="left" w:pos="5400"/>
              </w:tabs>
              <w:spacing w:line="240" w:lineRule="auto"/>
              <w:rPr>
                <w:sz w:val="20"/>
              </w:rPr>
            </w:pPr>
          </w:p>
          <w:p w:rsidR="00F03A0D" w:rsidRDefault="00F03A0D" w:rsidP="007B0F33">
            <w:pPr>
              <w:tabs>
                <w:tab w:val="left" w:pos="5400"/>
              </w:tabs>
              <w:spacing w:line="240" w:lineRule="auto"/>
              <w:rPr>
                <w:sz w:val="20"/>
              </w:rPr>
            </w:pPr>
          </w:p>
          <w:p w:rsidR="00F03A0D" w:rsidRDefault="00F03A0D" w:rsidP="007B0F33">
            <w:pPr>
              <w:tabs>
                <w:tab w:val="left" w:pos="5400"/>
              </w:tabs>
              <w:spacing w:line="240" w:lineRule="auto"/>
              <w:rPr>
                <w:sz w:val="20"/>
              </w:rPr>
            </w:pPr>
          </w:p>
          <w:p w:rsidR="00D626E0" w:rsidRDefault="00D626E0" w:rsidP="00D626E0">
            <w:pPr>
              <w:tabs>
                <w:tab w:val="left" w:pos="5400"/>
              </w:tabs>
              <w:spacing w:line="240" w:lineRule="auto"/>
              <w:rPr>
                <w:color w:val="000000"/>
                <w:sz w:val="20"/>
              </w:rPr>
            </w:pPr>
            <w:r>
              <w:rPr>
                <w:color w:val="000000"/>
                <w:sz w:val="20"/>
              </w:rPr>
              <w:t>Methods, 2</w:t>
            </w:r>
            <w:r w:rsidRPr="00007F23">
              <w:rPr>
                <w:color w:val="000000"/>
                <w:sz w:val="20"/>
                <w:vertAlign w:val="superscript"/>
              </w:rPr>
              <w:t>nd</w:t>
            </w:r>
            <w:r>
              <w:rPr>
                <w:color w:val="000000"/>
                <w:sz w:val="20"/>
              </w:rPr>
              <w:t xml:space="preserve"> to last paragraph</w:t>
            </w:r>
          </w:p>
          <w:p w:rsidR="00F03A0D" w:rsidRPr="0022554A" w:rsidRDefault="00F03A0D" w:rsidP="007B0F33">
            <w:pPr>
              <w:tabs>
                <w:tab w:val="left" w:pos="5400"/>
              </w:tabs>
              <w:spacing w:line="240" w:lineRule="auto"/>
              <w:rPr>
                <w:sz w:val="20"/>
              </w:rPr>
            </w:pPr>
          </w:p>
        </w:tc>
      </w:tr>
      <w:tr w:rsidR="00F968F7" w:rsidRPr="0022554A" w:rsidTr="00521012">
        <w:tc>
          <w:tcPr>
            <w:tcW w:w="0" w:type="auto"/>
            <w:gridSpan w:val="4"/>
          </w:tcPr>
          <w:p w:rsidR="00F968F7" w:rsidRPr="0022554A" w:rsidRDefault="00F968F7" w:rsidP="00077147">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606B93" w:rsidRPr="0022554A" w:rsidTr="00606B93">
        <w:tc>
          <w:tcPr>
            <w:tcW w:w="2010" w:type="dxa"/>
            <w:vMerge w:val="restart"/>
          </w:tcPr>
          <w:p w:rsidR="00F968F7" w:rsidRPr="0022554A" w:rsidRDefault="00F968F7" w:rsidP="00077147">
            <w:pPr>
              <w:tabs>
                <w:tab w:val="left" w:pos="5400"/>
              </w:tabs>
              <w:spacing w:line="240" w:lineRule="auto"/>
              <w:rPr>
                <w:bCs/>
                <w:sz w:val="20"/>
              </w:rPr>
            </w:pPr>
            <w:bookmarkStart w:id="55" w:name="bold29"/>
            <w:bookmarkStart w:id="56" w:name="italic31"/>
            <w:r w:rsidRPr="0022554A">
              <w:rPr>
                <w:bCs/>
                <w:sz w:val="20"/>
              </w:rPr>
              <w:t>Participants</w:t>
            </w:r>
            <w:bookmarkEnd w:id="55"/>
            <w:bookmarkEnd w:id="56"/>
          </w:p>
        </w:tc>
        <w:tc>
          <w:tcPr>
            <w:tcW w:w="654" w:type="dxa"/>
            <w:vMerge w:val="restart"/>
          </w:tcPr>
          <w:p w:rsidR="00F968F7" w:rsidRPr="0022554A" w:rsidRDefault="00F968F7" w:rsidP="00077147">
            <w:pPr>
              <w:tabs>
                <w:tab w:val="left" w:pos="5400"/>
              </w:tabs>
              <w:spacing w:line="240" w:lineRule="auto"/>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8455BB" w:rsidRDefault="00F968F7" w:rsidP="008455BB">
            <w:pPr>
              <w:tabs>
                <w:tab w:val="left" w:pos="5400"/>
              </w:tabs>
              <w:spacing w:line="240" w:lineRule="auto"/>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w:t>
            </w:r>
            <w:r w:rsidRPr="008455BB">
              <w:rPr>
                <w:sz w:val="20"/>
              </w:rPr>
              <w:t>numbers potentially eligible, examined for eligibility, confirmed eligible, included in the study, completing follow-up, and analysed</w:t>
            </w:r>
          </w:p>
          <w:p w:rsidR="001775FD" w:rsidRPr="008455BB" w:rsidRDefault="001775FD" w:rsidP="008455BB">
            <w:pPr>
              <w:tabs>
                <w:tab w:val="left" w:pos="5400"/>
              </w:tabs>
              <w:spacing w:line="240" w:lineRule="auto"/>
              <w:rPr>
                <w:sz w:val="20"/>
              </w:rPr>
            </w:pPr>
          </w:p>
          <w:p w:rsidR="00521012" w:rsidRPr="00F6742C" w:rsidRDefault="00521012" w:rsidP="00F6742C">
            <w:pPr>
              <w:spacing w:line="240" w:lineRule="auto"/>
              <w:rPr>
                <w:b/>
                <w:color w:val="000000" w:themeColor="text1"/>
                <w:sz w:val="20"/>
              </w:rPr>
            </w:pPr>
            <w:r w:rsidRPr="00F6742C">
              <w:rPr>
                <w:b/>
                <w:color w:val="000000" w:themeColor="text1"/>
                <w:sz w:val="20"/>
              </w:rPr>
              <w:t>Text:</w:t>
            </w:r>
          </w:p>
          <w:p w:rsidR="00521012" w:rsidRPr="00F6742C" w:rsidRDefault="00521012" w:rsidP="00F6742C">
            <w:pPr>
              <w:pStyle w:val="Normal1"/>
              <w:spacing w:line="240" w:lineRule="auto"/>
              <w:rPr>
                <w:rFonts w:ascii="Times New Roman" w:hAnsi="Times New Roman" w:cs="Times New Roman"/>
                <w:color w:val="000000" w:themeColor="text1"/>
                <w:sz w:val="20"/>
                <w:szCs w:val="20"/>
              </w:rPr>
            </w:pPr>
            <w:r w:rsidRPr="00F6742C">
              <w:rPr>
                <w:rFonts w:ascii="Times New Roman" w:hAnsi="Times New Roman" w:cs="Times New Roman"/>
                <w:color w:val="000000" w:themeColor="text1"/>
                <w:sz w:val="20"/>
                <w:szCs w:val="20"/>
              </w:rPr>
              <w:t>“</w:t>
            </w:r>
            <w:r w:rsidR="00F6742C" w:rsidRPr="00F6742C">
              <w:rPr>
                <w:rFonts w:ascii="Times New Roman" w:hAnsi="Times New Roman" w:cs="Times New Roman"/>
                <w:color w:val="000000" w:themeColor="text1"/>
                <w:sz w:val="20"/>
                <w:szCs w:val="20"/>
              </w:rPr>
              <w:t xml:space="preserve">Data were available for analysis on 7,298 infants whose post-vaccine </w:t>
            </w:r>
            <w:r w:rsidR="00F6742C" w:rsidRPr="00F6742C">
              <w:rPr>
                <w:rFonts w:ascii="Times New Roman" w:hAnsi="Times New Roman" w:cs="Times New Roman"/>
                <w:color w:val="auto"/>
                <w:sz w:val="20"/>
                <w:szCs w:val="20"/>
              </w:rPr>
              <w:t>rotavirus</w:t>
            </w:r>
            <w:r w:rsidR="00F6742C" w:rsidRPr="00F6742C">
              <w:rPr>
                <w:rFonts w:ascii="Times New Roman" w:hAnsi="Times New Roman" w:cs="Times New Roman"/>
                <w:color w:val="000000" w:themeColor="text1"/>
                <w:sz w:val="20"/>
                <w:szCs w:val="20"/>
              </w:rPr>
              <w:t xml:space="preserve"> serology data were collected 4-12 weeks after receipt of the final vaccine dose (87.8% of the </w:t>
            </w:r>
            <w:r w:rsidR="00F6742C" w:rsidRPr="00F6742C">
              <w:rPr>
                <w:rFonts w:ascii="Times New Roman" w:hAnsi="Times New Roman" w:cs="Times New Roman"/>
                <w:color w:val="auto"/>
                <w:sz w:val="20"/>
                <w:szCs w:val="20"/>
              </w:rPr>
              <w:t>rotavirus</w:t>
            </w:r>
            <w:r w:rsidR="00F6742C" w:rsidRPr="00F6742C">
              <w:rPr>
                <w:rFonts w:ascii="Times New Roman" w:hAnsi="Times New Roman" w:cs="Times New Roman"/>
                <w:color w:val="000000" w:themeColor="text1"/>
                <w:sz w:val="20"/>
                <w:szCs w:val="20"/>
              </w:rPr>
              <w:t xml:space="preserve"> immunogenicity cohort). Of these infants, 39.0% (n = 2,849) were from high child mortality settings. A total of 18 infants (3 from high child mortality settings) were excluded from analysis due to pre-vaccine serology data indicating these children had prior </w:t>
            </w:r>
            <w:r w:rsidR="00F6742C" w:rsidRPr="00F6742C">
              <w:rPr>
                <w:rFonts w:ascii="Times New Roman" w:hAnsi="Times New Roman" w:cs="Times New Roman"/>
                <w:color w:val="auto"/>
                <w:sz w:val="20"/>
                <w:szCs w:val="20"/>
              </w:rPr>
              <w:t>rotavirus</w:t>
            </w:r>
            <w:r w:rsidR="00F6742C" w:rsidRPr="00F6742C">
              <w:rPr>
                <w:rFonts w:ascii="Times New Roman" w:hAnsi="Times New Roman" w:cs="Times New Roman"/>
                <w:color w:val="000000" w:themeColor="text1"/>
                <w:sz w:val="20"/>
                <w:szCs w:val="20"/>
              </w:rPr>
              <w:t xml:space="preserve"> infection (i.e. </w:t>
            </w:r>
            <w:r w:rsidR="00F6742C" w:rsidRPr="00F6742C">
              <w:rPr>
                <w:rFonts w:ascii="Times New Roman" w:hAnsi="Times New Roman" w:cs="Times New Roman"/>
                <w:sz w:val="20"/>
                <w:szCs w:val="20"/>
              </w:rPr>
              <w:t xml:space="preserve">anti-rotavirus </w:t>
            </w:r>
            <w:r w:rsidR="00F6742C" w:rsidRPr="00F6742C">
              <w:rPr>
                <w:rFonts w:ascii="Times New Roman" w:hAnsi="Times New Roman" w:cs="Times New Roman"/>
                <w:color w:val="000000" w:themeColor="text1"/>
                <w:sz w:val="20"/>
                <w:szCs w:val="20"/>
              </w:rPr>
              <w:t xml:space="preserve">IgA titer of ≥20 U/mL prior </w:t>
            </w:r>
            <w:r w:rsidR="00F6742C" w:rsidRPr="00F6742C">
              <w:rPr>
                <w:rFonts w:ascii="Times New Roman" w:hAnsi="Times New Roman" w:cs="Times New Roman"/>
                <w:color w:val="000000" w:themeColor="text1"/>
                <w:sz w:val="20"/>
                <w:szCs w:val="20"/>
              </w:rPr>
              <w:lastRenderedPageBreak/>
              <w:t>to the first rotavirus vaccine dose). All other infants had either confirmed seronegative status (4,988, 68.5%) or did not have serology data available (2,292, 31.5%) and were assumed to be seronegative based on trial protocol.  Data on 7,280 and 5,161 infants were included in the anti-rotavirus IgA seroconversion and anti-rotavirus IgA titer modeling, respectively.”</w:t>
            </w:r>
          </w:p>
          <w:p w:rsidR="001775FD" w:rsidRPr="0022554A" w:rsidRDefault="001775FD" w:rsidP="008455BB">
            <w:pPr>
              <w:pStyle w:val="Normal1"/>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D626E0" w:rsidRDefault="00D626E0" w:rsidP="00077147">
            <w:pPr>
              <w:tabs>
                <w:tab w:val="left" w:pos="5400"/>
              </w:tabs>
              <w:spacing w:line="240" w:lineRule="auto"/>
              <w:rPr>
                <w:sz w:val="20"/>
              </w:rPr>
            </w:pPr>
            <w:r>
              <w:rPr>
                <w:sz w:val="20"/>
              </w:rPr>
              <w:t>Results, 1</w:t>
            </w:r>
            <w:r w:rsidRPr="00D626E0">
              <w:rPr>
                <w:sz w:val="20"/>
                <w:vertAlign w:val="superscript"/>
              </w:rPr>
              <w:t>st</w:t>
            </w:r>
            <w:r>
              <w:rPr>
                <w:sz w:val="20"/>
              </w:rPr>
              <w:t xml:space="preserve"> paragraph</w:t>
            </w: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58" w:name="bold31" w:colFirst="0" w:colLast="0"/>
            <w:bookmarkStart w:id="59" w:name="italic32" w:colFirst="0" w:colLast="0"/>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Default="00F968F7" w:rsidP="00077147">
            <w:pPr>
              <w:tabs>
                <w:tab w:val="left" w:pos="5400"/>
              </w:tabs>
              <w:spacing w:line="240" w:lineRule="auto"/>
              <w:rPr>
                <w:sz w:val="20"/>
              </w:rPr>
            </w:pPr>
            <w:r>
              <w:rPr>
                <w:sz w:val="20"/>
              </w:rPr>
              <w:t xml:space="preserve">(b) </w:t>
            </w:r>
            <w:r w:rsidRPr="0022554A">
              <w:rPr>
                <w:sz w:val="20"/>
              </w:rPr>
              <w:t>Give reasons for non-participation at each stage</w:t>
            </w:r>
          </w:p>
          <w:p w:rsidR="001775FD" w:rsidRDefault="001775FD" w:rsidP="00077147">
            <w:pPr>
              <w:tabs>
                <w:tab w:val="left" w:pos="5400"/>
              </w:tabs>
              <w:spacing w:line="240" w:lineRule="auto"/>
              <w:rPr>
                <w:sz w:val="20"/>
              </w:rPr>
            </w:pPr>
          </w:p>
          <w:p w:rsidR="00521012" w:rsidRPr="0011509F" w:rsidRDefault="00521012" w:rsidP="0011509F">
            <w:pPr>
              <w:spacing w:line="240" w:lineRule="auto"/>
              <w:rPr>
                <w:b/>
                <w:color w:val="000000" w:themeColor="text1"/>
                <w:sz w:val="20"/>
              </w:rPr>
            </w:pPr>
            <w:r w:rsidRPr="0011509F">
              <w:rPr>
                <w:b/>
                <w:color w:val="000000" w:themeColor="text1"/>
                <w:sz w:val="20"/>
              </w:rPr>
              <w:t>Text:</w:t>
            </w:r>
          </w:p>
          <w:p w:rsidR="00521012" w:rsidRPr="0011509F" w:rsidRDefault="00521012" w:rsidP="0011509F">
            <w:pPr>
              <w:spacing w:line="240" w:lineRule="auto"/>
              <w:rPr>
                <w:color w:val="000000" w:themeColor="text1"/>
                <w:sz w:val="20"/>
              </w:rPr>
            </w:pPr>
            <w:r w:rsidRPr="0011509F">
              <w:rPr>
                <w:color w:val="000000" w:themeColor="text1"/>
                <w:sz w:val="20"/>
              </w:rPr>
              <w:t>“</w:t>
            </w:r>
            <w:r w:rsidR="0011509F" w:rsidRPr="0011509F">
              <w:rPr>
                <w:color w:val="000000" w:themeColor="text1"/>
                <w:sz w:val="20"/>
              </w:rPr>
              <w:t xml:space="preserve">Since the primary aim of the analysis was to examine factors associated with </w:t>
            </w:r>
            <w:r w:rsidR="0011509F" w:rsidRPr="0011509F">
              <w:rPr>
                <w:sz w:val="20"/>
              </w:rPr>
              <w:t>rotavirus</w:t>
            </w:r>
            <w:r w:rsidR="0011509F" w:rsidRPr="0011509F">
              <w:rPr>
                <w:color w:val="000000" w:themeColor="text1"/>
                <w:sz w:val="20"/>
              </w:rPr>
              <w:t xml:space="preserve"> vaccine immunogenicity, data were limited to trial participants who received RV1 (n = 53,292, placebo groups excluded).  Data were further restricted to infants whose trial participation was completed according to protocol (classified by GSK) and who participated in the </w:t>
            </w:r>
            <w:r w:rsidR="0011509F" w:rsidRPr="0011509F">
              <w:rPr>
                <w:sz w:val="20"/>
              </w:rPr>
              <w:t>rotavirus</w:t>
            </w:r>
            <w:r w:rsidR="0011509F" w:rsidRPr="0011509F">
              <w:rPr>
                <w:color w:val="000000" w:themeColor="text1"/>
                <w:sz w:val="20"/>
              </w:rPr>
              <w:t xml:space="preserve"> immunogenicity sub-studies of the trials (n = 8,309). Lastly, infants who had serum sample collection approximately 4-12 weeks from receipt of his/her last rotavirus vaccine dose were included (n = 7,298).</w:t>
            </w:r>
            <w:r w:rsidRPr="0011509F">
              <w:rPr>
                <w:color w:val="000000" w:themeColor="text1"/>
                <w:sz w:val="20"/>
              </w:rPr>
              <w:t>”</w:t>
            </w:r>
          </w:p>
          <w:p w:rsidR="00521012" w:rsidRDefault="00521012" w:rsidP="00521012">
            <w:pPr>
              <w:spacing w:line="240" w:lineRule="auto"/>
              <w:rPr>
                <w:color w:val="000000" w:themeColor="text1"/>
                <w:sz w:val="20"/>
              </w:rPr>
            </w:pPr>
          </w:p>
          <w:p w:rsidR="00521012" w:rsidRPr="00105B47" w:rsidRDefault="00521012" w:rsidP="00521012">
            <w:pPr>
              <w:pStyle w:val="Normal1"/>
              <w:spacing w:line="240" w:lineRule="auto"/>
              <w:rPr>
                <w:rFonts w:ascii="Times New Roman" w:hAnsi="Times New Roman" w:cs="Times New Roman"/>
                <w:color w:val="000000" w:themeColor="text1"/>
                <w:sz w:val="20"/>
                <w:szCs w:val="20"/>
              </w:rPr>
            </w:pPr>
            <w:r w:rsidRPr="00105B47">
              <w:rPr>
                <w:rFonts w:ascii="Times New Roman" w:hAnsi="Times New Roman" w:cs="Times New Roman"/>
                <w:color w:val="000000" w:themeColor="text1"/>
                <w:sz w:val="20"/>
                <w:szCs w:val="20"/>
              </w:rPr>
              <w:t>“</w:t>
            </w:r>
            <w:r w:rsidR="0011509F" w:rsidRPr="00502C91">
              <w:rPr>
                <w:rFonts w:ascii="Times New Roman" w:hAnsi="Times New Roman" w:cs="Times New Roman"/>
                <w:color w:val="000000" w:themeColor="text1"/>
                <w:sz w:val="20"/>
                <w:szCs w:val="20"/>
              </w:rPr>
              <w:t xml:space="preserve">A total of 18 infants (3 from high child mortality settings) were excluded from analysis due to pre-vaccine serology data indicating these children had prior </w:t>
            </w:r>
            <w:r w:rsidR="0011509F" w:rsidRPr="00502C91">
              <w:rPr>
                <w:rFonts w:ascii="Times New Roman" w:hAnsi="Times New Roman" w:cs="Times New Roman"/>
                <w:color w:val="auto"/>
                <w:sz w:val="20"/>
                <w:szCs w:val="20"/>
              </w:rPr>
              <w:t>rotavirus</w:t>
            </w:r>
            <w:r w:rsidR="0011509F" w:rsidRPr="00502C91">
              <w:rPr>
                <w:rFonts w:ascii="Times New Roman" w:hAnsi="Times New Roman" w:cs="Times New Roman"/>
                <w:color w:val="000000" w:themeColor="text1"/>
                <w:sz w:val="20"/>
                <w:szCs w:val="20"/>
              </w:rPr>
              <w:t xml:space="preserve"> infection (i.e. </w:t>
            </w:r>
            <w:r w:rsidR="0011509F" w:rsidRPr="00502C91">
              <w:rPr>
                <w:rFonts w:ascii="Times New Roman" w:hAnsi="Times New Roman" w:cs="Times New Roman"/>
                <w:sz w:val="20"/>
                <w:szCs w:val="20"/>
              </w:rPr>
              <w:t xml:space="preserve">anti-rotavirus </w:t>
            </w:r>
            <w:r w:rsidR="0011509F" w:rsidRPr="00502C91">
              <w:rPr>
                <w:rFonts w:ascii="Times New Roman" w:hAnsi="Times New Roman" w:cs="Times New Roman"/>
                <w:color w:val="000000" w:themeColor="text1"/>
                <w:sz w:val="20"/>
                <w:szCs w:val="20"/>
              </w:rPr>
              <w:t>IgA titer of ≥20 U/mL prior to the first rotavirus vaccine dose)</w:t>
            </w:r>
            <w:r w:rsidR="0011509F">
              <w:rPr>
                <w:rFonts w:ascii="Times New Roman" w:hAnsi="Times New Roman" w:cs="Times New Roman"/>
                <w:color w:val="000000" w:themeColor="text1"/>
                <w:sz w:val="20"/>
                <w:szCs w:val="20"/>
              </w:rPr>
              <w:t>…</w:t>
            </w:r>
            <w:r w:rsidR="0011509F" w:rsidRPr="00502C91">
              <w:rPr>
                <w:rFonts w:ascii="Times New Roman" w:hAnsi="Times New Roman" w:cs="Times New Roman"/>
                <w:color w:val="000000" w:themeColor="text1"/>
                <w:sz w:val="20"/>
                <w:szCs w:val="20"/>
              </w:rPr>
              <w:t xml:space="preserve"> Data on 7,280 and 5,161 infants were included in the anti-rotavirus IgA seroconversion and anti-rotavirus IgA titer modeling, respectively.”</w:t>
            </w:r>
          </w:p>
          <w:p w:rsidR="001775FD" w:rsidRPr="0022554A" w:rsidRDefault="001775FD"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D626E0" w:rsidRDefault="00D626E0" w:rsidP="00D626E0">
            <w:pPr>
              <w:tabs>
                <w:tab w:val="left" w:pos="5400"/>
              </w:tabs>
              <w:spacing w:line="240" w:lineRule="auto"/>
              <w:rPr>
                <w:sz w:val="20"/>
              </w:rPr>
            </w:pPr>
            <w:r>
              <w:rPr>
                <w:sz w:val="20"/>
              </w:rPr>
              <w:t>Methods, 2</w:t>
            </w:r>
            <w:r w:rsidRPr="00535F6E">
              <w:rPr>
                <w:sz w:val="20"/>
                <w:vertAlign w:val="superscript"/>
              </w:rPr>
              <w:t>nd</w:t>
            </w:r>
            <w:r>
              <w:rPr>
                <w:sz w:val="20"/>
              </w:rPr>
              <w:t xml:space="preserve"> paragraph</w:t>
            </w: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D626E0" w:rsidRDefault="00D626E0" w:rsidP="00D626E0">
            <w:pPr>
              <w:tabs>
                <w:tab w:val="left" w:pos="5400"/>
              </w:tabs>
              <w:spacing w:line="240" w:lineRule="auto"/>
              <w:rPr>
                <w:sz w:val="20"/>
              </w:rPr>
            </w:pPr>
            <w:r>
              <w:rPr>
                <w:sz w:val="20"/>
              </w:rPr>
              <w:t>Results, 1</w:t>
            </w:r>
            <w:r w:rsidRPr="00D626E0">
              <w:rPr>
                <w:sz w:val="20"/>
                <w:vertAlign w:val="superscript"/>
              </w:rPr>
              <w:t>st</w:t>
            </w:r>
            <w:r>
              <w:rPr>
                <w:sz w:val="20"/>
              </w:rPr>
              <w:t xml:space="preserve"> paragraph</w:t>
            </w:r>
          </w:p>
          <w:p w:rsidR="00521012" w:rsidRDefault="00521012" w:rsidP="008455BB">
            <w:pPr>
              <w:tabs>
                <w:tab w:val="left" w:pos="5400"/>
              </w:tabs>
              <w:spacing w:line="240" w:lineRule="auto"/>
              <w:rPr>
                <w:sz w:val="20"/>
              </w:rPr>
            </w:pP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60" w:name="bold32" w:colFirst="0" w:colLast="0"/>
            <w:bookmarkStart w:id="61" w:name="italic33" w:colFirst="0" w:colLast="0"/>
            <w:bookmarkEnd w:id="58"/>
            <w:bookmarkEnd w:id="59"/>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Default="00F968F7" w:rsidP="00077147">
            <w:pPr>
              <w:tabs>
                <w:tab w:val="left" w:pos="5400"/>
              </w:tabs>
              <w:spacing w:line="240" w:lineRule="auto"/>
              <w:rPr>
                <w:sz w:val="20"/>
              </w:rPr>
            </w:pPr>
            <w:bookmarkStart w:id="62" w:name="OLE_LINK4"/>
            <w:r>
              <w:rPr>
                <w:sz w:val="20"/>
              </w:rPr>
              <w:t xml:space="preserve">(c) </w:t>
            </w:r>
            <w:r w:rsidRPr="0022554A">
              <w:rPr>
                <w:sz w:val="20"/>
              </w:rPr>
              <w:t>Consider use of a flow diagram</w:t>
            </w:r>
            <w:bookmarkEnd w:id="62"/>
          </w:p>
          <w:p w:rsidR="001775FD" w:rsidRDefault="001775FD" w:rsidP="00077147">
            <w:pPr>
              <w:tabs>
                <w:tab w:val="left" w:pos="5400"/>
              </w:tabs>
              <w:spacing w:line="240" w:lineRule="auto"/>
              <w:rPr>
                <w:sz w:val="20"/>
              </w:rPr>
            </w:pPr>
          </w:p>
          <w:p w:rsidR="00521012" w:rsidRPr="00521012" w:rsidRDefault="00521012" w:rsidP="00077147">
            <w:pPr>
              <w:tabs>
                <w:tab w:val="left" w:pos="5400"/>
              </w:tabs>
              <w:spacing w:line="240" w:lineRule="auto"/>
              <w:rPr>
                <w:b/>
                <w:sz w:val="20"/>
              </w:rPr>
            </w:pPr>
            <w:r>
              <w:rPr>
                <w:b/>
                <w:sz w:val="20"/>
              </w:rPr>
              <w:t>Text:</w:t>
            </w:r>
          </w:p>
          <w:p w:rsidR="001775FD" w:rsidRDefault="00521012" w:rsidP="00077147">
            <w:pPr>
              <w:tabs>
                <w:tab w:val="left" w:pos="5400"/>
              </w:tabs>
              <w:spacing w:line="240" w:lineRule="auto"/>
              <w:rPr>
                <w:sz w:val="20"/>
              </w:rPr>
            </w:pPr>
            <w:r>
              <w:rPr>
                <w:sz w:val="20"/>
              </w:rPr>
              <w:t>N/A</w:t>
            </w:r>
          </w:p>
          <w:p w:rsidR="00521012" w:rsidRPr="0022554A" w:rsidRDefault="00521012"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r>
              <w:rPr>
                <w:sz w:val="20"/>
              </w:rPr>
              <w:t>N/A</w:t>
            </w:r>
          </w:p>
        </w:tc>
      </w:tr>
      <w:tr w:rsidR="00606B93" w:rsidRPr="0022554A" w:rsidTr="00606B93">
        <w:tc>
          <w:tcPr>
            <w:tcW w:w="2010" w:type="dxa"/>
            <w:vMerge w:val="restart"/>
          </w:tcPr>
          <w:p w:rsidR="00F968F7" w:rsidRPr="0022554A" w:rsidRDefault="00F968F7" w:rsidP="00077147">
            <w:pPr>
              <w:tabs>
                <w:tab w:val="left" w:pos="5400"/>
              </w:tabs>
              <w:spacing w:line="240" w:lineRule="auto"/>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654" w:type="dxa"/>
            <w:vMerge w:val="restart"/>
          </w:tcPr>
          <w:p w:rsidR="00F968F7" w:rsidRPr="0022554A" w:rsidRDefault="00F968F7" w:rsidP="00077147">
            <w:pPr>
              <w:tabs>
                <w:tab w:val="left" w:pos="5400"/>
              </w:tabs>
              <w:spacing w:line="240" w:lineRule="auto"/>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521012" w:rsidRDefault="00F968F7" w:rsidP="00521012">
            <w:pPr>
              <w:tabs>
                <w:tab w:val="left" w:pos="5400"/>
              </w:tabs>
              <w:spacing w:line="240" w:lineRule="auto"/>
              <w:rPr>
                <w:sz w:val="20"/>
              </w:rPr>
            </w:pPr>
            <w:r w:rsidRPr="00521012">
              <w:rPr>
                <w:sz w:val="20"/>
              </w:rPr>
              <w:t>(a) Give characteristics of study participants (</w:t>
            </w:r>
            <w:proofErr w:type="spellStart"/>
            <w:r w:rsidRPr="00521012">
              <w:rPr>
                <w:sz w:val="20"/>
              </w:rPr>
              <w:t>eg</w:t>
            </w:r>
            <w:proofErr w:type="spellEnd"/>
            <w:r w:rsidRPr="00521012">
              <w:rPr>
                <w:sz w:val="20"/>
              </w:rPr>
              <w:t xml:space="preserve"> demographic, clinical, social) and information on exposures and potential confounders</w:t>
            </w:r>
          </w:p>
          <w:p w:rsidR="001775FD" w:rsidRPr="00521012" w:rsidRDefault="001775FD" w:rsidP="00521012">
            <w:pPr>
              <w:tabs>
                <w:tab w:val="left" w:pos="5400"/>
              </w:tabs>
              <w:spacing w:line="240" w:lineRule="auto"/>
              <w:rPr>
                <w:sz w:val="20"/>
              </w:rPr>
            </w:pPr>
          </w:p>
          <w:p w:rsidR="001775FD" w:rsidRPr="00261A4C" w:rsidRDefault="00521012" w:rsidP="00261A4C">
            <w:pPr>
              <w:tabs>
                <w:tab w:val="left" w:pos="5400"/>
              </w:tabs>
              <w:spacing w:line="240" w:lineRule="auto"/>
              <w:rPr>
                <w:b/>
                <w:sz w:val="20"/>
              </w:rPr>
            </w:pPr>
            <w:r w:rsidRPr="00261A4C">
              <w:rPr>
                <w:b/>
                <w:sz w:val="20"/>
              </w:rPr>
              <w:t>Text:</w:t>
            </w:r>
          </w:p>
          <w:p w:rsidR="00521012" w:rsidRPr="00C03FBE" w:rsidRDefault="00521012" w:rsidP="00C03FBE">
            <w:pPr>
              <w:pStyle w:val="Normal1"/>
              <w:spacing w:line="240" w:lineRule="auto"/>
              <w:rPr>
                <w:rFonts w:ascii="Times New Roman" w:hAnsi="Times New Roman" w:cs="Times New Roman"/>
                <w:color w:val="000000" w:themeColor="text1"/>
                <w:sz w:val="20"/>
                <w:szCs w:val="20"/>
              </w:rPr>
            </w:pPr>
            <w:r w:rsidRPr="00261A4C">
              <w:rPr>
                <w:rFonts w:ascii="Times New Roman" w:hAnsi="Times New Roman" w:cs="Times New Roman"/>
                <w:sz w:val="20"/>
                <w:szCs w:val="20"/>
              </w:rPr>
              <w:t>“</w:t>
            </w:r>
            <w:r w:rsidR="00261A4C" w:rsidRPr="00261A4C">
              <w:rPr>
                <w:rFonts w:ascii="Times New Roman" w:hAnsi="Times New Roman" w:cs="Times New Roman"/>
                <w:color w:val="000000" w:themeColor="text1"/>
                <w:sz w:val="20"/>
                <w:szCs w:val="20"/>
              </w:rPr>
              <w:t xml:space="preserve">All infants received either two or three doses of </w:t>
            </w:r>
            <w:r w:rsidR="00261A4C" w:rsidRPr="00261A4C">
              <w:rPr>
                <w:rFonts w:ascii="Times New Roman" w:hAnsi="Times New Roman" w:cs="Times New Roman"/>
                <w:color w:val="auto"/>
                <w:sz w:val="20"/>
                <w:szCs w:val="20"/>
              </w:rPr>
              <w:t>rotavirus</w:t>
            </w:r>
            <w:r w:rsidR="00261A4C" w:rsidRPr="00261A4C">
              <w:rPr>
                <w:rFonts w:ascii="Times New Roman" w:hAnsi="Times New Roman" w:cs="Times New Roman"/>
                <w:color w:val="000000" w:themeColor="text1"/>
                <w:sz w:val="20"/>
                <w:szCs w:val="20"/>
              </w:rPr>
              <w:t xml:space="preserve"> vaccine (Table 3); nearly all infants in low child mortality settings received two doses (99%) while nearly half of infants in high child mortality settings received a third dose because of study protocols (45%).  In low child mortality settings, one-quarter of infants received a reduced concentration of the vaccine (viral suspension &lt;</w:t>
            </w:r>
            <w:r w:rsidR="00261A4C" w:rsidRPr="00261A4C">
              <w:rPr>
                <w:rFonts w:ascii="Times New Roman" w:eastAsia="Times New Roman" w:hAnsi="Times New Roman" w:cs="Times New Roman"/>
                <w:color w:val="000000" w:themeColor="text1"/>
                <w:sz w:val="20"/>
                <w:szCs w:val="20"/>
              </w:rPr>
              <w:t>10</w:t>
            </w:r>
            <w:r w:rsidR="00261A4C" w:rsidRPr="00261A4C">
              <w:rPr>
                <w:rFonts w:ascii="Times New Roman" w:eastAsia="Times New Roman" w:hAnsi="Times New Roman" w:cs="Times New Roman"/>
                <w:color w:val="000000" w:themeColor="text1"/>
                <w:sz w:val="20"/>
                <w:szCs w:val="20"/>
                <w:vertAlign w:val="superscript"/>
              </w:rPr>
              <w:t>6.0</w:t>
            </w:r>
            <w:r w:rsidR="00261A4C" w:rsidRPr="00261A4C">
              <w:rPr>
                <w:rFonts w:ascii="Times New Roman" w:eastAsia="Times New Roman" w:hAnsi="Times New Roman" w:cs="Times New Roman"/>
                <w:color w:val="000000" w:themeColor="text1"/>
                <w:sz w:val="20"/>
                <w:szCs w:val="20"/>
              </w:rPr>
              <w:t xml:space="preserve"> CCID</w:t>
            </w:r>
            <w:r w:rsidR="00261A4C" w:rsidRPr="00261A4C">
              <w:rPr>
                <w:rFonts w:ascii="Times New Roman" w:eastAsia="Times New Roman" w:hAnsi="Times New Roman" w:cs="Times New Roman"/>
                <w:color w:val="000000" w:themeColor="text1"/>
                <w:sz w:val="20"/>
                <w:szCs w:val="20"/>
                <w:vertAlign w:val="subscript"/>
              </w:rPr>
              <w:t>50</w:t>
            </w:r>
            <w:r w:rsidR="00261A4C" w:rsidRPr="00261A4C">
              <w:rPr>
                <w:rFonts w:ascii="Times New Roman" w:hAnsi="Times New Roman" w:cs="Times New Roman"/>
                <w:color w:val="000000" w:themeColor="text1"/>
                <w:sz w:val="20"/>
                <w:szCs w:val="20"/>
              </w:rPr>
              <w:t xml:space="preserve">), whereas all infants from high child </w:t>
            </w:r>
            <w:r w:rsidR="00261A4C" w:rsidRPr="00C03FBE">
              <w:rPr>
                <w:rFonts w:ascii="Times New Roman" w:hAnsi="Times New Roman" w:cs="Times New Roman"/>
                <w:color w:val="000000" w:themeColor="text1"/>
                <w:sz w:val="20"/>
                <w:szCs w:val="20"/>
              </w:rPr>
              <w:t>mortality settings received a “standard” concentration (viral suspension ≥</w:t>
            </w:r>
            <w:r w:rsidR="00261A4C" w:rsidRPr="00C03FBE">
              <w:rPr>
                <w:rFonts w:ascii="Times New Roman" w:eastAsia="Times New Roman" w:hAnsi="Times New Roman" w:cs="Times New Roman"/>
                <w:color w:val="000000" w:themeColor="text1"/>
                <w:sz w:val="20"/>
                <w:szCs w:val="20"/>
              </w:rPr>
              <w:t>10</w:t>
            </w:r>
            <w:r w:rsidR="00261A4C" w:rsidRPr="00C03FBE">
              <w:rPr>
                <w:rFonts w:ascii="Times New Roman" w:eastAsia="Times New Roman" w:hAnsi="Times New Roman" w:cs="Times New Roman"/>
                <w:color w:val="000000" w:themeColor="text1"/>
                <w:sz w:val="20"/>
                <w:szCs w:val="20"/>
                <w:vertAlign w:val="superscript"/>
              </w:rPr>
              <w:t>6.0</w:t>
            </w:r>
            <w:r w:rsidR="00261A4C" w:rsidRPr="00C03FBE">
              <w:rPr>
                <w:rFonts w:ascii="Times New Roman" w:eastAsia="Times New Roman" w:hAnsi="Times New Roman" w:cs="Times New Roman"/>
                <w:color w:val="000000" w:themeColor="text1"/>
                <w:sz w:val="20"/>
                <w:szCs w:val="20"/>
              </w:rPr>
              <w:t xml:space="preserve"> CCID</w:t>
            </w:r>
            <w:r w:rsidR="00261A4C" w:rsidRPr="00C03FBE">
              <w:rPr>
                <w:rFonts w:ascii="Times New Roman" w:eastAsia="Times New Roman" w:hAnsi="Times New Roman" w:cs="Times New Roman"/>
                <w:color w:val="000000" w:themeColor="text1"/>
                <w:sz w:val="20"/>
                <w:szCs w:val="20"/>
                <w:vertAlign w:val="subscript"/>
              </w:rPr>
              <w:t>50</w:t>
            </w:r>
            <w:r w:rsidR="00261A4C" w:rsidRPr="00C03FBE">
              <w:rPr>
                <w:rFonts w:ascii="Times New Roman" w:hAnsi="Times New Roman" w:cs="Times New Roman"/>
                <w:color w:val="000000" w:themeColor="text1"/>
                <w:sz w:val="20"/>
                <w:szCs w:val="20"/>
              </w:rPr>
              <w:t>).</w:t>
            </w:r>
            <w:r w:rsidRPr="00C03FBE">
              <w:rPr>
                <w:rFonts w:ascii="Times New Roman" w:hAnsi="Times New Roman" w:cs="Times New Roman"/>
                <w:color w:val="000000" w:themeColor="text1"/>
                <w:sz w:val="20"/>
                <w:szCs w:val="20"/>
              </w:rPr>
              <w:t>”</w:t>
            </w:r>
          </w:p>
          <w:p w:rsidR="00521012" w:rsidRPr="00C03FBE" w:rsidRDefault="00521012" w:rsidP="00C03FBE">
            <w:pPr>
              <w:tabs>
                <w:tab w:val="left" w:pos="5400"/>
              </w:tabs>
              <w:spacing w:line="240" w:lineRule="auto"/>
              <w:rPr>
                <w:sz w:val="20"/>
              </w:rPr>
            </w:pPr>
          </w:p>
          <w:p w:rsidR="00521012" w:rsidRPr="00C03FBE" w:rsidRDefault="00521012" w:rsidP="00C03FBE">
            <w:pPr>
              <w:tabs>
                <w:tab w:val="left" w:pos="5400"/>
              </w:tabs>
              <w:spacing w:line="240" w:lineRule="auto"/>
              <w:rPr>
                <w:sz w:val="20"/>
              </w:rPr>
            </w:pPr>
            <w:r w:rsidRPr="00C03FBE">
              <w:rPr>
                <w:sz w:val="20"/>
              </w:rPr>
              <w:t>Table 3</w:t>
            </w:r>
          </w:p>
          <w:p w:rsidR="00521012" w:rsidRPr="00C03FBE" w:rsidRDefault="00521012" w:rsidP="00C03FBE">
            <w:pPr>
              <w:tabs>
                <w:tab w:val="left" w:pos="5400"/>
              </w:tabs>
              <w:spacing w:line="240" w:lineRule="auto"/>
              <w:rPr>
                <w:sz w:val="20"/>
              </w:rPr>
            </w:pPr>
          </w:p>
          <w:p w:rsidR="00521012" w:rsidRPr="00C03FBE" w:rsidRDefault="00521012" w:rsidP="00C03FBE">
            <w:pPr>
              <w:pStyle w:val="Normal1"/>
              <w:spacing w:line="240" w:lineRule="auto"/>
              <w:rPr>
                <w:rFonts w:ascii="Times New Roman" w:hAnsi="Times New Roman" w:cs="Times New Roman"/>
                <w:color w:val="000000" w:themeColor="text1"/>
                <w:sz w:val="20"/>
                <w:szCs w:val="20"/>
              </w:rPr>
            </w:pPr>
            <w:r w:rsidRPr="00C03FBE">
              <w:rPr>
                <w:rFonts w:ascii="Times New Roman" w:hAnsi="Times New Roman" w:cs="Times New Roman"/>
                <w:color w:val="000000" w:themeColor="text1"/>
                <w:sz w:val="20"/>
                <w:szCs w:val="20"/>
              </w:rPr>
              <w:t>“</w:t>
            </w:r>
            <w:r w:rsidR="00C03FBE" w:rsidRPr="00C03FBE">
              <w:rPr>
                <w:rFonts w:ascii="Times New Roman" w:hAnsi="Times New Roman" w:cs="Times New Roman"/>
                <w:color w:val="000000" w:themeColor="text1"/>
                <w:sz w:val="20"/>
                <w:szCs w:val="20"/>
              </w:rPr>
              <w:t xml:space="preserve">Individual-level characteristics frequently differed by setting (Table 3). Over 20% of infants in high child mortality settings were stunted or severely stunted while less than 10% were in low child mortality settings (p &lt;0.001).  All infants in high child mortality settings received OPV and over 90% of infants who received OPV received it concomitantly with both their first and second doses of </w:t>
            </w:r>
            <w:r w:rsidR="00C03FBE" w:rsidRPr="00C03FBE">
              <w:rPr>
                <w:rFonts w:ascii="Times New Roman" w:hAnsi="Times New Roman" w:cs="Times New Roman"/>
                <w:color w:val="auto"/>
                <w:sz w:val="20"/>
                <w:szCs w:val="20"/>
              </w:rPr>
              <w:t>rotavirus</w:t>
            </w:r>
            <w:r w:rsidR="00C03FBE" w:rsidRPr="00C03FBE">
              <w:rPr>
                <w:rFonts w:ascii="Times New Roman" w:hAnsi="Times New Roman" w:cs="Times New Roman"/>
                <w:color w:val="000000" w:themeColor="text1"/>
                <w:sz w:val="20"/>
                <w:szCs w:val="20"/>
              </w:rPr>
              <w:t xml:space="preserve"> vaccine.  In contrast, nearly half of infants in low child mortality settings did not receive any OPV (as IPV was more commonly administered in these settings).  The percentage of children who seroconverted among the OPV categories ranged from 50% among those who received OPV concomitantly with only their first rotavirus vaccine dose to 83% </w:t>
            </w:r>
            <w:r w:rsidR="00C03FBE" w:rsidRPr="00C03FBE">
              <w:rPr>
                <w:rFonts w:ascii="Times New Roman" w:hAnsi="Times New Roman" w:cs="Times New Roman"/>
                <w:color w:val="000000" w:themeColor="text1"/>
                <w:sz w:val="20"/>
                <w:szCs w:val="20"/>
              </w:rPr>
              <w:lastRenderedPageBreak/>
              <w:t xml:space="preserve">among infants who did not receive OPV (Table 4). The median age at receipt of the first </w:t>
            </w:r>
            <w:r w:rsidR="00C03FBE" w:rsidRPr="00C03FBE">
              <w:rPr>
                <w:rFonts w:ascii="Times New Roman" w:hAnsi="Times New Roman" w:cs="Times New Roman"/>
                <w:color w:val="auto"/>
                <w:sz w:val="20"/>
                <w:szCs w:val="20"/>
              </w:rPr>
              <w:t>rotavirus</w:t>
            </w:r>
            <w:r w:rsidR="00C03FBE" w:rsidRPr="00C03FBE">
              <w:rPr>
                <w:rFonts w:ascii="Times New Roman" w:hAnsi="Times New Roman" w:cs="Times New Roman"/>
                <w:color w:val="000000" w:themeColor="text1"/>
                <w:sz w:val="20"/>
                <w:szCs w:val="20"/>
              </w:rPr>
              <w:t xml:space="preserve"> dose was 9 weeks (IQR = 7, 11) and infants were a median of 22 weeks of age (IQR = 21, 26) when their post-vaccine serology sample was collected.  The time from receipt of the last </w:t>
            </w:r>
            <w:r w:rsidR="00C03FBE" w:rsidRPr="00C03FBE">
              <w:rPr>
                <w:rFonts w:ascii="Times New Roman" w:hAnsi="Times New Roman" w:cs="Times New Roman"/>
                <w:color w:val="auto"/>
                <w:sz w:val="20"/>
                <w:szCs w:val="20"/>
              </w:rPr>
              <w:t>rotavirus</w:t>
            </w:r>
            <w:r w:rsidR="00C03FBE" w:rsidRPr="00C03FBE">
              <w:rPr>
                <w:rFonts w:ascii="Times New Roman" w:hAnsi="Times New Roman" w:cs="Times New Roman"/>
                <w:color w:val="000000" w:themeColor="text1"/>
                <w:sz w:val="20"/>
                <w:szCs w:val="20"/>
              </w:rPr>
              <w:t xml:space="preserve"> dose to serology sample was slightly longer for infants in low child mortality settings (Table 3, median of 8 weeks, IQR = 5, 9) compared to infants in high child mortality settings (5 weeks, IQR = 5, 5, p &lt;0.001).</w:t>
            </w:r>
            <w:r w:rsidRPr="00C03FBE">
              <w:rPr>
                <w:rFonts w:ascii="Times New Roman" w:hAnsi="Times New Roman" w:cs="Times New Roman"/>
                <w:color w:val="000000" w:themeColor="text1"/>
                <w:sz w:val="20"/>
                <w:szCs w:val="20"/>
              </w:rPr>
              <w:t>”</w:t>
            </w:r>
          </w:p>
          <w:p w:rsidR="00521012" w:rsidRPr="00521012" w:rsidRDefault="00521012" w:rsidP="00C7030A">
            <w:pPr>
              <w:pStyle w:val="Normal1"/>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C11013" w:rsidP="00077147">
            <w:pPr>
              <w:tabs>
                <w:tab w:val="left" w:pos="5400"/>
              </w:tabs>
              <w:spacing w:line="240" w:lineRule="auto"/>
              <w:rPr>
                <w:sz w:val="20"/>
              </w:rPr>
            </w:pPr>
            <w:r>
              <w:rPr>
                <w:sz w:val="20"/>
              </w:rPr>
              <w:t>Results, 2</w:t>
            </w:r>
            <w:r w:rsidRPr="00C11013">
              <w:rPr>
                <w:sz w:val="20"/>
                <w:vertAlign w:val="superscript"/>
              </w:rPr>
              <w:t>nd</w:t>
            </w:r>
            <w:r>
              <w:rPr>
                <w:sz w:val="20"/>
              </w:rPr>
              <w:t xml:space="preserve"> paragraph</w:t>
            </w: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C11013" w:rsidP="00077147">
            <w:pPr>
              <w:tabs>
                <w:tab w:val="left" w:pos="5400"/>
              </w:tabs>
              <w:spacing w:line="240" w:lineRule="auto"/>
              <w:rPr>
                <w:sz w:val="20"/>
              </w:rPr>
            </w:pPr>
            <w:r>
              <w:rPr>
                <w:sz w:val="20"/>
              </w:rPr>
              <w:t>Table 3</w:t>
            </w:r>
          </w:p>
          <w:p w:rsidR="00C11013" w:rsidRDefault="00C11013" w:rsidP="00077147">
            <w:pPr>
              <w:tabs>
                <w:tab w:val="left" w:pos="5400"/>
              </w:tabs>
              <w:spacing w:line="240" w:lineRule="auto"/>
              <w:rPr>
                <w:sz w:val="20"/>
              </w:rPr>
            </w:pPr>
          </w:p>
          <w:p w:rsidR="00521012" w:rsidRDefault="00C11013" w:rsidP="00077147">
            <w:pPr>
              <w:tabs>
                <w:tab w:val="left" w:pos="5400"/>
              </w:tabs>
              <w:spacing w:line="240" w:lineRule="auto"/>
              <w:rPr>
                <w:sz w:val="20"/>
              </w:rPr>
            </w:pPr>
            <w:r>
              <w:rPr>
                <w:sz w:val="20"/>
              </w:rPr>
              <w:t>Results, 4</w:t>
            </w:r>
            <w:r w:rsidRPr="00C11013">
              <w:rPr>
                <w:sz w:val="20"/>
                <w:vertAlign w:val="superscript"/>
              </w:rPr>
              <w:t>th</w:t>
            </w:r>
            <w:r>
              <w:rPr>
                <w:sz w:val="20"/>
              </w:rPr>
              <w:t xml:space="preserve"> paragraph</w:t>
            </w: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077147">
            <w:pPr>
              <w:tabs>
                <w:tab w:val="left" w:pos="5400"/>
              </w:tabs>
              <w:spacing w:line="240" w:lineRule="auto"/>
              <w:rPr>
                <w:sz w:val="20"/>
              </w:rPr>
            </w:pPr>
          </w:p>
          <w:p w:rsidR="00521012" w:rsidRDefault="00521012" w:rsidP="00C7030A">
            <w:pPr>
              <w:tabs>
                <w:tab w:val="left" w:pos="5400"/>
              </w:tabs>
              <w:spacing w:line="240" w:lineRule="auto"/>
              <w:rPr>
                <w:sz w:val="20"/>
              </w:rPr>
            </w:pP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68" w:name="bold36" w:colFirst="0" w:colLast="0"/>
            <w:bookmarkStart w:id="69" w:name="italic36" w:colFirst="0" w:colLast="0"/>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Pr="00521012" w:rsidRDefault="00F968F7" w:rsidP="00521012">
            <w:pPr>
              <w:tabs>
                <w:tab w:val="left" w:pos="5400"/>
              </w:tabs>
              <w:spacing w:line="240" w:lineRule="auto"/>
              <w:rPr>
                <w:sz w:val="20"/>
              </w:rPr>
            </w:pPr>
            <w:r w:rsidRPr="00521012">
              <w:rPr>
                <w:sz w:val="20"/>
              </w:rPr>
              <w:t>(b) Indicate number of participants with missing data for each variable of interest</w:t>
            </w:r>
          </w:p>
          <w:p w:rsidR="001775FD" w:rsidRDefault="001775FD" w:rsidP="00521012">
            <w:pPr>
              <w:tabs>
                <w:tab w:val="left" w:pos="5400"/>
              </w:tabs>
              <w:spacing w:line="240" w:lineRule="auto"/>
              <w:rPr>
                <w:sz w:val="20"/>
              </w:rPr>
            </w:pPr>
          </w:p>
          <w:p w:rsidR="00C7030A" w:rsidRDefault="00C7030A" w:rsidP="00521012">
            <w:pPr>
              <w:tabs>
                <w:tab w:val="left" w:pos="5400"/>
              </w:tabs>
              <w:spacing w:line="240" w:lineRule="auto"/>
              <w:rPr>
                <w:sz w:val="20"/>
              </w:rPr>
            </w:pPr>
            <w:r>
              <w:rPr>
                <w:b/>
                <w:sz w:val="20"/>
              </w:rPr>
              <w:t>Text:</w:t>
            </w:r>
          </w:p>
          <w:p w:rsidR="008455BB" w:rsidRDefault="008455BB" w:rsidP="00521012">
            <w:pPr>
              <w:tabs>
                <w:tab w:val="left" w:pos="5400"/>
              </w:tabs>
              <w:spacing w:line="240" w:lineRule="auto"/>
              <w:rPr>
                <w:sz w:val="20"/>
              </w:rPr>
            </w:pPr>
            <w:r>
              <w:rPr>
                <w:sz w:val="20"/>
              </w:rPr>
              <w:t>Table 3</w:t>
            </w:r>
          </w:p>
          <w:p w:rsidR="008455BB" w:rsidRDefault="008455BB" w:rsidP="00521012">
            <w:pPr>
              <w:tabs>
                <w:tab w:val="left" w:pos="5400"/>
              </w:tabs>
              <w:spacing w:line="240" w:lineRule="auto"/>
              <w:rPr>
                <w:sz w:val="20"/>
              </w:rPr>
            </w:pPr>
          </w:p>
          <w:p w:rsidR="00C7030A" w:rsidRPr="00C7030A" w:rsidRDefault="008455BB" w:rsidP="00521012">
            <w:pPr>
              <w:tabs>
                <w:tab w:val="left" w:pos="5400"/>
              </w:tabs>
              <w:spacing w:line="240" w:lineRule="auto"/>
              <w:rPr>
                <w:sz w:val="20"/>
              </w:rPr>
            </w:pPr>
            <w:r>
              <w:rPr>
                <w:sz w:val="20"/>
              </w:rPr>
              <w:t>Table</w:t>
            </w:r>
            <w:r w:rsidR="00C7030A">
              <w:rPr>
                <w:sz w:val="20"/>
              </w:rPr>
              <w:t xml:space="preserve"> 4</w:t>
            </w:r>
            <w:r w:rsidR="00C03FBE">
              <w:rPr>
                <w:sz w:val="20"/>
              </w:rPr>
              <w:t xml:space="preserve"> and </w:t>
            </w:r>
            <w:r w:rsidR="00BC32CD">
              <w:rPr>
                <w:sz w:val="20"/>
              </w:rPr>
              <w:t>5</w:t>
            </w:r>
          </w:p>
          <w:p w:rsidR="001775FD" w:rsidRPr="00521012" w:rsidRDefault="001775FD" w:rsidP="00521012">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8455BB" w:rsidRDefault="00C11013" w:rsidP="008455BB">
            <w:pPr>
              <w:tabs>
                <w:tab w:val="left" w:pos="5400"/>
              </w:tabs>
              <w:spacing w:line="240" w:lineRule="auto"/>
              <w:rPr>
                <w:sz w:val="20"/>
              </w:rPr>
            </w:pPr>
            <w:r>
              <w:rPr>
                <w:sz w:val="20"/>
              </w:rPr>
              <w:t>Table 3</w:t>
            </w:r>
          </w:p>
          <w:p w:rsidR="008455BB" w:rsidRDefault="008455BB" w:rsidP="008455BB">
            <w:pPr>
              <w:tabs>
                <w:tab w:val="left" w:pos="5400"/>
              </w:tabs>
              <w:spacing w:line="240" w:lineRule="auto"/>
              <w:rPr>
                <w:sz w:val="20"/>
              </w:rPr>
            </w:pPr>
          </w:p>
          <w:p w:rsidR="00C11013" w:rsidRDefault="00C11013" w:rsidP="008455BB">
            <w:pPr>
              <w:tabs>
                <w:tab w:val="left" w:pos="5400"/>
              </w:tabs>
              <w:spacing w:line="240" w:lineRule="auto"/>
              <w:rPr>
                <w:sz w:val="20"/>
              </w:rPr>
            </w:pPr>
            <w:r>
              <w:rPr>
                <w:sz w:val="20"/>
              </w:rPr>
              <w:t xml:space="preserve">Table 4 &amp; </w:t>
            </w:r>
            <w:r w:rsidR="00BC32CD">
              <w:rPr>
                <w:sz w:val="20"/>
              </w:rPr>
              <w:t>5</w:t>
            </w:r>
          </w:p>
        </w:tc>
      </w:tr>
      <w:tr w:rsidR="00606B93" w:rsidRPr="0022554A" w:rsidTr="00606B93">
        <w:trPr>
          <w:trHeight w:val="295"/>
        </w:trPr>
        <w:tc>
          <w:tcPr>
            <w:tcW w:w="2010" w:type="dxa"/>
          </w:tcPr>
          <w:p w:rsidR="00F968F7" w:rsidRPr="0022554A" w:rsidRDefault="00F968F7" w:rsidP="00077147">
            <w:pPr>
              <w:tabs>
                <w:tab w:val="left" w:pos="5400"/>
              </w:tabs>
              <w:spacing w:line="240" w:lineRule="auto"/>
              <w:rPr>
                <w:bCs/>
                <w:sz w:val="20"/>
              </w:rPr>
            </w:pPr>
            <w:bookmarkStart w:id="70" w:name="bold38" w:colFirst="0" w:colLast="0"/>
            <w:bookmarkStart w:id="71" w:name="italic38" w:colFirst="0" w:colLast="0"/>
            <w:bookmarkEnd w:id="68"/>
            <w:bookmarkEnd w:id="69"/>
            <w:r w:rsidRPr="0022554A">
              <w:rPr>
                <w:bCs/>
                <w:sz w:val="20"/>
              </w:rPr>
              <w:t>Outcome data</w:t>
            </w:r>
          </w:p>
        </w:tc>
        <w:tc>
          <w:tcPr>
            <w:tcW w:w="654" w:type="dxa"/>
          </w:tcPr>
          <w:p w:rsidR="00F968F7" w:rsidRPr="0022554A" w:rsidRDefault="00F968F7" w:rsidP="00077147">
            <w:pPr>
              <w:tabs>
                <w:tab w:val="left" w:pos="5400"/>
              </w:tabs>
              <w:spacing w:line="240" w:lineRule="auto"/>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Default="00F968F7" w:rsidP="00077147">
            <w:pPr>
              <w:tabs>
                <w:tab w:val="left" w:pos="5400"/>
              </w:tabs>
              <w:spacing w:line="240" w:lineRule="auto"/>
              <w:rPr>
                <w:sz w:val="20"/>
              </w:rPr>
            </w:pPr>
            <w:r w:rsidRPr="0022554A">
              <w:rPr>
                <w:sz w:val="20"/>
              </w:rPr>
              <w:t>Report numbers of outcome events or summary measures</w:t>
            </w:r>
          </w:p>
          <w:p w:rsidR="001775FD" w:rsidRDefault="001775FD" w:rsidP="00077147">
            <w:pPr>
              <w:tabs>
                <w:tab w:val="left" w:pos="5400"/>
              </w:tabs>
              <w:spacing w:line="240" w:lineRule="auto"/>
              <w:rPr>
                <w:sz w:val="20"/>
              </w:rPr>
            </w:pPr>
          </w:p>
          <w:p w:rsidR="001775FD" w:rsidRPr="00C26EA1" w:rsidRDefault="00C7030A" w:rsidP="00C26EA1">
            <w:pPr>
              <w:tabs>
                <w:tab w:val="left" w:pos="5400"/>
              </w:tabs>
              <w:spacing w:line="240" w:lineRule="auto"/>
              <w:rPr>
                <w:b/>
                <w:sz w:val="20"/>
              </w:rPr>
            </w:pPr>
            <w:r>
              <w:rPr>
                <w:b/>
                <w:sz w:val="20"/>
              </w:rPr>
              <w:t>Text:</w:t>
            </w:r>
          </w:p>
          <w:p w:rsidR="00C7030A" w:rsidRPr="00C26EA1" w:rsidRDefault="00C7030A" w:rsidP="00C26EA1">
            <w:pPr>
              <w:pStyle w:val="Normal1"/>
              <w:spacing w:line="240" w:lineRule="auto"/>
              <w:rPr>
                <w:rFonts w:ascii="Times New Roman" w:hAnsi="Times New Roman" w:cs="Times New Roman"/>
                <w:color w:val="000000" w:themeColor="text1"/>
                <w:sz w:val="20"/>
                <w:szCs w:val="20"/>
              </w:rPr>
            </w:pPr>
            <w:r w:rsidRPr="00C26EA1">
              <w:rPr>
                <w:rFonts w:ascii="Times New Roman" w:hAnsi="Times New Roman" w:cs="Times New Roman"/>
                <w:color w:val="000000" w:themeColor="text1"/>
                <w:sz w:val="20"/>
                <w:szCs w:val="20"/>
              </w:rPr>
              <w:t>“</w:t>
            </w:r>
            <w:r w:rsidR="00C26EA1" w:rsidRPr="00C26EA1">
              <w:rPr>
                <w:rFonts w:ascii="Times New Roman" w:hAnsi="Times New Roman" w:cs="Times New Roman"/>
                <w:color w:val="000000" w:themeColor="text1"/>
                <w:sz w:val="20"/>
                <w:szCs w:val="20"/>
              </w:rPr>
              <w:t xml:space="preserve">A majority of infants (70%) were seropositive after vaccination (Table 3) with a higher proportion of infants in low child mortality settings seroconverting (77%) compared to infants in high child mortality settings (62%, p &lt;0.001).  Anti-rotavirus IgA seroconversion ranged from 58% in India to over 90% in Hong Kong, Italy and Chile (Fig 2a). A similar pattern was found with post-vaccine </w:t>
            </w:r>
            <w:r w:rsidR="00C26EA1" w:rsidRPr="00C26EA1">
              <w:rPr>
                <w:rFonts w:ascii="Times New Roman" w:hAnsi="Times New Roman" w:cs="Times New Roman"/>
                <w:sz w:val="20"/>
                <w:szCs w:val="20"/>
              </w:rPr>
              <w:t xml:space="preserve">anti-rotavirus </w:t>
            </w:r>
            <w:r w:rsidR="00C26EA1" w:rsidRPr="00C26EA1">
              <w:rPr>
                <w:rFonts w:ascii="Times New Roman" w:hAnsi="Times New Roman" w:cs="Times New Roman"/>
                <w:color w:val="000000" w:themeColor="text1"/>
                <w:sz w:val="20"/>
                <w:szCs w:val="20"/>
              </w:rPr>
              <w:t>IgA titer where infants in low child mortality settings had geometric mean titers (240, SD = 4) higher than that of infants in high child mortality settings (199, SD = 4, p &lt;0.001).  Anti-rotavirus IgA titer ranged from a median of 34 U/mL in India to 443 U/mL in Japan (Fig 2b).</w:t>
            </w:r>
            <w:r w:rsidRPr="00C26EA1">
              <w:rPr>
                <w:rFonts w:ascii="Times New Roman" w:hAnsi="Times New Roman" w:cs="Times New Roman"/>
                <w:color w:val="000000" w:themeColor="text1"/>
                <w:sz w:val="20"/>
                <w:szCs w:val="20"/>
              </w:rPr>
              <w:t>”</w:t>
            </w:r>
          </w:p>
          <w:p w:rsidR="00C7030A" w:rsidRDefault="00C7030A" w:rsidP="00C7030A">
            <w:pPr>
              <w:pStyle w:val="Normal1"/>
              <w:spacing w:line="240" w:lineRule="auto"/>
              <w:rPr>
                <w:rFonts w:ascii="Times New Roman" w:hAnsi="Times New Roman" w:cs="Times New Roman"/>
                <w:color w:val="000000" w:themeColor="text1"/>
                <w:sz w:val="20"/>
                <w:szCs w:val="20"/>
              </w:rPr>
            </w:pPr>
          </w:p>
          <w:p w:rsidR="00C7030A" w:rsidRDefault="00C7030A" w:rsidP="00C7030A">
            <w:pPr>
              <w:pStyle w:val="Normal1"/>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Table 4</w:t>
            </w:r>
            <w:r w:rsidR="00C26EA1">
              <w:rPr>
                <w:rFonts w:ascii="Times New Roman" w:hAnsi="Times New Roman" w:cs="Times New Roman"/>
                <w:color w:val="000000" w:themeColor="text1"/>
                <w:sz w:val="20"/>
                <w:szCs w:val="20"/>
              </w:rPr>
              <w:t xml:space="preserve"> and </w:t>
            </w:r>
            <w:r w:rsidR="00BC32CD">
              <w:rPr>
                <w:rFonts w:ascii="Times New Roman" w:hAnsi="Times New Roman" w:cs="Times New Roman"/>
                <w:color w:val="000000" w:themeColor="text1"/>
                <w:sz w:val="20"/>
                <w:szCs w:val="20"/>
              </w:rPr>
              <w:t>5</w:t>
            </w:r>
          </w:p>
          <w:p w:rsidR="00C943EB" w:rsidRDefault="00C943EB" w:rsidP="00C7030A">
            <w:pPr>
              <w:pStyle w:val="Normal1"/>
              <w:spacing w:line="240" w:lineRule="auto"/>
              <w:rPr>
                <w:rFonts w:ascii="Times New Roman" w:hAnsi="Times New Roman" w:cs="Times New Roman"/>
                <w:color w:val="000000" w:themeColor="text1"/>
                <w:sz w:val="20"/>
                <w:szCs w:val="20"/>
              </w:rPr>
            </w:pPr>
          </w:p>
          <w:p w:rsidR="00C943EB" w:rsidRPr="00521012" w:rsidRDefault="00C943EB" w:rsidP="00C7030A">
            <w:pPr>
              <w:pStyle w:val="Normal1"/>
              <w:spacing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Figure 2</w:t>
            </w:r>
          </w:p>
          <w:p w:rsidR="00C7030A" w:rsidRPr="00C7030A" w:rsidRDefault="00C7030A" w:rsidP="00077147">
            <w:pPr>
              <w:tabs>
                <w:tab w:val="left" w:pos="5400"/>
              </w:tabs>
              <w:spacing w:line="240" w:lineRule="auto"/>
              <w:rPr>
                <w:b/>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11013" w:rsidRDefault="00C11013" w:rsidP="00C11013">
            <w:pPr>
              <w:tabs>
                <w:tab w:val="left" w:pos="5400"/>
              </w:tabs>
              <w:spacing w:line="240" w:lineRule="auto"/>
              <w:rPr>
                <w:sz w:val="20"/>
              </w:rPr>
            </w:pPr>
            <w:r>
              <w:rPr>
                <w:sz w:val="20"/>
              </w:rPr>
              <w:t>Results, 5</w:t>
            </w:r>
            <w:r w:rsidRPr="00C11013">
              <w:rPr>
                <w:sz w:val="20"/>
                <w:vertAlign w:val="superscript"/>
              </w:rPr>
              <w:t>th</w:t>
            </w:r>
            <w:r>
              <w:rPr>
                <w:sz w:val="20"/>
              </w:rPr>
              <w:t xml:space="preserve"> paragraph</w:t>
            </w: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11013" w:rsidP="00077147">
            <w:pPr>
              <w:tabs>
                <w:tab w:val="left" w:pos="5400"/>
              </w:tabs>
              <w:spacing w:line="240" w:lineRule="auto"/>
              <w:rPr>
                <w:sz w:val="20"/>
              </w:rPr>
            </w:pPr>
            <w:r>
              <w:rPr>
                <w:sz w:val="20"/>
              </w:rPr>
              <w:t xml:space="preserve">Table 4 &amp; </w:t>
            </w:r>
            <w:r w:rsidR="00BC32CD">
              <w:rPr>
                <w:sz w:val="20"/>
              </w:rPr>
              <w:t>5</w:t>
            </w:r>
          </w:p>
          <w:p w:rsidR="00C11013" w:rsidRDefault="00C11013" w:rsidP="00077147">
            <w:pPr>
              <w:tabs>
                <w:tab w:val="left" w:pos="5400"/>
              </w:tabs>
              <w:spacing w:line="240" w:lineRule="auto"/>
              <w:rPr>
                <w:sz w:val="20"/>
              </w:rPr>
            </w:pPr>
          </w:p>
          <w:p w:rsidR="00C943EB" w:rsidRPr="0022554A" w:rsidRDefault="00C11013" w:rsidP="008455BB">
            <w:pPr>
              <w:tabs>
                <w:tab w:val="left" w:pos="5400"/>
              </w:tabs>
              <w:spacing w:line="240" w:lineRule="auto"/>
              <w:rPr>
                <w:sz w:val="20"/>
              </w:rPr>
            </w:pPr>
            <w:r>
              <w:rPr>
                <w:sz w:val="20"/>
              </w:rPr>
              <w:t>Figure 2</w:t>
            </w:r>
          </w:p>
        </w:tc>
      </w:tr>
      <w:tr w:rsidR="00606B93" w:rsidRPr="0022554A" w:rsidTr="00606B93">
        <w:tc>
          <w:tcPr>
            <w:tcW w:w="2010" w:type="dxa"/>
            <w:vMerge w:val="restart"/>
          </w:tcPr>
          <w:p w:rsidR="00F968F7" w:rsidRPr="0022554A" w:rsidRDefault="00F968F7" w:rsidP="00077147">
            <w:pPr>
              <w:tabs>
                <w:tab w:val="left" w:pos="5400"/>
              </w:tabs>
              <w:spacing w:line="240" w:lineRule="auto"/>
              <w:rPr>
                <w:bCs/>
                <w:sz w:val="20"/>
              </w:rPr>
            </w:pPr>
            <w:bookmarkStart w:id="73" w:name="italic40" w:colFirst="0" w:colLast="0"/>
            <w:bookmarkStart w:id="74" w:name="bold41" w:colFirst="0" w:colLast="0"/>
            <w:bookmarkEnd w:id="70"/>
            <w:bookmarkEnd w:id="71"/>
            <w:r w:rsidRPr="0022554A">
              <w:rPr>
                <w:bCs/>
                <w:sz w:val="20"/>
              </w:rPr>
              <w:t>Main results</w:t>
            </w:r>
          </w:p>
        </w:tc>
        <w:tc>
          <w:tcPr>
            <w:tcW w:w="654" w:type="dxa"/>
            <w:vMerge w:val="restart"/>
          </w:tcPr>
          <w:p w:rsidR="00F968F7" w:rsidRPr="0022554A" w:rsidRDefault="00F968F7" w:rsidP="00077147">
            <w:pPr>
              <w:tabs>
                <w:tab w:val="left" w:pos="5400"/>
              </w:tabs>
              <w:spacing w:line="240" w:lineRule="auto"/>
              <w:jc w:val="center"/>
              <w:rPr>
                <w:sz w:val="20"/>
              </w:rPr>
            </w:pPr>
            <w:r w:rsidRPr="0022554A">
              <w:rPr>
                <w:sz w:val="20"/>
              </w:rPr>
              <w:t>16</w:t>
            </w:r>
          </w:p>
        </w:tc>
        <w:tc>
          <w:tcPr>
            <w:tcW w:w="0" w:type="auto"/>
            <w:tcBorders>
              <w:right w:val="single" w:sz="4" w:space="0" w:color="auto"/>
            </w:tcBorders>
          </w:tcPr>
          <w:p w:rsidR="00F968F7" w:rsidRPr="00CD3ED4" w:rsidRDefault="001775FD" w:rsidP="001775FD">
            <w:pPr>
              <w:tabs>
                <w:tab w:val="left" w:pos="5400"/>
              </w:tabs>
              <w:spacing w:line="240" w:lineRule="auto"/>
              <w:rPr>
                <w:sz w:val="20"/>
              </w:rPr>
            </w:pPr>
            <w:r w:rsidRPr="00CD3ED4">
              <w:rPr>
                <w:i/>
                <w:sz w:val="20"/>
              </w:rPr>
              <w:t>(</w:t>
            </w:r>
            <w:r w:rsidRPr="00CD3ED4">
              <w:rPr>
                <w:sz w:val="20"/>
              </w:rPr>
              <w:t xml:space="preserve">a) </w:t>
            </w:r>
            <w:r w:rsidR="00F968F7" w:rsidRPr="00CD3ED4">
              <w:rPr>
                <w:sz w:val="20"/>
              </w:rPr>
              <w:t>Give unadjusted estimates and, if applicable, confounder-adjusted estimates and their precision (</w:t>
            </w:r>
            <w:proofErr w:type="spellStart"/>
            <w:r w:rsidR="00F968F7" w:rsidRPr="00CD3ED4">
              <w:rPr>
                <w:sz w:val="20"/>
              </w:rPr>
              <w:t>eg</w:t>
            </w:r>
            <w:proofErr w:type="spellEnd"/>
            <w:r w:rsidR="00F968F7" w:rsidRPr="00CD3ED4">
              <w:rPr>
                <w:sz w:val="20"/>
              </w:rPr>
              <w:t>, 95% confidence interval). Make clear which confounders were adjusted for and why they were included</w:t>
            </w:r>
          </w:p>
          <w:p w:rsidR="001775FD" w:rsidRPr="00CD3ED4" w:rsidRDefault="001775FD" w:rsidP="00C7030A">
            <w:pPr>
              <w:spacing w:line="240" w:lineRule="auto"/>
              <w:rPr>
                <w:sz w:val="20"/>
              </w:rPr>
            </w:pPr>
          </w:p>
          <w:p w:rsidR="00C7030A" w:rsidRPr="00CD3ED4" w:rsidRDefault="00C7030A" w:rsidP="00C7030A">
            <w:pPr>
              <w:spacing w:line="240" w:lineRule="auto"/>
              <w:rPr>
                <w:b/>
                <w:sz w:val="20"/>
              </w:rPr>
            </w:pPr>
            <w:r w:rsidRPr="00CD3ED4">
              <w:rPr>
                <w:b/>
                <w:sz w:val="20"/>
              </w:rPr>
              <w:t>Text:</w:t>
            </w:r>
          </w:p>
          <w:p w:rsidR="00C26EA1" w:rsidRPr="00CD3ED4" w:rsidRDefault="00C7030A" w:rsidP="00C7030A">
            <w:pPr>
              <w:spacing w:line="240" w:lineRule="auto"/>
              <w:rPr>
                <w:sz w:val="20"/>
              </w:rPr>
            </w:pPr>
            <w:r w:rsidRPr="00CD3ED4">
              <w:rPr>
                <w:sz w:val="20"/>
              </w:rPr>
              <w:t>Table 4</w:t>
            </w:r>
            <w:r w:rsidR="00C26EA1" w:rsidRPr="00CD3ED4">
              <w:rPr>
                <w:sz w:val="20"/>
              </w:rPr>
              <w:t xml:space="preserve"> and </w:t>
            </w:r>
            <w:r w:rsidR="00BC32CD">
              <w:rPr>
                <w:sz w:val="20"/>
              </w:rPr>
              <w:t>5</w:t>
            </w:r>
          </w:p>
          <w:p w:rsidR="00C26EA1" w:rsidRPr="00CD3ED4" w:rsidRDefault="00C26EA1" w:rsidP="00C7030A">
            <w:pPr>
              <w:spacing w:line="240" w:lineRule="auto"/>
              <w:rPr>
                <w:sz w:val="20"/>
              </w:rPr>
            </w:pPr>
          </w:p>
          <w:p w:rsidR="00C26EA1" w:rsidRPr="00CD3ED4" w:rsidRDefault="00C26EA1" w:rsidP="00C7030A">
            <w:pPr>
              <w:spacing w:line="240" w:lineRule="auto"/>
              <w:rPr>
                <w:sz w:val="20"/>
              </w:rPr>
            </w:pPr>
            <w:r w:rsidRPr="00CD3ED4">
              <w:rPr>
                <w:sz w:val="20"/>
              </w:rPr>
              <w:t>“</w:t>
            </w:r>
            <w:r w:rsidR="00CD3ED4" w:rsidRPr="00CD3ED4">
              <w:rPr>
                <w:color w:val="000000" w:themeColor="text1"/>
                <w:sz w:val="20"/>
              </w:rPr>
              <w:t xml:space="preserve">No association with seroconversion was identified for vaccine concentration, sex, age at first rotavirus vaccine dose, time from last rotavirus vaccine dose to post-vaccine serology sample, and age at post-vaccine serology sample in unadjusted analyses (Tables 4a and 4b).  In the unadjusted analysis, infants who received three rotavirus vaccine doses were less likely to seroconvert compared to those who received two doses (unadjusted OR = 0.57, 95% CI = 0.50, 0.64, p &lt; 0.001) as nearly three-quarters (73.6%) of children who received three doses were from high child mortality settings where seroconversion was less common.  Those who received OPV concomitantly with both their first and second doses of rotavirus vaccine had reduced odds of seroconversion compared to those who did not receive OPV concomitantly (unadjusted OR = 0.58, 95% CI = 0.51, 0.66, p &lt; 0.001).  A similar relationship was observed for infants who received OPV concomitantly with only their first or second rotavirus dose, though the sample size for these two categories was very small. Child mortality status (OR = 0.48, 95% CI = 0.43, 0.53, p &lt; 0.001) and under 5 mortality rate (OR = 0.69, 95% CI = </w:t>
            </w:r>
            <w:r w:rsidR="00CD3ED4" w:rsidRPr="00CD3ED4">
              <w:rPr>
                <w:color w:val="000000" w:themeColor="text1"/>
                <w:sz w:val="20"/>
              </w:rPr>
              <w:lastRenderedPageBreak/>
              <w:t xml:space="preserve">0.66, 0.72, p &lt; 0.001) were negatively associated with seroconversion while GDP was positively associated with seroconversion (OR = 1.24, 95% CI = 1.20, 1.28, p &lt; 0.001), as expected.  The unadjusted associations between each variable and vaccine </w:t>
            </w:r>
            <w:proofErr w:type="spellStart"/>
            <w:r w:rsidR="00CD3ED4" w:rsidRPr="00CD3ED4">
              <w:rPr>
                <w:color w:val="000000" w:themeColor="text1"/>
                <w:sz w:val="20"/>
              </w:rPr>
              <w:t>titer</w:t>
            </w:r>
            <w:proofErr w:type="spellEnd"/>
            <w:r w:rsidR="00CD3ED4" w:rsidRPr="00CD3ED4">
              <w:rPr>
                <w:color w:val="000000" w:themeColor="text1"/>
                <w:sz w:val="20"/>
              </w:rPr>
              <w:t xml:space="preserve"> were generally similar to those observed for seroconversion.”</w:t>
            </w:r>
          </w:p>
          <w:p w:rsidR="00C26EA1" w:rsidRPr="00CD3ED4" w:rsidRDefault="00C26EA1" w:rsidP="00C7030A">
            <w:pPr>
              <w:spacing w:line="240" w:lineRule="auto"/>
              <w:rPr>
                <w:sz w:val="20"/>
              </w:rPr>
            </w:pPr>
          </w:p>
          <w:p w:rsidR="00C7030A" w:rsidRPr="00CD3ED4" w:rsidRDefault="00C7030A" w:rsidP="00C7030A">
            <w:pPr>
              <w:pStyle w:val="Normal1"/>
              <w:spacing w:line="240" w:lineRule="auto"/>
              <w:rPr>
                <w:rFonts w:ascii="Times New Roman" w:hAnsi="Times New Roman" w:cs="Times New Roman"/>
                <w:color w:val="000000" w:themeColor="text1"/>
                <w:sz w:val="20"/>
                <w:szCs w:val="20"/>
              </w:rPr>
            </w:pPr>
            <w:r w:rsidRPr="00CD3ED4">
              <w:rPr>
                <w:rFonts w:ascii="Times New Roman" w:hAnsi="Times New Roman" w:cs="Times New Roman"/>
                <w:sz w:val="20"/>
                <w:szCs w:val="20"/>
              </w:rPr>
              <w:t>“</w:t>
            </w:r>
            <w:r w:rsidR="00C26EA1" w:rsidRPr="00CD3ED4">
              <w:rPr>
                <w:rFonts w:ascii="Times New Roman" w:hAnsi="Times New Roman" w:cs="Times New Roman"/>
                <w:color w:val="000000" w:themeColor="text1"/>
                <w:sz w:val="20"/>
                <w:szCs w:val="20"/>
              </w:rPr>
              <w:t xml:space="preserve">Infants who received OPV concomitantly with both their first and second doses of </w:t>
            </w:r>
            <w:r w:rsidR="00C26EA1" w:rsidRPr="00CD3ED4">
              <w:rPr>
                <w:rFonts w:ascii="Times New Roman" w:hAnsi="Times New Roman" w:cs="Times New Roman"/>
                <w:color w:val="auto"/>
                <w:sz w:val="20"/>
                <w:szCs w:val="20"/>
              </w:rPr>
              <w:t>rotavirus</w:t>
            </w:r>
            <w:r w:rsidR="00C26EA1" w:rsidRPr="00CD3ED4">
              <w:rPr>
                <w:rFonts w:ascii="Times New Roman" w:hAnsi="Times New Roman" w:cs="Times New Roman"/>
                <w:color w:val="000000" w:themeColor="text1"/>
                <w:sz w:val="20"/>
                <w:szCs w:val="20"/>
              </w:rPr>
              <w:t xml:space="preserve"> vaccine had 0.63 times the odds of seroconverting (OR = 0.63, 95% CI = 0.47, 0.84) compared to infants who received OPV but not concomitantly with either dose</w:t>
            </w:r>
            <w:r w:rsidRPr="00CD3ED4">
              <w:rPr>
                <w:rFonts w:ascii="Times New Roman" w:hAnsi="Times New Roman" w:cs="Times New Roman"/>
                <w:color w:val="000000" w:themeColor="text1"/>
                <w:sz w:val="20"/>
                <w:szCs w:val="20"/>
              </w:rPr>
              <w:t>.”</w:t>
            </w:r>
          </w:p>
          <w:p w:rsidR="00C7030A" w:rsidRPr="00CD3ED4" w:rsidRDefault="00C7030A" w:rsidP="00C7030A">
            <w:pPr>
              <w:pStyle w:val="Normal1"/>
              <w:spacing w:line="240" w:lineRule="auto"/>
              <w:rPr>
                <w:rFonts w:ascii="Times New Roman" w:hAnsi="Times New Roman" w:cs="Times New Roman"/>
                <w:color w:val="000000" w:themeColor="text1"/>
                <w:sz w:val="20"/>
                <w:szCs w:val="20"/>
              </w:rPr>
            </w:pPr>
          </w:p>
          <w:p w:rsidR="00C7030A" w:rsidRPr="00CD3ED4" w:rsidRDefault="00C7030A" w:rsidP="00C7030A">
            <w:pPr>
              <w:pStyle w:val="Normal1"/>
              <w:spacing w:line="240" w:lineRule="auto"/>
              <w:rPr>
                <w:rFonts w:ascii="Times New Roman" w:hAnsi="Times New Roman" w:cs="Times New Roman"/>
                <w:color w:val="000000" w:themeColor="text1"/>
                <w:sz w:val="20"/>
                <w:szCs w:val="20"/>
              </w:rPr>
            </w:pPr>
            <w:r w:rsidRPr="00CD3ED4">
              <w:rPr>
                <w:rFonts w:ascii="Times New Roman" w:hAnsi="Times New Roman" w:cs="Times New Roman"/>
                <w:color w:val="000000" w:themeColor="text1"/>
                <w:sz w:val="20"/>
                <w:szCs w:val="20"/>
              </w:rPr>
              <w:t xml:space="preserve">Table </w:t>
            </w:r>
            <w:r w:rsidR="00BC32CD">
              <w:rPr>
                <w:rFonts w:ascii="Times New Roman" w:hAnsi="Times New Roman" w:cs="Times New Roman"/>
                <w:color w:val="000000" w:themeColor="text1"/>
                <w:sz w:val="20"/>
                <w:szCs w:val="20"/>
              </w:rPr>
              <w:t>6</w:t>
            </w:r>
          </w:p>
          <w:p w:rsidR="00C7030A" w:rsidRPr="00CD3ED4" w:rsidRDefault="00C7030A" w:rsidP="00C7030A">
            <w:pPr>
              <w:pStyle w:val="Normal1"/>
              <w:spacing w:line="240" w:lineRule="auto"/>
              <w:rPr>
                <w:rFonts w:ascii="Times New Roman" w:hAnsi="Times New Roman" w:cs="Times New Roman"/>
                <w:color w:val="000000" w:themeColor="text1"/>
                <w:sz w:val="20"/>
                <w:szCs w:val="20"/>
              </w:rPr>
            </w:pPr>
          </w:p>
          <w:p w:rsidR="00C7030A" w:rsidRPr="00CD3ED4" w:rsidRDefault="00C7030A" w:rsidP="00C7030A">
            <w:pPr>
              <w:pStyle w:val="Normal1"/>
              <w:spacing w:line="240" w:lineRule="auto"/>
              <w:rPr>
                <w:rFonts w:ascii="Times New Roman" w:hAnsi="Times New Roman" w:cs="Times New Roman"/>
                <w:color w:val="000000" w:themeColor="text1"/>
                <w:sz w:val="20"/>
                <w:szCs w:val="20"/>
              </w:rPr>
            </w:pPr>
            <w:r w:rsidRPr="00CD3ED4">
              <w:rPr>
                <w:rFonts w:ascii="Times New Roman" w:hAnsi="Times New Roman" w:cs="Times New Roman"/>
                <w:color w:val="000000" w:themeColor="text1"/>
                <w:sz w:val="20"/>
                <w:szCs w:val="20"/>
              </w:rPr>
              <w:t xml:space="preserve">Table </w:t>
            </w:r>
            <w:r w:rsidR="00BC32CD">
              <w:rPr>
                <w:rFonts w:ascii="Times New Roman" w:hAnsi="Times New Roman" w:cs="Times New Roman"/>
                <w:color w:val="000000" w:themeColor="text1"/>
                <w:sz w:val="20"/>
                <w:szCs w:val="20"/>
              </w:rPr>
              <w:t>7</w:t>
            </w:r>
          </w:p>
          <w:p w:rsidR="001775FD" w:rsidRPr="00CD3ED4" w:rsidRDefault="001775FD" w:rsidP="001775FD">
            <w:pPr>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11013" w:rsidP="00077147">
            <w:pPr>
              <w:tabs>
                <w:tab w:val="left" w:pos="5400"/>
              </w:tabs>
              <w:spacing w:line="240" w:lineRule="auto"/>
              <w:rPr>
                <w:sz w:val="20"/>
              </w:rPr>
            </w:pPr>
            <w:r>
              <w:rPr>
                <w:sz w:val="20"/>
              </w:rPr>
              <w:t>Table 4a &amp; 4b</w:t>
            </w:r>
          </w:p>
          <w:p w:rsidR="00C11013" w:rsidRDefault="00C11013" w:rsidP="00077147">
            <w:pPr>
              <w:tabs>
                <w:tab w:val="left" w:pos="5400"/>
              </w:tabs>
              <w:spacing w:line="240" w:lineRule="auto"/>
              <w:rPr>
                <w:sz w:val="20"/>
              </w:rPr>
            </w:pPr>
          </w:p>
          <w:p w:rsidR="00C26EA1" w:rsidRDefault="00CD3ED4" w:rsidP="00077147">
            <w:pPr>
              <w:tabs>
                <w:tab w:val="left" w:pos="5400"/>
              </w:tabs>
              <w:spacing w:line="240" w:lineRule="auto"/>
              <w:rPr>
                <w:sz w:val="20"/>
              </w:rPr>
            </w:pPr>
            <w:r>
              <w:rPr>
                <w:sz w:val="20"/>
              </w:rPr>
              <w:t>Results, 3</w:t>
            </w:r>
            <w:r w:rsidRPr="00CD3ED4">
              <w:rPr>
                <w:sz w:val="20"/>
                <w:vertAlign w:val="superscript"/>
              </w:rPr>
              <w:t>rd</w:t>
            </w:r>
            <w:r>
              <w:rPr>
                <w:sz w:val="20"/>
              </w:rPr>
              <w:t xml:space="preserve"> paragraph</w:t>
            </w: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D3ED4" w:rsidRDefault="00CD3ED4" w:rsidP="00077147">
            <w:pPr>
              <w:tabs>
                <w:tab w:val="left" w:pos="5400"/>
              </w:tabs>
              <w:spacing w:line="240" w:lineRule="auto"/>
              <w:rPr>
                <w:sz w:val="20"/>
              </w:rPr>
            </w:pPr>
          </w:p>
          <w:p w:rsidR="00CD3ED4" w:rsidRDefault="00CD3ED4" w:rsidP="00077147">
            <w:pPr>
              <w:tabs>
                <w:tab w:val="left" w:pos="5400"/>
              </w:tabs>
              <w:spacing w:line="240" w:lineRule="auto"/>
              <w:rPr>
                <w:sz w:val="20"/>
              </w:rPr>
            </w:pPr>
          </w:p>
          <w:p w:rsidR="00CD3ED4" w:rsidRDefault="00CD3ED4" w:rsidP="00077147">
            <w:pPr>
              <w:tabs>
                <w:tab w:val="left" w:pos="5400"/>
              </w:tabs>
              <w:spacing w:line="240" w:lineRule="auto"/>
              <w:rPr>
                <w:sz w:val="20"/>
              </w:rPr>
            </w:pPr>
          </w:p>
          <w:p w:rsidR="00C7030A" w:rsidRDefault="00CD3ED4" w:rsidP="00077147">
            <w:pPr>
              <w:tabs>
                <w:tab w:val="left" w:pos="5400"/>
              </w:tabs>
              <w:spacing w:line="240" w:lineRule="auto"/>
              <w:rPr>
                <w:sz w:val="20"/>
              </w:rPr>
            </w:pPr>
            <w:r>
              <w:rPr>
                <w:sz w:val="20"/>
              </w:rPr>
              <w:t>Results, 6</w:t>
            </w:r>
            <w:r w:rsidRPr="00CD3ED4">
              <w:rPr>
                <w:sz w:val="20"/>
                <w:vertAlign w:val="superscript"/>
              </w:rPr>
              <w:t>th</w:t>
            </w:r>
            <w:r>
              <w:rPr>
                <w:sz w:val="20"/>
              </w:rPr>
              <w:t xml:space="preserve"> paragraph</w:t>
            </w: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26EA1" w:rsidRDefault="00C26EA1" w:rsidP="00077147">
            <w:pPr>
              <w:tabs>
                <w:tab w:val="left" w:pos="5400"/>
              </w:tabs>
              <w:spacing w:line="240" w:lineRule="auto"/>
              <w:rPr>
                <w:sz w:val="20"/>
              </w:rPr>
            </w:pPr>
          </w:p>
          <w:p w:rsidR="00C7030A" w:rsidRDefault="00CD3ED4" w:rsidP="00077147">
            <w:pPr>
              <w:tabs>
                <w:tab w:val="left" w:pos="5400"/>
              </w:tabs>
              <w:spacing w:line="240" w:lineRule="auto"/>
              <w:rPr>
                <w:sz w:val="20"/>
              </w:rPr>
            </w:pPr>
            <w:r>
              <w:rPr>
                <w:sz w:val="20"/>
              </w:rPr>
              <w:t xml:space="preserve">Table </w:t>
            </w:r>
            <w:r w:rsidR="00BC32CD">
              <w:rPr>
                <w:sz w:val="20"/>
              </w:rPr>
              <w:t>6</w:t>
            </w:r>
          </w:p>
          <w:p w:rsidR="00C7030A" w:rsidRDefault="00C7030A" w:rsidP="00077147">
            <w:pPr>
              <w:tabs>
                <w:tab w:val="left" w:pos="5400"/>
              </w:tabs>
              <w:spacing w:line="240" w:lineRule="auto"/>
              <w:rPr>
                <w:sz w:val="20"/>
              </w:rPr>
            </w:pPr>
          </w:p>
          <w:p w:rsidR="00C7030A" w:rsidRPr="0022554A" w:rsidRDefault="00CD3ED4" w:rsidP="008455BB">
            <w:pPr>
              <w:tabs>
                <w:tab w:val="left" w:pos="5400"/>
              </w:tabs>
              <w:spacing w:line="240" w:lineRule="auto"/>
              <w:rPr>
                <w:sz w:val="20"/>
              </w:rPr>
            </w:pPr>
            <w:r>
              <w:rPr>
                <w:sz w:val="20"/>
              </w:rPr>
              <w:t xml:space="preserve">Table </w:t>
            </w:r>
            <w:r w:rsidR="00BC32CD">
              <w:rPr>
                <w:sz w:val="20"/>
              </w:rPr>
              <w:t>7</w:t>
            </w:r>
          </w:p>
        </w:tc>
      </w:tr>
      <w:tr w:rsidR="00606B93" w:rsidRPr="0022554A" w:rsidTr="00606B93">
        <w:tc>
          <w:tcPr>
            <w:tcW w:w="2010" w:type="dxa"/>
            <w:vMerge/>
          </w:tcPr>
          <w:p w:rsidR="00F968F7" w:rsidRPr="0022554A" w:rsidRDefault="00F968F7" w:rsidP="00077147">
            <w:pPr>
              <w:tabs>
                <w:tab w:val="left" w:pos="5400"/>
              </w:tabs>
              <w:spacing w:line="240" w:lineRule="auto"/>
              <w:rPr>
                <w:bCs/>
                <w:sz w:val="20"/>
              </w:rPr>
            </w:pPr>
            <w:bookmarkStart w:id="75" w:name="italic41" w:colFirst="0" w:colLast="0"/>
            <w:bookmarkStart w:id="76" w:name="bold42" w:colFirst="0" w:colLast="0"/>
            <w:bookmarkEnd w:id="73"/>
            <w:bookmarkEnd w:id="74"/>
          </w:p>
        </w:tc>
        <w:tc>
          <w:tcPr>
            <w:tcW w:w="654" w:type="dxa"/>
            <w:vMerge/>
          </w:tcPr>
          <w:p w:rsidR="00F968F7" w:rsidRPr="0022554A" w:rsidRDefault="00F968F7" w:rsidP="00077147">
            <w:pPr>
              <w:tabs>
                <w:tab w:val="left" w:pos="5400"/>
              </w:tabs>
              <w:spacing w:line="240" w:lineRule="auto"/>
              <w:jc w:val="center"/>
              <w:rPr>
                <w:sz w:val="20"/>
              </w:rPr>
            </w:pPr>
          </w:p>
        </w:tc>
        <w:tc>
          <w:tcPr>
            <w:tcW w:w="0" w:type="auto"/>
            <w:tcBorders>
              <w:right w:val="single" w:sz="4" w:space="0" w:color="auto"/>
            </w:tcBorders>
          </w:tcPr>
          <w:p w:rsidR="00F968F7" w:rsidRPr="00C7030A" w:rsidRDefault="00F968F7" w:rsidP="00077147">
            <w:pPr>
              <w:tabs>
                <w:tab w:val="left" w:pos="5400"/>
              </w:tabs>
              <w:spacing w:line="240" w:lineRule="auto"/>
              <w:rPr>
                <w:sz w:val="20"/>
              </w:rPr>
            </w:pPr>
            <w:r w:rsidRPr="00C7030A">
              <w:rPr>
                <w:sz w:val="20"/>
              </w:rPr>
              <w:t>(</w:t>
            </w:r>
            <w:r w:rsidRPr="00C7030A">
              <w:rPr>
                <w:i/>
                <w:sz w:val="20"/>
              </w:rPr>
              <w:t>b</w:t>
            </w:r>
            <w:r w:rsidRPr="00C7030A">
              <w:rPr>
                <w:sz w:val="20"/>
              </w:rPr>
              <w:t>) Report category boundaries when continuous variables were categorized</w:t>
            </w:r>
          </w:p>
          <w:p w:rsidR="001775FD" w:rsidRPr="00C7030A" w:rsidRDefault="001775FD" w:rsidP="00077147">
            <w:pPr>
              <w:tabs>
                <w:tab w:val="left" w:pos="5400"/>
              </w:tabs>
              <w:spacing w:line="240" w:lineRule="auto"/>
              <w:rPr>
                <w:sz w:val="20"/>
              </w:rPr>
            </w:pPr>
          </w:p>
          <w:p w:rsidR="001775FD" w:rsidRDefault="00C7030A" w:rsidP="00077147">
            <w:pPr>
              <w:tabs>
                <w:tab w:val="left" w:pos="5400"/>
              </w:tabs>
              <w:spacing w:line="240" w:lineRule="auto"/>
              <w:rPr>
                <w:sz w:val="20"/>
              </w:rPr>
            </w:pPr>
            <w:r>
              <w:rPr>
                <w:b/>
                <w:sz w:val="20"/>
              </w:rPr>
              <w:t>Text:</w:t>
            </w:r>
          </w:p>
          <w:p w:rsidR="00C7030A" w:rsidRPr="00C7030A" w:rsidRDefault="009B703F" w:rsidP="00077147">
            <w:pPr>
              <w:tabs>
                <w:tab w:val="left" w:pos="5400"/>
              </w:tabs>
              <w:spacing w:line="240" w:lineRule="auto"/>
              <w:rPr>
                <w:sz w:val="20"/>
              </w:rPr>
            </w:pPr>
            <w:r>
              <w:rPr>
                <w:sz w:val="20"/>
              </w:rPr>
              <w:t>N/A</w:t>
            </w:r>
          </w:p>
          <w:p w:rsidR="00C7030A" w:rsidRPr="00C7030A" w:rsidRDefault="00C7030A"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9B703F" w:rsidRPr="0022554A" w:rsidRDefault="009B703F" w:rsidP="00077147">
            <w:pPr>
              <w:tabs>
                <w:tab w:val="left" w:pos="5400"/>
              </w:tabs>
              <w:spacing w:line="240" w:lineRule="auto"/>
              <w:rPr>
                <w:sz w:val="20"/>
              </w:rPr>
            </w:pPr>
            <w:r>
              <w:rPr>
                <w:sz w:val="20"/>
              </w:rPr>
              <w:t>N/A</w:t>
            </w:r>
          </w:p>
        </w:tc>
      </w:tr>
      <w:tr w:rsidR="00606B93" w:rsidRPr="0022554A" w:rsidTr="00606B93">
        <w:tc>
          <w:tcPr>
            <w:tcW w:w="2010" w:type="dxa"/>
            <w:vMerge/>
            <w:tcBorders>
              <w:bottom w:val="single" w:sz="4" w:space="0" w:color="auto"/>
            </w:tcBorders>
          </w:tcPr>
          <w:p w:rsidR="00F968F7" w:rsidRPr="0022554A" w:rsidRDefault="00F968F7" w:rsidP="00077147">
            <w:pPr>
              <w:tabs>
                <w:tab w:val="left" w:pos="5400"/>
              </w:tabs>
              <w:spacing w:line="240" w:lineRule="auto"/>
              <w:rPr>
                <w:bCs/>
                <w:sz w:val="20"/>
              </w:rPr>
            </w:pPr>
            <w:bookmarkStart w:id="77" w:name="italic42" w:colFirst="0" w:colLast="0"/>
            <w:bookmarkStart w:id="78" w:name="bold43" w:colFirst="0" w:colLast="0"/>
            <w:bookmarkEnd w:id="75"/>
            <w:bookmarkEnd w:id="76"/>
          </w:p>
        </w:tc>
        <w:tc>
          <w:tcPr>
            <w:tcW w:w="654" w:type="dxa"/>
            <w:vMerge/>
            <w:tcBorders>
              <w:bottom w:val="single" w:sz="4" w:space="0" w:color="auto"/>
            </w:tcBorders>
          </w:tcPr>
          <w:p w:rsidR="00F968F7" w:rsidRPr="0022554A" w:rsidRDefault="00F968F7" w:rsidP="00077147">
            <w:pPr>
              <w:tabs>
                <w:tab w:val="left" w:pos="5400"/>
              </w:tabs>
              <w:spacing w:line="240" w:lineRule="auto"/>
              <w:jc w:val="center"/>
              <w:rPr>
                <w:sz w:val="20"/>
              </w:rPr>
            </w:pPr>
          </w:p>
        </w:tc>
        <w:tc>
          <w:tcPr>
            <w:tcW w:w="0" w:type="auto"/>
            <w:tcBorders>
              <w:bottom w:val="single" w:sz="4" w:space="0" w:color="auto"/>
              <w:right w:val="single" w:sz="4" w:space="0" w:color="auto"/>
            </w:tcBorders>
          </w:tcPr>
          <w:p w:rsidR="00F968F7" w:rsidRDefault="00F968F7" w:rsidP="00077147">
            <w:pPr>
              <w:tabs>
                <w:tab w:val="left" w:pos="5400"/>
              </w:tabs>
              <w:spacing w:line="240" w:lineRule="auto"/>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p w:rsidR="001775FD" w:rsidRDefault="001775FD" w:rsidP="00077147">
            <w:pPr>
              <w:tabs>
                <w:tab w:val="left" w:pos="5400"/>
              </w:tabs>
              <w:spacing w:line="240" w:lineRule="auto"/>
              <w:rPr>
                <w:sz w:val="20"/>
              </w:rPr>
            </w:pPr>
          </w:p>
          <w:p w:rsidR="001775FD" w:rsidRDefault="00C7030A" w:rsidP="00077147">
            <w:pPr>
              <w:tabs>
                <w:tab w:val="left" w:pos="5400"/>
              </w:tabs>
              <w:spacing w:line="240" w:lineRule="auto"/>
              <w:rPr>
                <w:sz w:val="20"/>
              </w:rPr>
            </w:pPr>
            <w:r>
              <w:rPr>
                <w:b/>
                <w:sz w:val="20"/>
              </w:rPr>
              <w:t>Text:</w:t>
            </w:r>
          </w:p>
          <w:p w:rsidR="00C7030A" w:rsidRDefault="00C7030A" w:rsidP="00077147">
            <w:pPr>
              <w:tabs>
                <w:tab w:val="left" w:pos="5400"/>
              </w:tabs>
              <w:spacing w:line="240" w:lineRule="auto"/>
              <w:rPr>
                <w:sz w:val="20"/>
              </w:rPr>
            </w:pPr>
            <w:r>
              <w:rPr>
                <w:sz w:val="20"/>
              </w:rPr>
              <w:t>N/A</w:t>
            </w:r>
          </w:p>
          <w:p w:rsidR="00C7030A" w:rsidRPr="00C7030A" w:rsidRDefault="00C7030A"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Default="00C7030A" w:rsidP="00077147">
            <w:pPr>
              <w:tabs>
                <w:tab w:val="left" w:pos="5400"/>
              </w:tabs>
              <w:spacing w:line="240" w:lineRule="auto"/>
              <w:rPr>
                <w:sz w:val="20"/>
              </w:rPr>
            </w:pPr>
          </w:p>
          <w:p w:rsidR="00C7030A" w:rsidRPr="0022554A" w:rsidRDefault="00C7030A" w:rsidP="00077147">
            <w:pPr>
              <w:tabs>
                <w:tab w:val="left" w:pos="5400"/>
              </w:tabs>
              <w:spacing w:line="240" w:lineRule="auto"/>
              <w:rPr>
                <w:sz w:val="20"/>
              </w:rPr>
            </w:pPr>
            <w:r>
              <w:rPr>
                <w:sz w:val="20"/>
              </w:rPr>
              <w:t>N/A</w:t>
            </w:r>
          </w:p>
        </w:tc>
      </w:tr>
      <w:tr w:rsidR="00606B93" w:rsidRPr="0022554A" w:rsidTr="00606B93">
        <w:tc>
          <w:tcPr>
            <w:tcW w:w="2010" w:type="dxa"/>
            <w:tcBorders>
              <w:top w:val="single" w:sz="4" w:space="0" w:color="auto"/>
              <w:bottom w:val="single" w:sz="4" w:space="0" w:color="auto"/>
            </w:tcBorders>
          </w:tcPr>
          <w:p w:rsidR="00F968F7" w:rsidRPr="0022554A" w:rsidRDefault="00F968F7" w:rsidP="00077147">
            <w:pPr>
              <w:tabs>
                <w:tab w:val="left" w:pos="5400"/>
              </w:tabs>
              <w:spacing w:line="240" w:lineRule="auto"/>
              <w:rPr>
                <w:bCs/>
                <w:sz w:val="20"/>
              </w:rPr>
            </w:pPr>
            <w:bookmarkStart w:id="79" w:name="italic43"/>
            <w:bookmarkStart w:id="80" w:name="bold44"/>
            <w:bookmarkEnd w:id="77"/>
            <w:bookmarkEnd w:id="78"/>
            <w:r w:rsidRPr="0022554A">
              <w:rPr>
                <w:bCs/>
                <w:sz w:val="20"/>
              </w:rPr>
              <w:t>Other analyses</w:t>
            </w:r>
            <w:bookmarkEnd w:id="79"/>
            <w:bookmarkEnd w:id="80"/>
          </w:p>
        </w:tc>
        <w:tc>
          <w:tcPr>
            <w:tcW w:w="654" w:type="dxa"/>
            <w:tcBorders>
              <w:top w:val="single" w:sz="4" w:space="0" w:color="auto"/>
              <w:bottom w:val="single" w:sz="4" w:space="0" w:color="auto"/>
            </w:tcBorders>
          </w:tcPr>
          <w:p w:rsidR="00F968F7" w:rsidRPr="0022554A" w:rsidRDefault="00F968F7" w:rsidP="00077147">
            <w:pPr>
              <w:tabs>
                <w:tab w:val="left" w:pos="5400"/>
              </w:tabs>
              <w:spacing w:line="240" w:lineRule="auto"/>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F83260" w:rsidRDefault="00F968F7" w:rsidP="00F83260">
            <w:pPr>
              <w:tabs>
                <w:tab w:val="left" w:pos="5400"/>
              </w:tabs>
              <w:spacing w:line="240" w:lineRule="auto"/>
              <w:rPr>
                <w:sz w:val="20"/>
              </w:rPr>
            </w:pPr>
            <w:r w:rsidRPr="00F83260">
              <w:rPr>
                <w:sz w:val="20"/>
              </w:rPr>
              <w:t>Report other analyses done—</w:t>
            </w:r>
            <w:proofErr w:type="spellStart"/>
            <w:r w:rsidRPr="00F83260">
              <w:rPr>
                <w:sz w:val="20"/>
              </w:rPr>
              <w:t>eg</w:t>
            </w:r>
            <w:proofErr w:type="spellEnd"/>
            <w:r w:rsidRPr="00F83260">
              <w:rPr>
                <w:sz w:val="20"/>
              </w:rPr>
              <w:t xml:space="preserve"> analyses of subgroups and interactions, and sensitivity analyses</w:t>
            </w:r>
          </w:p>
          <w:p w:rsidR="001775FD" w:rsidRPr="00F83260" w:rsidRDefault="001775FD" w:rsidP="00F83260">
            <w:pPr>
              <w:tabs>
                <w:tab w:val="left" w:pos="5400"/>
              </w:tabs>
              <w:spacing w:line="240" w:lineRule="auto"/>
              <w:rPr>
                <w:sz w:val="20"/>
              </w:rPr>
            </w:pPr>
          </w:p>
          <w:p w:rsidR="009B703F" w:rsidRPr="00F83260" w:rsidRDefault="009B703F" w:rsidP="00F83260">
            <w:pPr>
              <w:tabs>
                <w:tab w:val="left" w:pos="5400"/>
              </w:tabs>
              <w:spacing w:line="240" w:lineRule="auto"/>
              <w:rPr>
                <w:sz w:val="20"/>
              </w:rPr>
            </w:pPr>
            <w:r w:rsidRPr="00F83260">
              <w:rPr>
                <w:b/>
                <w:sz w:val="20"/>
              </w:rPr>
              <w:t>Text:</w:t>
            </w:r>
          </w:p>
          <w:p w:rsidR="009B703F" w:rsidRPr="00F83260" w:rsidRDefault="009B703F" w:rsidP="00F83260">
            <w:pPr>
              <w:pStyle w:val="Normal1"/>
              <w:spacing w:line="240" w:lineRule="auto"/>
              <w:rPr>
                <w:rFonts w:ascii="Times New Roman" w:hAnsi="Times New Roman" w:cs="Times New Roman"/>
                <w:sz w:val="20"/>
                <w:szCs w:val="20"/>
              </w:rPr>
            </w:pPr>
            <w:r w:rsidRPr="00F83260">
              <w:rPr>
                <w:rFonts w:ascii="Times New Roman" w:hAnsi="Times New Roman" w:cs="Times New Roman"/>
                <w:sz w:val="20"/>
                <w:szCs w:val="20"/>
              </w:rPr>
              <w:t>“</w:t>
            </w:r>
            <w:r w:rsidR="00F83260" w:rsidRPr="00F83260">
              <w:rPr>
                <w:rFonts w:ascii="Times New Roman" w:hAnsi="Times New Roman" w:cs="Times New Roman"/>
                <w:sz w:val="20"/>
                <w:szCs w:val="20"/>
              </w:rPr>
              <w:t xml:space="preserve">When the final </w:t>
            </w:r>
            <w:r w:rsidR="00F83260" w:rsidRPr="00F83260">
              <w:rPr>
                <w:rFonts w:ascii="Times New Roman" w:hAnsi="Times New Roman" w:cs="Times New Roman"/>
                <w:color w:val="000000" w:themeColor="text1"/>
                <w:sz w:val="20"/>
                <w:szCs w:val="20"/>
              </w:rPr>
              <w:t xml:space="preserve">anti-rotavirus IgA </w:t>
            </w:r>
            <w:r w:rsidR="00F83260" w:rsidRPr="00F83260">
              <w:rPr>
                <w:rFonts w:ascii="Times New Roman" w:hAnsi="Times New Roman" w:cs="Times New Roman"/>
                <w:sz w:val="20"/>
                <w:szCs w:val="20"/>
              </w:rPr>
              <w:t>seroconversion model was applied to each mortality stratum separately (high, low, moderately low, and very low child mortality), similar results were observed (</w:t>
            </w:r>
            <w:r w:rsidR="00BC32CD">
              <w:rPr>
                <w:rFonts w:ascii="Times New Roman" w:hAnsi="Times New Roman" w:cs="Times New Roman"/>
                <w:sz w:val="20"/>
                <w:szCs w:val="20"/>
              </w:rPr>
              <w:t xml:space="preserve">S2 </w:t>
            </w:r>
            <w:r w:rsidR="00F83260" w:rsidRPr="00F83260">
              <w:rPr>
                <w:rFonts w:ascii="Times New Roman" w:hAnsi="Times New Roman" w:cs="Times New Roman"/>
                <w:sz w:val="20"/>
                <w:szCs w:val="20"/>
              </w:rPr>
              <w:t xml:space="preserve">Table).  The negative relationship between OPV concomitant with both </w:t>
            </w:r>
            <w:r w:rsidR="00F83260" w:rsidRPr="00F83260">
              <w:rPr>
                <w:rFonts w:ascii="Times New Roman" w:hAnsi="Times New Roman" w:cs="Times New Roman"/>
                <w:color w:val="auto"/>
                <w:sz w:val="20"/>
                <w:szCs w:val="20"/>
              </w:rPr>
              <w:t>rotavirus</w:t>
            </w:r>
            <w:r w:rsidR="00F83260" w:rsidRPr="00F83260">
              <w:rPr>
                <w:rFonts w:ascii="Times New Roman" w:hAnsi="Times New Roman" w:cs="Times New Roman"/>
                <w:sz w:val="20"/>
                <w:szCs w:val="20"/>
              </w:rPr>
              <w:t xml:space="preserve"> doses 1 and 2 remained</w:t>
            </w:r>
            <w:r w:rsidR="00CD3ED4">
              <w:rPr>
                <w:rFonts w:ascii="Times New Roman" w:hAnsi="Times New Roman" w:cs="Times New Roman"/>
                <w:sz w:val="20"/>
                <w:szCs w:val="20"/>
              </w:rPr>
              <w:t xml:space="preserve"> within each mortality setting</w:t>
            </w:r>
            <w:r w:rsidR="00F83260" w:rsidRPr="00F83260">
              <w:rPr>
                <w:rFonts w:ascii="Times New Roman" w:hAnsi="Times New Roman" w:cs="Times New Roman"/>
                <w:sz w:val="20"/>
                <w:szCs w:val="20"/>
              </w:rPr>
              <w:t>, though with less precision</w:t>
            </w:r>
            <w:r w:rsidR="00CA61E2">
              <w:rPr>
                <w:rFonts w:ascii="Times New Roman" w:hAnsi="Times New Roman" w:cs="Times New Roman"/>
                <w:sz w:val="20"/>
                <w:szCs w:val="20"/>
              </w:rPr>
              <w:t xml:space="preserve"> of the parameter estimate</w:t>
            </w:r>
            <w:r w:rsidR="00F83260" w:rsidRPr="00F83260">
              <w:rPr>
                <w:rFonts w:ascii="Times New Roman" w:hAnsi="Times New Roman" w:cs="Times New Roman"/>
                <w:sz w:val="20"/>
                <w:szCs w:val="20"/>
              </w:rPr>
              <w:t xml:space="preserve">.  Similarly, when including only infants confirmed to be seronegative prior to </w:t>
            </w:r>
            <w:r w:rsidR="00F83260" w:rsidRPr="00F83260">
              <w:rPr>
                <w:rFonts w:ascii="Times New Roman" w:hAnsi="Times New Roman" w:cs="Times New Roman"/>
                <w:color w:val="auto"/>
                <w:sz w:val="20"/>
                <w:szCs w:val="20"/>
              </w:rPr>
              <w:t>rotavirus</w:t>
            </w:r>
            <w:r w:rsidR="00F83260" w:rsidRPr="00F83260">
              <w:rPr>
                <w:rFonts w:ascii="Times New Roman" w:hAnsi="Times New Roman" w:cs="Times New Roman"/>
                <w:sz w:val="20"/>
                <w:szCs w:val="20"/>
              </w:rPr>
              <w:t xml:space="preserve"> vaccination, results were consistent with the original analysis (</w:t>
            </w:r>
            <w:r w:rsidR="00BC32CD">
              <w:rPr>
                <w:rFonts w:ascii="Times New Roman" w:hAnsi="Times New Roman" w:cs="Times New Roman"/>
                <w:sz w:val="20"/>
                <w:szCs w:val="20"/>
              </w:rPr>
              <w:t xml:space="preserve">S3 </w:t>
            </w:r>
            <w:r w:rsidR="00F83260" w:rsidRPr="00F83260">
              <w:rPr>
                <w:rFonts w:ascii="Times New Roman" w:hAnsi="Times New Roman" w:cs="Times New Roman"/>
                <w:sz w:val="20"/>
                <w:szCs w:val="20"/>
              </w:rPr>
              <w:t xml:space="preserve">Table).  Infants who received OPV concomitantly with </w:t>
            </w:r>
            <w:r w:rsidR="00F83260" w:rsidRPr="00F83260">
              <w:rPr>
                <w:rFonts w:ascii="Times New Roman" w:hAnsi="Times New Roman" w:cs="Times New Roman"/>
                <w:color w:val="auto"/>
                <w:sz w:val="20"/>
                <w:szCs w:val="20"/>
              </w:rPr>
              <w:t>rotavirus</w:t>
            </w:r>
            <w:r w:rsidR="00F83260" w:rsidRPr="00F83260">
              <w:rPr>
                <w:rFonts w:ascii="Times New Roman" w:hAnsi="Times New Roman" w:cs="Times New Roman"/>
                <w:sz w:val="20"/>
                <w:szCs w:val="20"/>
              </w:rPr>
              <w:t xml:space="preserve"> dose 1 and dose 2 were less likely to seroconvert than others (OR = 0.62, 95% CI = 0.46, 0.81</w:t>
            </w:r>
            <w:r w:rsidR="00CD3ED4">
              <w:rPr>
                <w:rFonts w:ascii="Times New Roman" w:hAnsi="Times New Roman" w:cs="Times New Roman"/>
                <w:sz w:val="20"/>
                <w:szCs w:val="20"/>
              </w:rPr>
              <w:t>, p = 0.001</w:t>
            </w:r>
            <w:r w:rsidR="00F83260" w:rsidRPr="00F83260">
              <w:rPr>
                <w:rFonts w:ascii="Times New Roman" w:hAnsi="Times New Roman" w:cs="Times New Roman"/>
                <w:sz w:val="20"/>
                <w:szCs w:val="20"/>
              </w:rPr>
              <w:t xml:space="preserve">).  The relationships between other variables and </w:t>
            </w:r>
            <w:r w:rsidR="00F83260" w:rsidRPr="00F83260">
              <w:rPr>
                <w:rFonts w:ascii="Times New Roman" w:hAnsi="Times New Roman" w:cs="Times New Roman"/>
                <w:color w:val="000000" w:themeColor="text1"/>
                <w:sz w:val="20"/>
                <w:szCs w:val="20"/>
              </w:rPr>
              <w:t xml:space="preserve">anti-rotavirus IgA </w:t>
            </w:r>
            <w:r w:rsidR="00F83260" w:rsidRPr="00F83260">
              <w:rPr>
                <w:rFonts w:ascii="Times New Roman" w:hAnsi="Times New Roman" w:cs="Times New Roman"/>
                <w:sz w:val="20"/>
                <w:szCs w:val="20"/>
              </w:rPr>
              <w:t>seroconversion displayed only modest changes.  Lastly, when the final model was fitted excluding infants who received OPV concomitantly with only their first or second rotavirus vaccine doses, similar results were observed (</w:t>
            </w:r>
            <w:r w:rsidR="00BC32CD">
              <w:rPr>
                <w:rFonts w:ascii="Times New Roman" w:hAnsi="Times New Roman" w:cs="Times New Roman"/>
                <w:sz w:val="20"/>
                <w:szCs w:val="20"/>
              </w:rPr>
              <w:t xml:space="preserve">S4 </w:t>
            </w:r>
            <w:r w:rsidR="00F83260" w:rsidRPr="00F83260">
              <w:rPr>
                <w:rFonts w:ascii="Times New Roman" w:hAnsi="Times New Roman" w:cs="Times New Roman"/>
                <w:sz w:val="20"/>
                <w:szCs w:val="20"/>
              </w:rPr>
              <w:t>Table)</w:t>
            </w:r>
            <w:r w:rsidRPr="00F83260">
              <w:rPr>
                <w:rFonts w:ascii="Times New Roman" w:hAnsi="Times New Roman" w:cs="Times New Roman"/>
                <w:sz w:val="20"/>
                <w:szCs w:val="20"/>
              </w:rPr>
              <w:t>.</w:t>
            </w:r>
            <w:r w:rsidR="00001141" w:rsidRPr="00F83260">
              <w:rPr>
                <w:rFonts w:ascii="Times New Roman" w:hAnsi="Times New Roman" w:cs="Times New Roman"/>
                <w:sz w:val="20"/>
                <w:szCs w:val="20"/>
              </w:rPr>
              <w:t>”</w:t>
            </w:r>
            <w:r w:rsidRPr="00F83260">
              <w:rPr>
                <w:rFonts w:ascii="Times New Roman" w:hAnsi="Times New Roman" w:cs="Times New Roman"/>
                <w:sz w:val="20"/>
                <w:szCs w:val="20"/>
              </w:rPr>
              <w:t xml:space="preserve">  </w:t>
            </w:r>
          </w:p>
          <w:p w:rsidR="003D44FB" w:rsidRPr="00F83260" w:rsidRDefault="003D44FB" w:rsidP="00F83260">
            <w:pPr>
              <w:pStyle w:val="Normal1"/>
              <w:spacing w:line="240" w:lineRule="auto"/>
              <w:rPr>
                <w:rFonts w:ascii="Times New Roman" w:hAnsi="Times New Roman" w:cs="Times New Roman"/>
                <w:sz w:val="20"/>
                <w:szCs w:val="20"/>
              </w:rPr>
            </w:pPr>
          </w:p>
          <w:p w:rsidR="001775FD" w:rsidRPr="00F83260" w:rsidRDefault="003D44FB" w:rsidP="00F83260">
            <w:pPr>
              <w:pStyle w:val="Normal1"/>
              <w:spacing w:line="240" w:lineRule="auto"/>
              <w:rPr>
                <w:rFonts w:ascii="Times New Roman" w:hAnsi="Times New Roman" w:cs="Times New Roman"/>
                <w:sz w:val="20"/>
                <w:szCs w:val="20"/>
              </w:rPr>
            </w:pPr>
            <w:r w:rsidRPr="00F83260">
              <w:rPr>
                <w:rFonts w:ascii="Times New Roman" w:hAnsi="Times New Roman" w:cs="Times New Roman"/>
                <w:sz w:val="20"/>
                <w:szCs w:val="20"/>
              </w:rPr>
              <w:t>S1</w:t>
            </w:r>
            <w:r w:rsidR="00F83260">
              <w:rPr>
                <w:rFonts w:ascii="Times New Roman" w:hAnsi="Times New Roman" w:cs="Times New Roman"/>
                <w:sz w:val="20"/>
                <w:szCs w:val="20"/>
              </w:rPr>
              <w:t>-S4</w:t>
            </w:r>
            <w:r w:rsidR="00BC32CD">
              <w:rPr>
                <w:rFonts w:ascii="Times New Roman" w:hAnsi="Times New Roman" w:cs="Times New Roman"/>
                <w:sz w:val="20"/>
                <w:szCs w:val="20"/>
              </w:rPr>
              <w:t xml:space="preserve"> Tables</w:t>
            </w: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9B703F" w:rsidRDefault="00CD3ED4" w:rsidP="00077147">
            <w:pPr>
              <w:tabs>
                <w:tab w:val="left" w:pos="5400"/>
              </w:tabs>
              <w:spacing w:line="240" w:lineRule="auto"/>
              <w:rPr>
                <w:sz w:val="20"/>
              </w:rPr>
            </w:pPr>
            <w:r>
              <w:rPr>
                <w:sz w:val="20"/>
              </w:rPr>
              <w:t>Results, 2</w:t>
            </w:r>
            <w:r w:rsidRPr="00CD3ED4">
              <w:rPr>
                <w:sz w:val="20"/>
                <w:vertAlign w:val="superscript"/>
              </w:rPr>
              <w:t>nd</w:t>
            </w:r>
            <w:r>
              <w:rPr>
                <w:sz w:val="20"/>
              </w:rPr>
              <w:t xml:space="preserve"> to last paragraph</w:t>
            </w:r>
          </w:p>
          <w:p w:rsidR="009B703F" w:rsidRDefault="009B703F"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9B703F" w:rsidRDefault="009B703F" w:rsidP="00077147">
            <w:pPr>
              <w:tabs>
                <w:tab w:val="left" w:pos="5400"/>
              </w:tabs>
              <w:spacing w:line="240" w:lineRule="auto"/>
              <w:rPr>
                <w:sz w:val="20"/>
              </w:rPr>
            </w:pPr>
          </w:p>
          <w:p w:rsidR="003D44FB" w:rsidRDefault="003D44FB" w:rsidP="00077147">
            <w:pPr>
              <w:tabs>
                <w:tab w:val="left" w:pos="5400"/>
              </w:tabs>
              <w:spacing w:line="240" w:lineRule="auto"/>
              <w:rPr>
                <w:sz w:val="20"/>
              </w:rPr>
            </w:pPr>
          </w:p>
          <w:p w:rsidR="003D44FB" w:rsidRDefault="003D44FB"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F83260" w:rsidRDefault="00F83260" w:rsidP="00077147">
            <w:pPr>
              <w:tabs>
                <w:tab w:val="left" w:pos="5400"/>
              </w:tabs>
              <w:spacing w:line="240" w:lineRule="auto"/>
              <w:rPr>
                <w:sz w:val="20"/>
              </w:rPr>
            </w:pPr>
          </w:p>
          <w:p w:rsidR="00CD3ED4" w:rsidRDefault="00CD3ED4" w:rsidP="00077147">
            <w:pPr>
              <w:tabs>
                <w:tab w:val="left" w:pos="5400"/>
              </w:tabs>
              <w:spacing w:line="240" w:lineRule="auto"/>
              <w:rPr>
                <w:sz w:val="20"/>
              </w:rPr>
            </w:pPr>
          </w:p>
          <w:p w:rsidR="003D44FB" w:rsidRPr="0022554A" w:rsidRDefault="00BC32CD" w:rsidP="008455BB">
            <w:pPr>
              <w:tabs>
                <w:tab w:val="left" w:pos="5400"/>
              </w:tabs>
              <w:spacing w:line="240" w:lineRule="auto"/>
              <w:rPr>
                <w:sz w:val="20"/>
              </w:rPr>
            </w:pPr>
            <w:r w:rsidRPr="00F83260">
              <w:rPr>
                <w:sz w:val="20"/>
              </w:rPr>
              <w:t>S1</w:t>
            </w:r>
            <w:r>
              <w:rPr>
                <w:sz w:val="20"/>
              </w:rPr>
              <w:t>-S4 Tables</w:t>
            </w:r>
          </w:p>
        </w:tc>
      </w:tr>
      <w:tr w:rsidR="00F968F7" w:rsidRPr="0022554A" w:rsidTr="00521012">
        <w:tc>
          <w:tcPr>
            <w:tcW w:w="0" w:type="auto"/>
            <w:gridSpan w:val="4"/>
            <w:tcBorders>
              <w:top w:val="single" w:sz="4" w:space="0" w:color="auto"/>
            </w:tcBorders>
          </w:tcPr>
          <w:p w:rsidR="00F968F7" w:rsidRPr="0022554A" w:rsidRDefault="00F968F7" w:rsidP="00077147">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83" w:name="italic45" w:colFirst="0" w:colLast="0"/>
            <w:bookmarkStart w:id="84" w:name="bold46" w:colFirst="0" w:colLast="0"/>
            <w:r w:rsidRPr="0022554A">
              <w:rPr>
                <w:bCs/>
                <w:sz w:val="20"/>
              </w:rPr>
              <w:t>Key results</w:t>
            </w:r>
          </w:p>
        </w:tc>
        <w:tc>
          <w:tcPr>
            <w:tcW w:w="654" w:type="dxa"/>
          </w:tcPr>
          <w:p w:rsidR="00F968F7" w:rsidRPr="0022554A" w:rsidRDefault="00F968F7" w:rsidP="00077147">
            <w:pPr>
              <w:tabs>
                <w:tab w:val="left" w:pos="5400"/>
              </w:tabs>
              <w:spacing w:line="240" w:lineRule="auto"/>
              <w:jc w:val="center"/>
              <w:rPr>
                <w:sz w:val="20"/>
              </w:rPr>
            </w:pPr>
            <w:r w:rsidRPr="0022554A">
              <w:rPr>
                <w:sz w:val="20"/>
              </w:rPr>
              <w:t>18</w:t>
            </w:r>
          </w:p>
        </w:tc>
        <w:tc>
          <w:tcPr>
            <w:tcW w:w="0" w:type="auto"/>
            <w:tcBorders>
              <w:right w:val="single" w:sz="4" w:space="0" w:color="auto"/>
            </w:tcBorders>
          </w:tcPr>
          <w:p w:rsidR="00F968F7" w:rsidRPr="0070041F" w:rsidRDefault="00F968F7" w:rsidP="0070041F">
            <w:pPr>
              <w:tabs>
                <w:tab w:val="left" w:pos="5400"/>
              </w:tabs>
              <w:spacing w:line="240" w:lineRule="auto"/>
              <w:rPr>
                <w:sz w:val="20"/>
              </w:rPr>
            </w:pPr>
            <w:r w:rsidRPr="0070041F">
              <w:rPr>
                <w:sz w:val="20"/>
              </w:rPr>
              <w:t>Summarise key results with reference to study objectives</w:t>
            </w:r>
          </w:p>
          <w:p w:rsidR="0070041F" w:rsidRPr="00EF3861" w:rsidRDefault="0070041F" w:rsidP="00EF3861">
            <w:pPr>
              <w:tabs>
                <w:tab w:val="left" w:pos="5400"/>
              </w:tabs>
              <w:spacing w:line="240" w:lineRule="auto"/>
              <w:rPr>
                <w:sz w:val="20"/>
              </w:rPr>
            </w:pPr>
          </w:p>
          <w:p w:rsidR="001775FD" w:rsidRPr="00EF3861" w:rsidRDefault="0070041F" w:rsidP="00EF3861">
            <w:pPr>
              <w:tabs>
                <w:tab w:val="left" w:pos="5400"/>
              </w:tabs>
              <w:spacing w:line="240" w:lineRule="auto"/>
              <w:rPr>
                <w:sz w:val="20"/>
              </w:rPr>
            </w:pPr>
            <w:r w:rsidRPr="00EF3861">
              <w:rPr>
                <w:b/>
                <w:sz w:val="20"/>
              </w:rPr>
              <w:t>Text:</w:t>
            </w:r>
          </w:p>
          <w:p w:rsidR="0070041F" w:rsidRPr="00EF3861" w:rsidRDefault="0070041F" w:rsidP="00EF3861">
            <w:pPr>
              <w:pStyle w:val="Normal1"/>
              <w:spacing w:line="240" w:lineRule="auto"/>
              <w:rPr>
                <w:rFonts w:ascii="Times New Roman" w:hAnsi="Times New Roman" w:cs="Times New Roman"/>
                <w:sz w:val="20"/>
                <w:szCs w:val="20"/>
              </w:rPr>
            </w:pPr>
            <w:r w:rsidRPr="00EF3861">
              <w:rPr>
                <w:rFonts w:ascii="Times New Roman" w:hAnsi="Times New Roman" w:cs="Times New Roman"/>
                <w:sz w:val="20"/>
                <w:szCs w:val="20"/>
              </w:rPr>
              <w:t>“</w:t>
            </w:r>
            <w:r w:rsidR="00EF3861" w:rsidRPr="00EF3861">
              <w:rPr>
                <w:rFonts w:ascii="Times New Roman" w:hAnsi="Times New Roman" w:cs="Times New Roman"/>
                <w:color w:val="000000" w:themeColor="text1"/>
                <w:sz w:val="20"/>
                <w:szCs w:val="20"/>
              </w:rPr>
              <w:t xml:space="preserve">We had the unique ability to pool individual-level data from 22 clinical trials and 33 countries/territories to create a dataset that enabled multilevel assessment of </w:t>
            </w:r>
            <w:r w:rsidR="00CD3ED4">
              <w:rPr>
                <w:rFonts w:ascii="Times New Roman" w:hAnsi="Times New Roman" w:cs="Times New Roman"/>
                <w:color w:val="auto"/>
                <w:sz w:val="20"/>
                <w:szCs w:val="20"/>
              </w:rPr>
              <w:t>RV1</w:t>
            </w:r>
            <w:r w:rsidR="00EF3861" w:rsidRPr="00EF3861">
              <w:rPr>
                <w:rFonts w:ascii="Times New Roman" w:hAnsi="Times New Roman" w:cs="Times New Roman"/>
                <w:color w:val="000000" w:themeColor="text1"/>
                <w:sz w:val="20"/>
                <w:szCs w:val="20"/>
              </w:rPr>
              <w:t xml:space="preserve"> immunogenicity across settings. The resulting dataset was substantially larger than that of any individual trial or other related study</w:t>
            </w:r>
            <w:r w:rsidR="00CD3ED4">
              <w:rPr>
                <w:rFonts w:ascii="Times New Roman" w:hAnsi="Times New Roman" w:cs="Times New Roman"/>
                <w:color w:val="000000" w:themeColor="text1"/>
                <w:sz w:val="20"/>
                <w:szCs w:val="20"/>
              </w:rPr>
              <w:t xml:space="preserve"> </w:t>
            </w:r>
            <w:r w:rsidR="00EF3861" w:rsidRPr="00EF3861">
              <w:rPr>
                <w:rFonts w:ascii="Times New Roman" w:hAnsi="Times New Roman" w:cs="Times New Roman"/>
                <w:color w:val="000000" w:themeColor="text1"/>
                <w:sz w:val="20"/>
                <w:szCs w:val="20"/>
              </w:rPr>
              <w:fldChar w:fldCharType="begin"/>
            </w:r>
            <w:r w:rsidR="00EF3861" w:rsidRPr="00EF3861">
              <w:rPr>
                <w:rFonts w:ascii="Times New Roman" w:hAnsi="Times New Roman" w:cs="Times New Roman"/>
                <w:color w:val="000000" w:themeColor="text1"/>
                <w:sz w:val="20"/>
                <w:szCs w:val="20"/>
              </w:rPr>
              <w:instrText xml:space="preserve"> ADDIN ZOTERO_ITEM CSL_CITATION {"citationID":"IF10HmQI","properties":{"formattedCitation":"[22]","plainCitation":"[22]","noteIndex":0},"citationItems":[{"id":95,"uris":["http://zotero.org/users/2581824/items/BZZ2Q8IQ"],"uri":["http://zotero.org/users/2581824/items/BZZ2Q8IQ"],"itemData":{"id":95,"type":"article-journal","title":"Oral Rotavirus Vaccines: How Well Will They Work Where They Are Needed Most?","container-title":"The Journal of Infectious Diseases","page":"S39-S48","volume":"200","issue":"s1","source":"CrossRef","DOI":"10.1086/605035","ISSN":"0022-1899, 1537-6613","title-short":"Oral Rotavirus Vaccines","language":"en","author":[{"family":"Patel","given":"Manish"},{"family":"Shane","given":"Andi L."},{"family":"Parashar","given":"Umesh D."},{"family":"Jiang","given":"Baoming"},{"family":"Gentsch","given":"Jon R."},{"family":"Glass","given":"Roger I."}],"issued":{"date-parts":[["2009",11]]}}}],"schema":"https://github.com/citation-style-language/schema/raw/master/csl-citation.json"} </w:instrText>
            </w:r>
            <w:r w:rsidR="00EF3861" w:rsidRPr="00EF3861">
              <w:rPr>
                <w:rFonts w:ascii="Times New Roman" w:hAnsi="Times New Roman" w:cs="Times New Roman"/>
                <w:color w:val="000000" w:themeColor="text1"/>
                <w:sz w:val="20"/>
                <w:szCs w:val="20"/>
              </w:rPr>
              <w:fldChar w:fldCharType="separate"/>
            </w:r>
            <w:r w:rsidR="00EF3861" w:rsidRPr="00EF3861">
              <w:rPr>
                <w:rFonts w:ascii="Times New Roman" w:hAnsi="Times New Roman" w:cs="Times New Roman"/>
                <w:sz w:val="20"/>
                <w:szCs w:val="20"/>
              </w:rPr>
              <w:t>[22]</w:t>
            </w:r>
            <w:r w:rsidR="00EF3861" w:rsidRPr="00EF3861">
              <w:rPr>
                <w:rFonts w:ascii="Times New Roman" w:hAnsi="Times New Roman" w:cs="Times New Roman"/>
                <w:color w:val="000000" w:themeColor="text1"/>
                <w:sz w:val="20"/>
                <w:szCs w:val="20"/>
              </w:rPr>
              <w:fldChar w:fldCharType="end"/>
            </w:r>
            <w:r w:rsidR="00CD3ED4">
              <w:rPr>
                <w:rFonts w:ascii="Times New Roman" w:hAnsi="Times New Roman" w:cs="Times New Roman"/>
                <w:color w:val="000000" w:themeColor="text1"/>
                <w:sz w:val="20"/>
                <w:szCs w:val="20"/>
              </w:rPr>
              <w:t>.</w:t>
            </w:r>
            <w:r w:rsidR="00EF3861" w:rsidRPr="00EF3861">
              <w:rPr>
                <w:rFonts w:ascii="Times New Roman" w:hAnsi="Times New Roman" w:cs="Times New Roman"/>
                <w:color w:val="000000" w:themeColor="text1"/>
                <w:sz w:val="20"/>
                <w:szCs w:val="20"/>
              </w:rPr>
              <w:t xml:space="preserve"> Our findings</w:t>
            </w:r>
            <w:r w:rsidR="00EF3861" w:rsidRPr="00EF3861">
              <w:rPr>
                <w:rFonts w:ascii="Times New Roman" w:hAnsi="Times New Roman" w:cs="Times New Roman"/>
                <w:sz w:val="20"/>
                <w:szCs w:val="20"/>
              </w:rPr>
              <w:t xml:space="preserve"> </w:t>
            </w:r>
            <w:r w:rsidR="00EF3861" w:rsidRPr="00EF3861">
              <w:rPr>
                <w:rFonts w:ascii="Times New Roman" w:hAnsi="Times New Roman" w:cs="Times New Roman"/>
                <w:sz w:val="20"/>
                <w:szCs w:val="20"/>
              </w:rPr>
              <w:lastRenderedPageBreak/>
              <w:t xml:space="preserve">suggest that OPV given concomitantly with </w:t>
            </w:r>
            <w:r w:rsidR="00EF3861" w:rsidRPr="00EF3861">
              <w:rPr>
                <w:rFonts w:ascii="Times New Roman" w:hAnsi="Times New Roman" w:cs="Times New Roman"/>
                <w:color w:val="auto"/>
                <w:sz w:val="20"/>
                <w:szCs w:val="20"/>
              </w:rPr>
              <w:t>rotavirus</w:t>
            </w:r>
            <w:r w:rsidR="00EF3861" w:rsidRPr="00EF3861">
              <w:rPr>
                <w:rFonts w:ascii="Times New Roman" w:hAnsi="Times New Roman" w:cs="Times New Roman"/>
                <w:sz w:val="20"/>
                <w:szCs w:val="20"/>
              </w:rPr>
              <w:t xml:space="preserve"> vaccine reduces anti-rotavirus IgA seroconversion even after two rotavirus vaccine doses.  We did not find the same modifiable characteristics to be associated with post-vaccine anti-rotavirus IgA titers among infants who seroconverted, suggesting that such factors may predict whether an </w:t>
            </w:r>
            <w:proofErr w:type="gramStart"/>
            <w:r w:rsidR="00EF3861" w:rsidRPr="00EF3861">
              <w:rPr>
                <w:rFonts w:ascii="Times New Roman" w:hAnsi="Times New Roman" w:cs="Times New Roman"/>
                <w:sz w:val="20"/>
                <w:szCs w:val="20"/>
              </w:rPr>
              <w:t>infant responds</w:t>
            </w:r>
            <w:proofErr w:type="gramEnd"/>
            <w:r w:rsidR="00EF3861" w:rsidRPr="00EF3861">
              <w:rPr>
                <w:rFonts w:ascii="Times New Roman" w:hAnsi="Times New Roman" w:cs="Times New Roman"/>
                <w:sz w:val="20"/>
                <w:szCs w:val="20"/>
              </w:rPr>
              <w:t xml:space="preserve"> to </w:t>
            </w:r>
            <w:r w:rsidR="00EF3861" w:rsidRPr="00EF3861">
              <w:rPr>
                <w:rFonts w:ascii="Times New Roman" w:hAnsi="Times New Roman" w:cs="Times New Roman"/>
                <w:color w:val="auto"/>
                <w:sz w:val="20"/>
                <w:szCs w:val="20"/>
              </w:rPr>
              <w:t>rotavirus</w:t>
            </w:r>
            <w:r w:rsidR="00EF3861" w:rsidRPr="00EF3861">
              <w:rPr>
                <w:rFonts w:ascii="Times New Roman" w:hAnsi="Times New Roman" w:cs="Times New Roman"/>
                <w:sz w:val="20"/>
                <w:szCs w:val="20"/>
              </w:rPr>
              <w:t xml:space="preserve"> vaccination, but not the intensity of the response given seroconversion</w:t>
            </w:r>
            <w:r w:rsidRPr="00EF3861">
              <w:rPr>
                <w:rFonts w:ascii="Times New Roman" w:hAnsi="Times New Roman" w:cs="Times New Roman"/>
                <w:sz w:val="20"/>
                <w:szCs w:val="20"/>
              </w:rPr>
              <w:t>.”</w:t>
            </w:r>
          </w:p>
          <w:p w:rsidR="001775FD" w:rsidRPr="0070041F" w:rsidRDefault="001775FD" w:rsidP="0070041F">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70041F" w:rsidRDefault="0070041F" w:rsidP="00077147">
            <w:pPr>
              <w:tabs>
                <w:tab w:val="left" w:pos="5400"/>
              </w:tabs>
              <w:spacing w:line="240" w:lineRule="auto"/>
              <w:rPr>
                <w:sz w:val="20"/>
              </w:rPr>
            </w:pPr>
          </w:p>
          <w:p w:rsidR="0070041F" w:rsidRDefault="0070041F" w:rsidP="00077147">
            <w:pPr>
              <w:tabs>
                <w:tab w:val="left" w:pos="5400"/>
              </w:tabs>
              <w:spacing w:line="240" w:lineRule="auto"/>
              <w:rPr>
                <w:sz w:val="20"/>
              </w:rPr>
            </w:pPr>
          </w:p>
          <w:p w:rsidR="0070041F" w:rsidRPr="0022554A" w:rsidRDefault="00CD3ED4" w:rsidP="008455BB">
            <w:pPr>
              <w:tabs>
                <w:tab w:val="left" w:pos="5400"/>
              </w:tabs>
              <w:spacing w:line="240" w:lineRule="auto"/>
              <w:rPr>
                <w:sz w:val="20"/>
              </w:rPr>
            </w:pPr>
            <w:r>
              <w:rPr>
                <w:sz w:val="20"/>
              </w:rPr>
              <w:t>Discussion, 1</w:t>
            </w:r>
            <w:r w:rsidRPr="00CD3ED4">
              <w:rPr>
                <w:sz w:val="20"/>
                <w:vertAlign w:val="superscript"/>
              </w:rPr>
              <w:t>st</w:t>
            </w:r>
            <w:r>
              <w:rPr>
                <w:sz w:val="20"/>
              </w:rPr>
              <w:t xml:space="preserve"> paragraph</w:t>
            </w:r>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85" w:name="italic46" w:colFirst="0" w:colLast="0"/>
            <w:bookmarkStart w:id="86" w:name="bold47" w:colFirst="0" w:colLast="0"/>
            <w:bookmarkEnd w:id="83"/>
            <w:bookmarkEnd w:id="84"/>
            <w:r w:rsidRPr="0022554A">
              <w:rPr>
                <w:bCs/>
                <w:sz w:val="20"/>
              </w:rPr>
              <w:t>Limitations</w:t>
            </w:r>
          </w:p>
        </w:tc>
        <w:tc>
          <w:tcPr>
            <w:tcW w:w="654" w:type="dxa"/>
          </w:tcPr>
          <w:p w:rsidR="00F968F7" w:rsidRPr="0022554A" w:rsidRDefault="00F968F7" w:rsidP="00077147">
            <w:pPr>
              <w:tabs>
                <w:tab w:val="left" w:pos="5400"/>
              </w:tabs>
              <w:spacing w:line="240" w:lineRule="auto"/>
              <w:jc w:val="center"/>
              <w:rPr>
                <w:sz w:val="20"/>
              </w:rPr>
            </w:pPr>
            <w:r w:rsidRPr="0022554A">
              <w:rPr>
                <w:sz w:val="20"/>
              </w:rPr>
              <w:t>19</w:t>
            </w:r>
          </w:p>
        </w:tc>
        <w:tc>
          <w:tcPr>
            <w:tcW w:w="0" w:type="auto"/>
            <w:tcBorders>
              <w:right w:val="single" w:sz="4" w:space="0" w:color="auto"/>
            </w:tcBorders>
          </w:tcPr>
          <w:p w:rsidR="00F968F7" w:rsidRPr="0070041F" w:rsidRDefault="00F968F7" w:rsidP="0070041F">
            <w:pPr>
              <w:tabs>
                <w:tab w:val="left" w:pos="5400"/>
              </w:tabs>
              <w:spacing w:line="240" w:lineRule="auto"/>
              <w:rPr>
                <w:sz w:val="20"/>
              </w:rPr>
            </w:pPr>
            <w:r w:rsidRPr="0070041F">
              <w:rPr>
                <w:sz w:val="20"/>
              </w:rPr>
              <w:t>Discuss limitations of the study, taking into account sources of potential bias or imprecision. Discuss both direction and magnitude of any potential bias</w:t>
            </w:r>
          </w:p>
          <w:p w:rsidR="001775FD" w:rsidRPr="0070041F" w:rsidRDefault="001775FD" w:rsidP="0070041F">
            <w:pPr>
              <w:tabs>
                <w:tab w:val="left" w:pos="5400"/>
              </w:tabs>
              <w:spacing w:line="240" w:lineRule="auto"/>
              <w:rPr>
                <w:sz w:val="20"/>
              </w:rPr>
            </w:pPr>
          </w:p>
          <w:p w:rsidR="0070041F" w:rsidRPr="0070041F" w:rsidRDefault="0070041F" w:rsidP="0070041F">
            <w:pPr>
              <w:tabs>
                <w:tab w:val="left" w:pos="5400"/>
              </w:tabs>
              <w:spacing w:line="240" w:lineRule="auto"/>
              <w:rPr>
                <w:sz w:val="20"/>
              </w:rPr>
            </w:pPr>
            <w:r w:rsidRPr="0070041F">
              <w:rPr>
                <w:b/>
                <w:sz w:val="20"/>
              </w:rPr>
              <w:t>Text:</w:t>
            </w:r>
          </w:p>
          <w:p w:rsidR="0070041F" w:rsidRPr="00F873C9" w:rsidRDefault="0070041F" w:rsidP="00F873C9">
            <w:pPr>
              <w:pStyle w:val="Normal1"/>
              <w:spacing w:line="240" w:lineRule="auto"/>
              <w:rPr>
                <w:rFonts w:ascii="Times New Roman" w:hAnsi="Times New Roman" w:cs="Times New Roman"/>
                <w:sz w:val="20"/>
                <w:szCs w:val="20"/>
              </w:rPr>
            </w:pPr>
            <w:r w:rsidRPr="00F873C9">
              <w:rPr>
                <w:rFonts w:ascii="Times New Roman" w:hAnsi="Times New Roman" w:cs="Times New Roman"/>
                <w:sz w:val="20"/>
                <w:szCs w:val="20"/>
              </w:rPr>
              <w:t>“</w:t>
            </w:r>
            <w:r w:rsidR="00F873C9" w:rsidRPr="00F873C9">
              <w:rPr>
                <w:rFonts w:ascii="Times New Roman" w:hAnsi="Times New Roman" w:cs="Times New Roman"/>
                <w:sz w:val="20"/>
                <w:szCs w:val="20"/>
              </w:rPr>
              <w:t>There are important challenges and limitations with this approach. First, while trial protocols were remarkably similar, trials themselves still differed by location, year, and population.  We attempted to account for this variability by including a random effect for trial in our models.  The required adherence to study protocol and stringent monitoring necessary for a clinical trial means that the results produced from these analyses may not perfectly reflect the findings that would have occurred under more routine, real-world conditions and should, therefore, be interpreted accordingly.  Relatedly, the infants included in the trials were all healthy children, potentially limiting the generalizability of the results.  Second, this is a secondary analysis of data previously collected for other primary purposes. We lacked data to control for genetic, maternal, socioeconomic and environmental factors that likely influence individual-level immune response to vaccination. To mitigate residual confounding from factors such as socioeconomic status or environment, a proxy measure (GDP) was included in the models.  Third, of the 7,280 infants included in the analysis, 2,292 (31.5%) did not have pre-vaccine serology data.  We addressed this limitation by conducting a sensitivity analysis in which the anti-rotavirus seroconversion model was applied to only infants confirmed to be seronegative prior to vaccination and we found the effect of OPV to be similar.  Lastly, our analysis was limited to infants who received RV1 and it is possible that the findings</w:t>
            </w:r>
            <w:r w:rsidR="00CD3ED4">
              <w:rPr>
                <w:rFonts w:ascii="Times New Roman" w:hAnsi="Times New Roman" w:cs="Times New Roman"/>
                <w:sz w:val="20"/>
                <w:szCs w:val="20"/>
              </w:rPr>
              <w:t xml:space="preserve"> and implications of this research</w:t>
            </w:r>
            <w:r w:rsidR="00F873C9" w:rsidRPr="00F873C9">
              <w:rPr>
                <w:rFonts w:ascii="Times New Roman" w:hAnsi="Times New Roman" w:cs="Times New Roman"/>
                <w:sz w:val="20"/>
                <w:szCs w:val="20"/>
              </w:rPr>
              <w:t xml:space="preserve"> may not be generalizable to the other three rotavirus vaccines prequalified by WHO</w:t>
            </w:r>
            <w:r w:rsidR="00CA61E2">
              <w:rPr>
                <w:rFonts w:ascii="Times New Roman" w:hAnsi="Times New Roman" w:cs="Times New Roman"/>
                <w:sz w:val="20"/>
                <w:szCs w:val="20"/>
              </w:rPr>
              <w:t xml:space="preserve"> or others currently in development</w:t>
            </w:r>
            <w:r w:rsidR="00F873C9" w:rsidRPr="00F873C9">
              <w:rPr>
                <w:rFonts w:ascii="Times New Roman" w:hAnsi="Times New Roman" w:cs="Times New Roman"/>
                <w:sz w:val="20"/>
                <w:szCs w:val="20"/>
              </w:rPr>
              <w:t>.</w:t>
            </w:r>
            <w:r w:rsidRPr="00F873C9">
              <w:rPr>
                <w:rFonts w:ascii="Times New Roman" w:hAnsi="Times New Roman" w:cs="Times New Roman"/>
                <w:sz w:val="20"/>
                <w:szCs w:val="20"/>
              </w:rPr>
              <w:t>”</w:t>
            </w:r>
          </w:p>
          <w:p w:rsidR="0070041F" w:rsidRPr="0070041F" w:rsidRDefault="0070041F" w:rsidP="0070041F">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70041F" w:rsidRDefault="0070041F" w:rsidP="00077147">
            <w:pPr>
              <w:tabs>
                <w:tab w:val="left" w:pos="5400"/>
              </w:tabs>
              <w:spacing w:line="240" w:lineRule="auto"/>
              <w:rPr>
                <w:sz w:val="20"/>
              </w:rPr>
            </w:pPr>
          </w:p>
          <w:p w:rsidR="0070041F" w:rsidRDefault="0070041F" w:rsidP="00077147">
            <w:pPr>
              <w:tabs>
                <w:tab w:val="left" w:pos="5400"/>
              </w:tabs>
              <w:spacing w:line="240" w:lineRule="auto"/>
              <w:rPr>
                <w:sz w:val="20"/>
              </w:rPr>
            </w:pPr>
          </w:p>
          <w:p w:rsidR="0070041F" w:rsidRDefault="0070041F" w:rsidP="00077147">
            <w:pPr>
              <w:tabs>
                <w:tab w:val="left" w:pos="5400"/>
              </w:tabs>
              <w:spacing w:line="240" w:lineRule="auto"/>
              <w:rPr>
                <w:sz w:val="20"/>
              </w:rPr>
            </w:pPr>
          </w:p>
          <w:p w:rsidR="0070041F" w:rsidRDefault="0070041F" w:rsidP="00077147">
            <w:pPr>
              <w:tabs>
                <w:tab w:val="left" w:pos="5400"/>
              </w:tabs>
              <w:spacing w:line="240" w:lineRule="auto"/>
              <w:rPr>
                <w:sz w:val="20"/>
              </w:rPr>
            </w:pPr>
          </w:p>
          <w:p w:rsidR="0070041F" w:rsidRPr="0022554A" w:rsidRDefault="00CD3ED4" w:rsidP="008455BB">
            <w:pPr>
              <w:tabs>
                <w:tab w:val="left" w:pos="5400"/>
              </w:tabs>
              <w:spacing w:line="240" w:lineRule="auto"/>
              <w:rPr>
                <w:sz w:val="20"/>
              </w:rPr>
            </w:pPr>
            <w:r>
              <w:rPr>
                <w:sz w:val="20"/>
              </w:rPr>
              <w:t>Discussion, 6</w:t>
            </w:r>
            <w:r w:rsidRPr="00CD3ED4">
              <w:rPr>
                <w:sz w:val="20"/>
                <w:vertAlign w:val="superscript"/>
              </w:rPr>
              <w:t>th</w:t>
            </w:r>
            <w:r>
              <w:rPr>
                <w:sz w:val="20"/>
              </w:rPr>
              <w:t xml:space="preserve"> paragraph</w:t>
            </w:r>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87" w:name="italic47" w:colFirst="0" w:colLast="0"/>
            <w:bookmarkStart w:id="88" w:name="bold48" w:colFirst="0" w:colLast="0"/>
            <w:bookmarkEnd w:id="85"/>
            <w:bookmarkEnd w:id="86"/>
            <w:r w:rsidRPr="0022554A">
              <w:rPr>
                <w:bCs/>
                <w:sz w:val="20"/>
              </w:rPr>
              <w:t>Interpretation</w:t>
            </w:r>
          </w:p>
        </w:tc>
        <w:tc>
          <w:tcPr>
            <w:tcW w:w="654" w:type="dxa"/>
          </w:tcPr>
          <w:p w:rsidR="00F968F7" w:rsidRPr="0022554A" w:rsidRDefault="00F968F7" w:rsidP="00077147">
            <w:pPr>
              <w:tabs>
                <w:tab w:val="left" w:pos="5400"/>
              </w:tabs>
              <w:spacing w:line="240" w:lineRule="auto"/>
              <w:jc w:val="center"/>
              <w:rPr>
                <w:sz w:val="20"/>
              </w:rPr>
            </w:pPr>
            <w:r w:rsidRPr="0022554A">
              <w:rPr>
                <w:sz w:val="20"/>
              </w:rPr>
              <w:t>20</w:t>
            </w:r>
          </w:p>
        </w:tc>
        <w:tc>
          <w:tcPr>
            <w:tcW w:w="0" w:type="auto"/>
            <w:tcBorders>
              <w:right w:val="single" w:sz="4" w:space="0" w:color="auto"/>
            </w:tcBorders>
          </w:tcPr>
          <w:p w:rsidR="00F968F7" w:rsidRPr="00D52837" w:rsidRDefault="00F968F7" w:rsidP="00295ED6">
            <w:pPr>
              <w:tabs>
                <w:tab w:val="left" w:pos="5400"/>
              </w:tabs>
              <w:spacing w:line="240" w:lineRule="auto"/>
              <w:rPr>
                <w:sz w:val="20"/>
              </w:rPr>
            </w:pPr>
            <w:r w:rsidRPr="00D52837">
              <w:rPr>
                <w:sz w:val="20"/>
              </w:rPr>
              <w:t>Give a cautious overall interpretation of results considering objectives, limitations, multiplicity of analyses, results from similar studies, and other relevant evidence</w:t>
            </w:r>
          </w:p>
          <w:p w:rsidR="001775FD" w:rsidRPr="00D52837" w:rsidRDefault="001775FD" w:rsidP="00295ED6">
            <w:pPr>
              <w:tabs>
                <w:tab w:val="left" w:pos="5400"/>
              </w:tabs>
              <w:spacing w:line="240" w:lineRule="auto"/>
              <w:rPr>
                <w:sz w:val="20"/>
              </w:rPr>
            </w:pPr>
          </w:p>
          <w:p w:rsidR="001775FD" w:rsidRPr="00D52837" w:rsidRDefault="003E2BF3" w:rsidP="00295ED6">
            <w:pPr>
              <w:tabs>
                <w:tab w:val="left" w:pos="5400"/>
              </w:tabs>
              <w:spacing w:line="240" w:lineRule="auto"/>
              <w:rPr>
                <w:b/>
                <w:sz w:val="20"/>
              </w:rPr>
            </w:pPr>
            <w:r w:rsidRPr="00D52837">
              <w:rPr>
                <w:b/>
                <w:sz w:val="20"/>
              </w:rPr>
              <w:t>Text:</w:t>
            </w:r>
          </w:p>
          <w:p w:rsidR="00295ED6" w:rsidRPr="00CA61E2" w:rsidRDefault="00295ED6" w:rsidP="00295ED6">
            <w:pPr>
              <w:tabs>
                <w:tab w:val="left" w:pos="5400"/>
              </w:tabs>
              <w:spacing w:line="240" w:lineRule="auto"/>
              <w:rPr>
                <w:color w:val="000000" w:themeColor="text1"/>
                <w:sz w:val="20"/>
              </w:rPr>
            </w:pPr>
            <w:r w:rsidRPr="00D52837">
              <w:rPr>
                <w:b/>
                <w:sz w:val="20"/>
              </w:rPr>
              <w:t>“</w:t>
            </w:r>
            <w:r w:rsidR="00D52837" w:rsidRPr="00D52837">
              <w:rPr>
                <w:sz w:val="20"/>
              </w:rPr>
              <w:t xml:space="preserve">These data provide robust evidence that infants who received OPV with both the first and second doses of </w:t>
            </w:r>
            <w:r w:rsidR="00CD3ED4">
              <w:rPr>
                <w:sz w:val="20"/>
              </w:rPr>
              <w:t>RV1</w:t>
            </w:r>
            <w:r w:rsidR="00D52837" w:rsidRPr="00D52837">
              <w:rPr>
                <w:sz w:val="20"/>
              </w:rPr>
              <w:t xml:space="preserve"> were substantially less likely to seroconvert when compared to those not receiving OPV concomitantly  This analysis bolsters existing evidence </w:t>
            </w:r>
            <w:r w:rsidR="00D52837" w:rsidRPr="00D52837">
              <w:rPr>
                <w:sz w:val="20"/>
              </w:rPr>
              <w:fldChar w:fldCharType="begin"/>
            </w:r>
            <w:r w:rsidR="00D52837" w:rsidRPr="00D52837">
              <w:rPr>
                <w:sz w:val="20"/>
              </w:rPr>
              <w:instrText xml:space="preserve"> ADDIN ZOTERO_ITEM CSL_CITATION {"citationID":"xdrfhiCz","properties":{"formattedCitation":"[32\\uc0\\u8211{}36]","plainCitation":"[32–36]","noteIndex":0},"citationItems":[{"id":103,"uris":["http://zotero.org/users/2581824/items/WWPCTSQ9"],"uri":["http://zotero.org/users/2581824/items/WWPCTSQ9"],"itemData":{"id":103,"type":"article-journal","title":"Interference of Monovalent, Bivalent, and Trivalent Oral Poliovirus Vaccines on Monovalent Rotavirus Vaccine Immunogenicity in Rural Bangladesh","container-title":"Clinical Infectious Diseases","page":"150-156","volume":"62","issue":"2","source":"Crossref","DOI":"10.1093/cid/civ807","ISSN":"1058-4838, 1537-6591","language":"en","author":[{"family":"Emperador","given":"Devy M."},{"family":"Velasquez","given":"Daniel E."},{"family":"Estivariz","given":"Concepcion F."},{"family":"Lopman","given":"Ben"},{"family":"Jiang","given":"Baoming"},{"family":"Parashar","given":"Umesh"},{"family":"Anand","given":"Abhijeet"},{"family":"Zaman","given":"Khalequ"}],"issued":{"date-parts":[["2016",1,15]]}}},{"id":102,"uris":["http://zotero.org/users/2581824/items/YF6RDRF6"],"uri":["http://zotero.org/users/2581824/items/YF6RDRF6"],"itemData":{"id":102,"type":"article-journal","title":"Co-administration study in South African infants of a live-attenuated oral human rotavirus vaccine (RIX4414) and poliovirus vaccines","container-title":"Vaccine","page":"6542-6548","volume":"28","issue":"39","source":"Crossref","DOI":"10.1016/j.vaccine.2008.08.034","ISSN":"0264410X","language":"en","author":[{"family":"Steele","given":"A.D."},{"family":"De Vos","given":"B."},{"family":"Tumbo","given":"J."},{"family":"Reynders","given":"J."},{"family":"Scholtz","given":"F."},{"family":"Bos","given":"P."},{"family":"Beer","given":"M.C.","non-dropping-particle":"de"},{"family":"Van der Merwe","given":"C.F."},{"family":"Delem","given":"A."}],"issued":{"date-parts":[["2010",9]]}}},{"id":459,"uris":["http://zotero.org/users/2581824/items/X2XDB8JT"],"uri":["http://zotero.org/users/2581824/items/X2XDB8JT"],"itemData":{"id":459,"type":"article-journal","title":"Immunogenicity and reactogenicity of the human rotavirus vaccine, RIX4414 oral suspension, when co-administered with routine childhood vaccines in Chinese infants","container-title":"Human Vaccines &amp; Immunotherapeutics","page":"785-793","volume":"12","issue":"3","source":"Crossref","DOI":"10.1080/21645515.2015.1085143","ISSN":"2164-5515, 2164-554X","language":"en","author":[{"family":"Li","given":"Rong-cheng"},{"family":"Huang","given":"Teng"},{"family":"Li","given":"Yanping"},{"family":"Wang","given":"Lao-Hong"},{"family":"Tao","given":"Junhui"},{"family":"Fu","given":"Botao"},{"family":"Si","given":"Guoai"},{"family":"Nong","given":"Yi"},{"family":"Mo","given":"Zhaojun"},{"family":"Liao","given":"XueYan"},{"family":"Luan","given":"Ivy"},{"family":"Tang","given":"Haiwen"},{"family":"Rathi","given":"Niraj"},{"family":"Karkada","given":"Naveen"},{"family":"Han","given":"Htay Htay"}],"issued":{"date-parts":[["2016",3,3]]}}},{"id":458,"uris":["http://zotero.org/users/2581824/items/9VURF5Z3"],"uri":["http://zotero.org/users/2581824/items/9VURF5Z3"],"itemData":{"id":458,"type":"article-journal","title":"Rotavirus Serum IgA Immune Response in Children Receiving Rotarix Coadministered With bOPV or IPV:","container-title":"The Pediatric Infectious Disease Journal","page":"1137-1139","volume":"35","issue":"10","source":"Crossref","DOI":"10.1097/INF.0000000000001253","ISSN":"0891-3668","title-short":"Rotavirus Serum IgA Immune Response in Children Receiving Rotarix Coadministered With bOPV or IPV","language":"en","author":[{"family":"Ramani","given":"Sasirekha"},{"family":"Mamani","given":"Nora"},{"family":"Villena","given":"Rodolfo"},{"family":"Bandyopadhyay","given":"Ananda S."},{"family":"Gast","given":"Chris"},{"family":"Sato","given":"Alicia"},{"family":"Laucirica","given":"Daniel"},{"family":"Clemens","given":"Ralf"},{"family":"Estes","given":"Mary K."},{"family":"O’Ryan","given":"Miguel L."}],"issued":{"date-parts":[["2016",10]]}}},{"id":439,"uris":["http://zotero.org/users/2581824/items/DRSZ7WD9"],"uri":["http://zotero.org/users/2581824/items/DRSZ7WD9"],"itemData":{"id":439,"type":"article-journal","title":"Successful co-administration of a human rotavirus and oral poliovirus vaccines in Bangladeshi infants in a 2-dose schedule at 12 and 16 weeks of age","container-title":"Vaccine","page":"1333-1339","volume":"27","issue":"9","source":"Crossref","DOI":"10.1016/j.vaccine.2008.12.059","ISSN":"0264410X","language":"en","author":[{"family":"Zaman","given":"K."},{"family":"Sack","given":"D.A."},{"family":"Yunus","given":"M."},{"family":"Arifeen","given":"S.E."},{"family":"Podder","given":"G."},{"family":"Azim","given":"T."},{"family":"Luby","given":"S."},{"family":"Breiman","given":"R.F."},{"family":"Neuzil","given":"K."},{"family":"Datta","given":"S.K."},{"family":"Delem","given":"A."},{"family":"Suryakiran","given":"P.V."},{"family":"Bock","given":"H.L."}],"issued":{"date-parts":[["2009",2]]}}}],"schema":"https://github.com/citation-style-language/schema/raw/master/csl-citation.json"} </w:instrText>
            </w:r>
            <w:r w:rsidR="00D52837" w:rsidRPr="00D52837">
              <w:rPr>
                <w:sz w:val="20"/>
              </w:rPr>
              <w:fldChar w:fldCharType="separate"/>
            </w:r>
            <w:r w:rsidR="00D52837" w:rsidRPr="00D52837">
              <w:rPr>
                <w:color w:val="000000"/>
                <w:sz w:val="20"/>
              </w:rPr>
              <w:t>[32–36]</w:t>
            </w:r>
            <w:r w:rsidR="00D52837" w:rsidRPr="00D52837">
              <w:rPr>
                <w:sz w:val="20"/>
              </w:rPr>
              <w:fldChar w:fldCharType="end"/>
            </w:r>
            <w:r w:rsidR="00D52837" w:rsidRPr="00D52837">
              <w:rPr>
                <w:sz w:val="20"/>
              </w:rPr>
              <w:t xml:space="preserve"> that OPV may interfere with rotavirus seroconversion and suggests that OPV may interfere with seroconversion when given with both the first and second rotavirus vaccine doses.  Early evidence indicated that the OPV-rotavirus interaction may be strongest for the first rotavirus dose with more recent evaluations suggesting lower seroconversion rates after completion of the full rotavirus vaccine course</w:t>
            </w:r>
            <w:r w:rsidR="0065605F">
              <w:rPr>
                <w:sz w:val="20"/>
              </w:rPr>
              <w:t xml:space="preserve"> </w:t>
            </w:r>
            <w:r w:rsidR="00D52837" w:rsidRPr="00D52837">
              <w:rPr>
                <w:sz w:val="20"/>
              </w:rPr>
              <w:fldChar w:fldCharType="begin"/>
            </w:r>
            <w:r w:rsidR="00D52837" w:rsidRPr="00D52837">
              <w:rPr>
                <w:sz w:val="20"/>
              </w:rPr>
              <w:instrText xml:space="preserve"> ADDIN ZOTERO_ITEM CSL_CITATION {"citationID":"ldFTir0S","properties":{"formattedCitation":"[32,33,35,37]","plainCitation":"[32,33,35,37]","noteIndex":0},"citationItems":[{"id":102,"uris":["http://zotero.org/users/2581824/items/YF6RDRF6"],"uri":["http://zotero.org/users/2581824/items/YF6RDRF6"],"itemData":{"id":102,"type":"article-journal","title":"Co-administration study in South African infants of a live-attenuated oral human rotavirus vaccine (RIX4414) and poliovirus vaccines","container-title":"Vaccine","page":"6542-6548","volume":"28","issue":"39","source":"Crossref","DOI":"10.1016/j.vaccine.2008.08.034","ISSN":"0264410X","language":"en","author":[{"family":"Steele","given":"A.D."},{"family":"De Vos","given":"B."},{"family":"Tumbo","given":"J."},{"family":"Reynders","given":"J."},{"family":"Scholtz","given":"F."},{"family":"Bos","given":"P."},{"family":"Beer","given":"M.C.","non-dropping-particle":"de"},{"family":"Van der Merwe","given":"C.F."},{"family":"Delem","given":"A."}],"issued":{"date-parts":[["2010",9]]}}},{"id":415,"uris":["http://zotero.org/users/2581824/items/IPH4NWQZ"],"uri":["http://zotero.org/users/2581824/items/IPH4NWQZ"],"itemData":{"id":415,"type":"article-journal","title":"Influence of oral polio vaccines on performance of the monovalent and pentavalent rotavirus vaccines","container-title":"Vaccine","page":"A30-A35","volume":"30","source":"Crossref","DOI":"10.1016/j.vaccine.2011.11.093","ISSN":"0264410X","language":"en","author":[{"family":"Patel","given":"Manish"},{"family":"Steele","given":"A. Duncan"},{"family":"Parashar","given":"Umesh D."}],"issued":{"date-parts":[["2012",4]]}}},{"id":103,"uris":["http://zotero.org/users/2581824/items/WWPCTSQ9"],"uri":["http://zotero.org/users/2581824/items/WWPCTSQ9"],"itemData":{"id":103,"type":"article-journal","title":"Interference of Monovalent, Bivalent, and Trivalent Oral Poliovirus Vaccines on Monovalent Rotavirus Vaccine Immunogenicity in Rural Bangladesh","container-title":"Clinical Infectious Diseases","page":"150-156","volume":"62","issue":"2","source":"Crossref","DOI":"10.1093/cid/civ807","ISSN":"1058-4838, 1537-6591","language":"en","author":[{"family":"Emperador","given":"Devy M."},{"family":"Velasquez","given":"Daniel E."},{"family":"Estivariz","given":"Concepcion F."},{"family":"Lopman","given":"Ben"},{"family":"Jiang","given":"Baoming"},{"family":"Parashar","given":"Umesh"},{"family":"Anand","given":"Abhijeet"},{"family":"Zaman","given":"Khalequ"}],"issued":{"date-parts":[["2016",1,15]]}}},{"id":458,"uris":["http://zotero.org/users/2581824/items/9VURF5Z3"],"uri":["http://zotero.org/users/2581824/items/9VURF5Z3"],"itemData":{"id":458,"type":"article-journal","title":"Rotavirus Serum IgA Immune Response in Children Receiving Rotarix Coadministered With bOPV or IPV:","container-title":"The Pediatric Infectious Disease Journal","page":"1137-1139","volume":"35","issue":"10","source":"Crossref","DOI":"10.1097/INF.0000000000001253","ISSN":"0891-3668","title-short":"Rotavirus Serum IgA Immune Response in Children Receiving Rotarix Coadministered With bOPV or IPV","language":"en","author":[{"family":"Ramani","given":"Sasirekha"},{"family":"Mamani","given":"Nora"},{"family":"Villena","given":"Rodolfo"},{"family":"Bandyopadhyay","given":"Ananda S."},{"family":"Gast","given":"Chris"},{"family":"Sato","given":"Alicia"},{"family":"Laucirica","given":"Daniel"},{"family":"Clemens","given":"Ralf"},{"family":"Estes","given":"Mary K."},{"family":"O’Ryan","given":"Miguel L."}],"issued":{"date-parts":[["2016",10]]}}}],"schema":"https://github.com/citation-style-language/schema/raw/master/csl-citation.json"} </w:instrText>
            </w:r>
            <w:r w:rsidR="00D52837" w:rsidRPr="00D52837">
              <w:rPr>
                <w:sz w:val="20"/>
              </w:rPr>
              <w:fldChar w:fldCharType="separate"/>
            </w:r>
            <w:r w:rsidR="00D52837" w:rsidRPr="00D52837">
              <w:rPr>
                <w:sz w:val="20"/>
              </w:rPr>
              <w:t>[32,33,35,37]</w:t>
            </w:r>
            <w:r w:rsidR="00D52837" w:rsidRPr="00D52837">
              <w:rPr>
                <w:sz w:val="20"/>
              </w:rPr>
              <w:fldChar w:fldCharType="end"/>
            </w:r>
            <w:r w:rsidR="0065605F">
              <w:rPr>
                <w:sz w:val="20"/>
              </w:rPr>
              <w:t>.</w:t>
            </w:r>
            <w:r w:rsidR="00D52837" w:rsidRPr="00D52837">
              <w:rPr>
                <w:sz w:val="20"/>
              </w:rPr>
              <w:t xml:space="preserve">  With this much larger and global dataset, our findings provide support for more recent data </w:t>
            </w:r>
            <w:r w:rsidR="00D52837" w:rsidRPr="00D52837">
              <w:rPr>
                <w:sz w:val="20"/>
              </w:rPr>
              <w:fldChar w:fldCharType="begin"/>
            </w:r>
            <w:r w:rsidR="00D52837" w:rsidRPr="00D52837">
              <w:rPr>
                <w:sz w:val="20"/>
              </w:rPr>
              <w:instrText xml:space="preserve"> ADDIN ZOTERO_ITEM CSL_CITATION {"citationID":"ykpMadCc","properties":{"formattedCitation":"[32,35]","plainCitation":"[32,35]","noteIndex":0},"citationItems":[{"id":103,"uris":["http://zotero.org/users/2581824/items/WWPCTSQ9"],"uri":["http://zotero.org/users/2581824/items/WWPCTSQ9"],"itemData":{"id":103,"type":"article-journal","title":"Interference of Monovalent, Bivalent, and Trivalent Oral Poliovirus Vaccines on Monovalent Rotavirus Vaccine Immunogenicity in Rural Bangladesh","container-title":"Clinical Infectious Diseases","page":"150-156","volume":"62","issue":"2","source":"Crossref","DOI":"10.1093/cid/civ807","ISSN":"1058-4838, 1537-6591","language":"en","author":[{"family":"Emperador","given":"Devy M."},{"family":"Velasquez","given":"Daniel E."},{"family":"Estivariz","given":"Concepcion F."},{"family":"Lopman","given":"Ben"},{"family":"Jiang","given":"Baoming"},{"family":"Parashar","given":"Umesh"},{"family":"Anand","given":"Abhijeet"},{"family":"Zaman","given":"Khalequ"}],"issued":{"date-parts":[["2016",1,15]]}}},{"id":458,"uris":["http://zotero.org/users/2581824/items/9VURF5Z3"],"uri":["http://zotero.org/users/2581824/items/9VURF5Z3"],"itemData":{"id":458,"type":"article-journal","title":"Rotavirus Serum IgA Immune Response in Children Receiving Rotarix Coadministered With bOPV or IPV:","container-title":"The Pediatric Infectious Disease Journal","page":"1137-1139","volume":"35","issue":"10","source":"Crossref","DOI":"10.1097/INF.0000000000001253","ISSN":"0891-3668","title-short":"Rotavirus Serum IgA Immune Response in Children Receiving Rotarix Coadministered With bOPV or IPV","language":"en","author":[{"family":"Ramani","given":"Sasirekha"},{"family":"Mamani","given":"Nora"},{"family":"Villena","given":"Rodolfo"},{"family":"Bandyopadhyay","given":"Ananda S."},{"family":"Gast","given":"Chris"},{"family":"Sato","given":"Alicia"},{"family":"Laucirica","given":"Daniel"},{"family":"Clemens","given":"Ralf"},{"family":"Estes","given":"Mary K."},{"family":"O’Ryan","given":"Miguel L."}],"issued":{"date-parts":[["2016",10]]}}}],"schema":"https://github.com/citation-style-language/schema/raw/master/csl-citation.json"} </w:instrText>
            </w:r>
            <w:r w:rsidR="00D52837" w:rsidRPr="00D52837">
              <w:rPr>
                <w:sz w:val="20"/>
              </w:rPr>
              <w:fldChar w:fldCharType="separate"/>
            </w:r>
            <w:r w:rsidR="00D52837" w:rsidRPr="00D52837">
              <w:rPr>
                <w:sz w:val="20"/>
              </w:rPr>
              <w:t>[32,35]</w:t>
            </w:r>
            <w:r w:rsidR="00D52837" w:rsidRPr="00D52837">
              <w:rPr>
                <w:sz w:val="20"/>
              </w:rPr>
              <w:fldChar w:fldCharType="end"/>
            </w:r>
            <w:r w:rsidR="00D52837" w:rsidRPr="00D52837">
              <w:rPr>
                <w:sz w:val="20"/>
              </w:rPr>
              <w:t xml:space="preserve"> that suggests a second rotavirus vaccine dose may not compensate for the reduced initial response.  Applying our final seroconversion model to each mortality stratum individually and conducting a </w:t>
            </w:r>
            <w:r w:rsidR="00D52837" w:rsidRPr="00D52837">
              <w:rPr>
                <w:sz w:val="20"/>
              </w:rPr>
              <w:lastRenderedPageBreak/>
              <w:t xml:space="preserve">separate sensitivity analysis restricting data to only infants with confirmed pre-vaccine </w:t>
            </w:r>
            <w:r w:rsidR="00D52837" w:rsidRPr="00CA61E2">
              <w:rPr>
                <w:color w:val="000000" w:themeColor="text1"/>
                <w:sz w:val="20"/>
              </w:rPr>
              <w:t>seronegative status provided support, as the direction of the relationship remained despite dropping a substantial portion of the study data.</w:t>
            </w:r>
            <w:r w:rsidR="00CA61E2" w:rsidRPr="00CA61E2">
              <w:rPr>
                <w:color w:val="000000" w:themeColor="text1"/>
                <w:sz w:val="20"/>
              </w:rPr>
              <w:t xml:space="preserve"> This finding is consistent with the hypothesis the OPV interferes with rotavirus vaccine response, and this effect is not explained by socioeconomic differences among the trial sites.</w:t>
            </w:r>
            <w:r w:rsidRPr="00CA61E2">
              <w:rPr>
                <w:color w:val="000000" w:themeColor="text1"/>
                <w:sz w:val="20"/>
              </w:rPr>
              <w:t>”</w:t>
            </w:r>
          </w:p>
          <w:p w:rsidR="00295ED6" w:rsidRPr="00CA61E2" w:rsidRDefault="00295ED6" w:rsidP="00295ED6">
            <w:pPr>
              <w:tabs>
                <w:tab w:val="left" w:pos="5400"/>
              </w:tabs>
              <w:spacing w:line="240" w:lineRule="auto"/>
              <w:rPr>
                <w:color w:val="000000" w:themeColor="text1"/>
                <w:sz w:val="20"/>
              </w:rPr>
            </w:pPr>
          </w:p>
          <w:p w:rsidR="006123D8" w:rsidRPr="00D52837" w:rsidRDefault="006123D8" w:rsidP="00295ED6">
            <w:pPr>
              <w:tabs>
                <w:tab w:val="left" w:pos="5400"/>
              </w:tabs>
              <w:spacing w:line="240" w:lineRule="auto"/>
              <w:rPr>
                <w:sz w:val="20"/>
              </w:rPr>
            </w:pPr>
            <w:r w:rsidRPr="00D52837">
              <w:rPr>
                <w:sz w:val="20"/>
              </w:rPr>
              <w:t>“</w:t>
            </w:r>
            <w:r w:rsidR="00D52837" w:rsidRPr="00D52837">
              <w:rPr>
                <w:color w:val="000000" w:themeColor="text1"/>
                <w:sz w:val="20"/>
              </w:rPr>
              <w:t>Comparing the adjusted OR for GDP and seroconversion developed via model selection (Table 5, OR = 1.11, 95% CI: 1.04-1.19</w:t>
            </w:r>
            <w:r w:rsidR="00CD3ED4">
              <w:rPr>
                <w:color w:val="000000" w:themeColor="text1"/>
                <w:sz w:val="20"/>
              </w:rPr>
              <w:t>, p = 0.001</w:t>
            </w:r>
            <w:r w:rsidR="00D52837" w:rsidRPr="00D52837">
              <w:rPr>
                <w:color w:val="000000" w:themeColor="text1"/>
                <w:sz w:val="20"/>
              </w:rPr>
              <w:t>) to their crude association (OR = 1.24, 95% CI: 1.20, 1.28</w:t>
            </w:r>
            <w:r w:rsidR="00CD3ED4">
              <w:rPr>
                <w:color w:val="000000" w:themeColor="text1"/>
                <w:sz w:val="20"/>
              </w:rPr>
              <w:t>, p &lt; 0.001</w:t>
            </w:r>
            <w:r w:rsidR="00D52837" w:rsidRPr="00D52837">
              <w:rPr>
                <w:color w:val="000000" w:themeColor="text1"/>
                <w:sz w:val="20"/>
              </w:rPr>
              <w:t>) suggests that a substantial, though incomplete portion of the crude association was accounted for with our individual-level factors.</w:t>
            </w:r>
            <w:r w:rsidRPr="00D52837">
              <w:rPr>
                <w:color w:val="000000" w:themeColor="text1"/>
                <w:sz w:val="20"/>
              </w:rPr>
              <w:t>”</w:t>
            </w:r>
          </w:p>
          <w:p w:rsidR="006123D8" w:rsidRPr="00D52837" w:rsidRDefault="006123D8" w:rsidP="00077147">
            <w:pPr>
              <w:tabs>
                <w:tab w:val="left" w:pos="5400"/>
              </w:tabs>
              <w:spacing w:line="240" w:lineRule="auto"/>
              <w:rPr>
                <w:sz w:val="20"/>
              </w:rPr>
            </w:pPr>
          </w:p>
          <w:p w:rsidR="003E2BF3" w:rsidRPr="00D52837" w:rsidRDefault="003E2BF3" w:rsidP="00077147">
            <w:pPr>
              <w:tabs>
                <w:tab w:val="left" w:pos="5400"/>
              </w:tabs>
              <w:spacing w:line="240" w:lineRule="auto"/>
              <w:rPr>
                <w:sz w:val="20"/>
              </w:rPr>
            </w:pPr>
            <w:r w:rsidRPr="00D52837">
              <w:rPr>
                <w:sz w:val="20"/>
              </w:rPr>
              <w:t>“</w:t>
            </w:r>
            <w:r w:rsidR="00D52837" w:rsidRPr="00D52837">
              <w:rPr>
                <w:sz w:val="20"/>
              </w:rPr>
              <w:t>While we explored a number of potential factors, our findings highlight the importance of concomitant OPV administration and provide encouraging evidence to suggest OPV withdrawal could improve rotavirus vaccine performance.</w:t>
            </w:r>
            <w:r w:rsidRPr="00D52837">
              <w:rPr>
                <w:sz w:val="20"/>
              </w:rPr>
              <w:t>”</w:t>
            </w:r>
          </w:p>
          <w:p w:rsidR="003E2BF3" w:rsidRPr="00D52837" w:rsidRDefault="003E2BF3"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3E2BF3" w:rsidRDefault="003E2BF3" w:rsidP="00077147">
            <w:pPr>
              <w:tabs>
                <w:tab w:val="left" w:pos="5400"/>
              </w:tabs>
              <w:spacing w:line="240" w:lineRule="auto"/>
              <w:rPr>
                <w:sz w:val="20"/>
              </w:rPr>
            </w:pPr>
          </w:p>
          <w:p w:rsidR="003E2BF3" w:rsidRDefault="003E2BF3" w:rsidP="00077147">
            <w:pPr>
              <w:tabs>
                <w:tab w:val="left" w:pos="5400"/>
              </w:tabs>
              <w:spacing w:line="240" w:lineRule="auto"/>
              <w:rPr>
                <w:sz w:val="20"/>
              </w:rPr>
            </w:pPr>
          </w:p>
          <w:p w:rsidR="006123D8" w:rsidRDefault="006123D8" w:rsidP="00077147">
            <w:pPr>
              <w:tabs>
                <w:tab w:val="left" w:pos="5400"/>
              </w:tabs>
              <w:spacing w:line="240" w:lineRule="auto"/>
              <w:rPr>
                <w:sz w:val="20"/>
              </w:rPr>
            </w:pPr>
          </w:p>
          <w:p w:rsidR="006123D8" w:rsidRDefault="006123D8" w:rsidP="00077147">
            <w:pPr>
              <w:tabs>
                <w:tab w:val="left" w:pos="5400"/>
              </w:tabs>
              <w:spacing w:line="240" w:lineRule="auto"/>
              <w:rPr>
                <w:sz w:val="20"/>
              </w:rPr>
            </w:pPr>
          </w:p>
          <w:p w:rsidR="00295ED6" w:rsidRDefault="00CD3ED4" w:rsidP="00077147">
            <w:pPr>
              <w:tabs>
                <w:tab w:val="left" w:pos="5400"/>
              </w:tabs>
              <w:spacing w:line="240" w:lineRule="auto"/>
              <w:rPr>
                <w:sz w:val="20"/>
              </w:rPr>
            </w:pPr>
            <w:r>
              <w:rPr>
                <w:sz w:val="20"/>
              </w:rPr>
              <w:t>Discussion, 2</w:t>
            </w:r>
            <w:r w:rsidRPr="00CD3ED4">
              <w:rPr>
                <w:sz w:val="20"/>
                <w:vertAlign w:val="superscript"/>
              </w:rPr>
              <w:t>nd</w:t>
            </w:r>
            <w:r>
              <w:rPr>
                <w:sz w:val="20"/>
              </w:rPr>
              <w:t xml:space="preserve"> paragraph</w:t>
            </w:r>
          </w:p>
          <w:p w:rsidR="00295ED6" w:rsidRDefault="00295ED6" w:rsidP="00077147">
            <w:pPr>
              <w:tabs>
                <w:tab w:val="left" w:pos="5400"/>
              </w:tabs>
              <w:spacing w:line="240" w:lineRule="auto"/>
              <w:rPr>
                <w:sz w:val="20"/>
              </w:rPr>
            </w:pPr>
          </w:p>
          <w:p w:rsidR="00295ED6" w:rsidRDefault="00295ED6" w:rsidP="00077147">
            <w:pPr>
              <w:tabs>
                <w:tab w:val="left" w:pos="5400"/>
              </w:tabs>
              <w:spacing w:line="240" w:lineRule="auto"/>
              <w:rPr>
                <w:sz w:val="20"/>
              </w:rPr>
            </w:pPr>
          </w:p>
          <w:p w:rsidR="00295ED6" w:rsidRDefault="00295ED6" w:rsidP="00077147">
            <w:pPr>
              <w:tabs>
                <w:tab w:val="left" w:pos="5400"/>
              </w:tabs>
              <w:spacing w:line="240" w:lineRule="auto"/>
              <w:rPr>
                <w:sz w:val="20"/>
              </w:rPr>
            </w:pPr>
          </w:p>
          <w:p w:rsidR="00295ED6" w:rsidRDefault="00295ED6" w:rsidP="00077147">
            <w:pPr>
              <w:tabs>
                <w:tab w:val="left" w:pos="5400"/>
              </w:tabs>
              <w:spacing w:line="240" w:lineRule="auto"/>
              <w:rPr>
                <w:sz w:val="20"/>
              </w:rPr>
            </w:pPr>
          </w:p>
          <w:p w:rsidR="00295ED6" w:rsidRDefault="00295ED6" w:rsidP="00077147">
            <w:pPr>
              <w:tabs>
                <w:tab w:val="left" w:pos="5400"/>
              </w:tabs>
              <w:spacing w:line="240" w:lineRule="auto"/>
              <w:rPr>
                <w:sz w:val="20"/>
              </w:rPr>
            </w:pPr>
          </w:p>
          <w:p w:rsidR="00295ED6" w:rsidRDefault="00295ED6" w:rsidP="00077147">
            <w:pPr>
              <w:tabs>
                <w:tab w:val="left" w:pos="5400"/>
              </w:tabs>
              <w:spacing w:line="240" w:lineRule="auto"/>
              <w:rPr>
                <w:sz w:val="20"/>
              </w:rPr>
            </w:pPr>
          </w:p>
          <w:p w:rsidR="00295ED6" w:rsidRDefault="00295ED6" w:rsidP="00077147">
            <w:pPr>
              <w:tabs>
                <w:tab w:val="left" w:pos="5400"/>
              </w:tabs>
              <w:spacing w:line="240" w:lineRule="auto"/>
              <w:rPr>
                <w:sz w:val="20"/>
              </w:rPr>
            </w:pPr>
          </w:p>
          <w:p w:rsidR="00295ED6" w:rsidRDefault="00295ED6"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CA61E2" w:rsidRDefault="00CA61E2" w:rsidP="00077147">
            <w:pPr>
              <w:tabs>
                <w:tab w:val="left" w:pos="5400"/>
              </w:tabs>
              <w:spacing w:line="240" w:lineRule="auto"/>
              <w:rPr>
                <w:sz w:val="20"/>
              </w:rPr>
            </w:pPr>
          </w:p>
          <w:p w:rsidR="00CA61E2" w:rsidRDefault="00CA61E2" w:rsidP="00077147">
            <w:pPr>
              <w:tabs>
                <w:tab w:val="left" w:pos="5400"/>
              </w:tabs>
              <w:spacing w:line="240" w:lineRule="auto"/>
              <w:rPr>
                <w:sz w:val="20"/>
              </w:rPr>
            </w:pPr>
          </w:p>
          <w:p w:rsidR="00CA61E2" w:rsidRDefault="00CA61E2" w:rsidP="00077147">
            <w:pPr>
              <w:tabs>
                <w:tab w:val="left" w:pos="5400"/>
              </w:tabs>
              <w:spacing w:line="240" w:lineRule="auto"/>
              <w:rPr>
                <w:sz w:val="20"/>
              </w:rPr>
            </w:pPr>
          </w:p>
          <w:p w:rsidR="00D52837" w:rsidRDefault="00D52837" w:rsidP="00077147">
            <w:pPr>
              <w:tabs>
                <w:tab w:val="left" w:pos="5400"/>
              </w:tabs>
              <w:spacing w:line="240" w:lineRule="auto"/>
              <w:rPr>
                <w:sz w:val="20"/>
              </w:rPr>
            </w:pPr>
          </w:p>
          <w:p w:rsidR="006123D8" w:rsidRDefault="00CD3ED4" w:rsidP="00077147">
            <w:pPr>
              <w:tabs>
                <w:tab w:val="left" w:pos="5400"/>
              </w:tabs>
              <w:spacing w:line="240" w:lineRule="auto"/>
              <w:rPr>
                <w:sz w:val="20"/>
              </w:rPr>
            </w:pPr>
            <w:r>
              <w:rPr>
                <w:sz w:val="20"/>
              </w:rPr>
              <w:t>Discussion, 4</w:t>
            </w:r>
            <w:r w:rsidRPr="00CD3ED4">
              <w:rPr>
                <w:sz w:val="20"/>
                <w:vertAlign w:val="superscript"/>
              </w:rPr>
              <w:t>th</w:t>
            </w:r>
            <w:r>
              <w:rPr>
                <w:sz w:val="20"/>
              </w:rPr>
              <w:t xml:space="preserve"> paragraph</w:t>
            </w:r>
          </w:p>
          <w:p w:rsidR="006123D8" w:rsidRDefault="006123D8" w:rsidP="00077147">
            <w:pPr>
              <w:tabs>
                <w:tab w:val="left" w:pos="5400"/>
              </w:tabs>
              <w:spacing w:line="240" w:lineRule="auto"/>
              <w:rPr>
                <w:sz w:val="20"/>
              </w:rPr>
            </w:pPr>
          </w:p>
          <w:p w:rsidR="006123D8" w:rsidRDefault="006123D8" w:rsidP="00077147">
            <w:pPr>
              <w:tabs>
                <w:tab w:val="left" w:pos="5400"/>
              </w:tabs>
              <w:spacing w:line="240" w:lineRule="auto"/>
              <w:rPr>
                <w:sz w:val="20"/>
              </w:rPr>
            </w:pPr>
          </w:p>
          <w:p w:rsidR="006123D8" w:rsidRDefault="006123D8" w:rsidP="00077147">
            <w:pPr>
              <w:tabs>
                <w:tab w:val="left" w:pos="5400"/>
              </w:tabs>
              <w:spacing w:line="240" w:lineRule="auto"/>
              <w:rPr>
                <w:sz w:val="20"/>
              </w:rPr>
            </w:pPr>
          </w:p>
          <w:p w:rsidR="006123D8" w:rsidRDefault="006123D8" w:rsidP="00077147">
            <w:pPr>
              <w:tabs>
                <w:tab w:val="left" w:pos="5400"/>
              </w:tabs>
              <w:spacing w:line="240" w:lineRule="auto"/>
              <w:rPr>
                <w:sz w:val="20"/>
              </w:rPr>
            </w:pPr>
          </w:p>
          <w:p w:rsidR="006123D8" w:rsidRDefault="006123D8" w:rsidP="00077147">
            <w:pPr>
              <w:tabs>
                <w:tab w:val="left" w:pos="5400"/>
              </w:tabs>
              <w:spacing w:line="240" w:lineRule="auto"/>
              <w:rPr>
                <w:sz w:val="20"/>
              </w:rPr>
            </w:pPr>
          </w:p>
          <w:p w:rsidR="003E2BF3" w:rsidRPr="0022554A" w:rsidRDefault="00CD3ED4" w:rsidP="008455BB">
            <w:pPr>
              <w:tabs>
                <w:tab w:val="left" w:pos="5400"/>
              </w:tabs>
              <w:spacing w:line="240" w:lineRule="auto"/>
              <w:rPr>
                <w:sz w:val="20"/>
              </w:rPr>
            </w:pPr>
            <w:r>
              <w:rPr>
                <w:sz w:val="20"/>
              </w:rPr>
              <w:t>Discussion, last paragraph</w:t>
            </w:r>
          </w:p>
        </w:tc>
      </w:tr>
      <w:tr w:rsidR="00606B93" w:rsidRPr="0022554A" w:rsidTr="00606B93">
        <w:tc>
          <w:tcPr>
            <w:tcW w:w="2010" w:type="dxa"/>
          </w:tcPr>
          <w:p w:rsidR="00F968F7" w:rsidRPr="0022554A" w:rsidRDefault="00F968F7" w:rsidP="00077147">
            <w:pPr>
              <w:tabs>
                <w:tab w:val="left" w:pos="5400"/>
              </w:tabs>
              <w:spacing w:line="240" w:lineRule="auto"/>
              <w:rPr>
                <w:bCs/>
                <w:sz w:val="20"/>
              </w:rPr>
            </w:pPr>
            <w:bookmarkStart w:id="89" w:name="italic48" w:colFirst="0" w:colLast="0"/>
            <w:bookmarkStart w:id="90" w:name="bold49" w:colFirst="0" w:colLast="0"/>
            <w:bookmarkEnd w:id="87"/>
            <w:bookmarkEnd w:id="88"/>
            <w:r w:rsidRPr="0022554A">
              <w:rPr>
                <w:bCs/>
                <w:sz w:val="20"/>
              </w:rPr>
              <w:lastRenderedPageBreak/>
              <w:t>Generalisability</w:t>
            </w:r>
          </w:p>
        </w:tc>
        <w:tc>
          <w:tcPr>
            <w:tcW w:w="654" w:type="dxa"/>
          </w:tcPr>
          <w:p w:rsidR="00F968F7" w:rsidRPr="0022554A" w:rsidRDefault="00F968F7" w:rsidP="00077147">
            <w:pPr>
              <w:tabs>
                <w:tab w:val="left" w:pos="5400"/>
              </w:tabs>
              <w:spacing w:line="240" w:lineRule="auto"/>
              <w:jc w:val="center"/>
              <w:rPr>
                <w:sz w:val="20"/>
              </w:rPr>
            </w:pPr>
            <w:r w:rsidRPr="0022554A">
              <w:rPr>
                <w:sz w:val="20"/>
              </w:rPr>
              <w:t>21</w:t>
            </w:r>
          </w:p>
        </w:tc>
        <w:tc>
          <w:tcPr>
            <w:tcW w:w="0" w:type="auto"/>
            <w:tcBorders>
              <w:right w:val="single" w:sz="4" w:space="0" w:color="auto"/>
            </w:tcBorders>
          </w:tcPr>
          <w:p w:rsidR="00F968F7" w:rsidRPr="001D29D5" w:rsidRDefault="00F968F7" w:rsidP="00077147">
            <w:pPr>
              <w:tabs>
                <w:tab w:val="left" w:pos="5400"/>
              </w:tabs>
              <w:spacing w:line="240" w:lineRule="auto"/>
              <w:rPr>
                <w:sz w:val="20"/>
              </w:rPr>
            </w:pPr>
            <w:r w:rsidRPr="0022554A">
              <w:rPr>
                <w:sz w:val="20"/>
              </w:rPr>
              <w:t xml:space="preserve">Discuss the </w:t>
            </w:r>
            <w:r w:rsidRPr="001D29D5">
              <w:rPr>
                <w:sz w:val="20"/>
              </w:rPr>
              <w:t>generalisability (external validity) of the study results</w:t>
            </w:r>
          </w:p>
          <w:p w:rsidR="001775FD" w:rsidRPr="001D29D5" w:rsidRDefault="001775FD" w:rsidP="00077147">
            <w:pPr>
              <w:tabs>
                <w:tab w:val="left" w:pos="5400"/>
              </w:tabs>
              <w:spacing w:line="240" w:lineRule="auto"/>
              <w:rPr>
                <w:sz w:val="20"/>
              </w:rPr>
            </w:pPr>
          </w:p>
          <w:p w:rsidR="001F0F8B" w:rsidRPr="001D29D5" w:rsidRDefault="001F0F8B" w:rsidP="00077147">
            <w:pPr>
              <w:tabs>
                <w:tab w:val="left" w:pos="5400"/>
              </w:tabs>
              <w:spacing w:line="240" w:lineRule="auto"/>
              <w:rPr>
                <w:b/>
                <w:sz w:val="20"/>
              </w:rPr>
            </w:pPr>
            <w:r w:rsidRPr="001D29D5">
              <w:rPr>
                <w:b/>
                <w:sz w:val="20"/>
              </w:rPr>
              <w:t>Text:</w:t>
            </w:r>
          </w:p>
          <w:p w:rsidR="001775FD" w:rsidRPr="001D29D5" w:rsidRDefault="001F0F8B" w:rsidP="00077147">
            <w:pPr>
              <w:tabs>
                <w:tab w:val="left" w:pos="5400"/>
              </w:tabs>
              <w:spacing w:line="240" w:lineRule="auto"/>
              <w:rPr>
                <w:sz w:val="20"/>
              </w:rPr>
            </w:pPr>
            <w:r w:rsidRPr="001D29D5">
              <w:rPr>
                <w:sz w:val="20"/>
              </w:rPr>
              <w:t>“</w:t>
            </w:r>
            <w:r w:rsidR="001D29D5" w:rsidRPr="001D29D5">
              <w:rPr>
                <w:sz w:val="20"/>
              </w:rPr>
              <w:t>The required adherence to study protocol and stringent monitoring necessary for a clinical trial means that the results produced from these analyses may not perfectly reflect the findings that would have occurred under more routine, real-world conditions and should, therefore, be interpreted accordingly.  Relatedly, the infants included in the trials were all healthy children, potentially limiting the generalizability of the results.</w:t>
            </w:r>
            <w:r w:rsidRPr="001D29D5">
              <w:rPr>
                <w:sz w:val="20"/>
              </w:rPr>
              <w:t>”</w:t>
            </w:r>
          </w:p>
          <w:p w:rsidR="001D29D5" w:rsidRPr="001D29D5" w:rsidRDefault="001D29D5" w:rsidP="00077147">
            <w:pPr>
              <w:tabs>
                <w:tab w:val="left" w:pos="5400"/>
              </w:tabs>
              <w:spacing w:line="240" w:lineRule="auto"/>
              <w:rPr>
                <w:sz w:val="20"/>
              </w:rPr>
            </w:pPr>
          </w:p>
          <w:p w:rsidR="001D29D5" w:rsidRPr="001D29D5" w:rsidRDefault="001D29D5" w:rsidP="00077147">
            <w:pPr>
              <w:tabs>
                <w:tab w:val="left" w:pos="5400"/>
              </w:tabs>
              <w:spacing w:line="240" w:lineRule="auto"/>
              <w:rPr>
                <w:sz w:val="20"/>
              </w:rPr>
            </w:pPr>
            <w:r w:rsidRPr="001D29D5">
              <w:rPr>
                <w:sz w:val="20"/>
              </w:rPr>
              <w:t xml:space="preserve">“Lastly, our analysis was limited to infants who received RV1 and it is possible that the findings </w:t>
            </w:r>
            <w:r w:rsidR="00CD3ED4">
              <w:rPr>
                <w:sz w:val="20"/>
              </w:rPr>
              <w:t xml:space="preserve">and implications of this research </w:t>
            </w:r>
            <w:r w:rsidRPr="001D29D5">
              <w:rPr>
                <w:sz w:val="20"/>
              </w:rPr>
              <w:t>may not be generalizable to the other three rotavirus vaccines prequalified by WHO</w:t>
            </w:r>
            <w:r w:rsidR="00CA61E2">
              <w:rPr>
                <w:sz w:val="20"/>
              </w:rPr>
              <w:t xml:space="preserve"> or others currently in development</w:t>
            </w:r>
            <w:r w:rsidRPr="001D29D5">
              <w:rPr>
                <w:sz w:val="20"/>
              </w:rPr>
              <w:t>.”</w:t>
            </w:r>
          </w:p>
          <w:p w:rsidR="001F0F8B" w:rsidRPr="0022554A" w:rsidRDefault="001F0F8B" w:rsidP="00077147">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1F0F8B" w:rsidRDefault="001F0F8B" w:rsidP="00077147">
            <w:pPr>
              <w:tabs>
                <w:tab w:val="left" w:pos="5400"/>
              </w:tabs>
              <w:spacing w:line="240" w:lineRule="auto"/>
              <w:rPr>
                <w:sz w:val="20"/>
              </w:rPr>
            </w:pPr>
          </w:p>
          <w:p w:rsidR="00CD3ED4" w:rsidRDefault="00CD3ED4" w:rsidP="00077147">
            <w:pPr>
              <w:tabs>
                <w:tab w:val="left" w:pos="5400"/>
              </w:tabs>
              <w:spacing w:line="240" w:lineRule="auto"/>
              <w:rPr>
                <w:sz w:val="20"/>
              </w:rPr>
            </w:pPr>
          </w:p>
          <w:p w:rsidR="001F0F8B" w:rsidRDefault="001F0F8B" w:rsidP="00077147">
            <w:pPr>
              <w:tabs>
                <w:tab w:val="left" w:pos="5400"/>
              </w:tabs>
              <w:spacing w:line="240" w:lineRule="auto"/>
              <w:rPr>
                <w:sz w:val="20"/>
              </w:rPr>
            </w:pPr>
          </w:p>
          <w:p w:rsidR="001F0F8B" w:rsidRDefault="00CD3ED4" w:rsidP="008455BB">
            <w:pPr>
              <w:tabs>
                <w:tab w:val="left" w:pos="5400"/>
              </w:tabs>
              <w:spacing w:line="240" w:lineRule="auto"/>
              <w:rPr>
                <w:sz w:val="20"/>
              </w:rPr>
            </w:pPr>
            <w:r>
              <w:rPr>
                <w:sz w:val="20"/>
              </w:rPr>
              <w:t>Discussion, 6</w:t>
            </w:r>
            <w:r w:rsidRPr="00CD3ED4">
              <w:rPr>
                <w:sz w:val="20"/>
                <w:vertAlign w:val="superscript"/>
              </w:rPr>
              <w:t>th</w:t>
            </w:r>
            <w:r>
              <w:rPr>
                <w:sz w:val="20"/>
              </w:rPr>
              <w:t xml:space="preserve"> paragraph</w:t>
            </w:r>
          </w:p>
          <w:p w:rsidR="001D29D5" w:rsidRDefault="001D29D5" w:rsidP="008455BB">
            <w:pPr>
              <w:tabs>
                <w:tab w:val="left" w:pos="5400"/>
              </w:tabs>
              <w:spacing w:line="240" w:lineRule="auto"/>
              <w:rPr>
                <w:sz w:val="20"/>
              </w:rPr>
            </w:pPr>
          </w:p>
          <w:p w:rsidR="001D29D5" w:rsidRDefault="001D29D5" w:rsidP="008455BB">
            <w:pPr>
              <w:tabs>
                <w:tab w:val="left" w:pos="5400"/>
              </w:tabs>
              <w:spacing w:line="240" w:lineRule="auto"/>
              <w:rPr>
                <w:sz w:val="20"/>
              </w:rPr>
            </w:pPr>
          </w:p>
          <w:p w:rsidR="001D29D5" w:rsidRDefault="001D29D5" w:rsidP="008455BB">
            <w:pPr>
              <w:tabs>
                <w:tab w:val="left" w:pos="5400"/>
              </w:tabs>
              <w:spacing w:line="240" w:lineRule="auto"/>
              <w:rPr>
                <w:sz w:val="20"/>
              </w:rPr>
            </w:pPr>
          </w:p>
          <w:p w:rsidR="001D29D5" w:rsidRDefault="001D29D5" w:rsidP="008455BB">
            <w:pPr>
              <w:tabs>
                <w:tab w:val="left" w:pos="5400"/>
              </w:tabs>
              <w:spacing w:line="240" w:lineRule="auto"/>
              <w:rPr>
                <w:sz w:val="20"/>
              </w:rPr>
            </w:pPr>
          </w:p>
          <w:p w:rsidR="001D29D5" w:rsidRDefault="001D29D5" w:rsidP="008455BB">
            <w:pPr>
              <w:tabs>
                <w:tab w:val="left" w:pos="5400"/>
              </w:tabs>
              <w:spacing w:line="240" w:lineRule="auto"/>
              <w:rPr>
                <w:sz w:val="20"/>
              </w:rPr>
            </w:pPr>
          </w:p>
          <w:p w:rsidR="001D29D5" w:rsidRDefault="001D29D5" w:rsidP="008455BB">
            <w:pPr>
              <w:tabs>
                <w:tab w:val="left" w:pos="5400"/>
              </w:tabs>
              <w:spacing w:line="240" w:lineRule="auto"/>
              <w:rPr>
                <w:sz w:val="20"/>
              </w:rPr>
            </w:pPr>
          </w:p>
          <w:p w:rsidR="001D29D5" w:rsidRDefault="001D29D5" w:rsidP="008455BB">
            <w:pPr>
              <w:tabs>
                <w:tab w:val="left" w:pos="5400"/>
              </w:tabs>
              <w:spacing w:line="240" w:lineRule="auto"/>
              <w:rPr>
                <w:sz w:val="20"/>
              </w:rPr>
            </w:pPr>
          </w:p>
          <w:p w:rsidR="00CD3ED4" w:rsidRDefault="00CD3ED4" w:rsidP="00CD3ED4">
            <w:pPr>
              <w:tabs>
                <w:tab w:val="left" w:pos="5400"/>
              </w:tabs>
              <w:spacing w:line="240" w:lineRule="auto"/>
              <w:rPr>
                <w:sz w:val="20"/>
              </w:rPr>
            </w:pPr>
            <w:r>
              <w:rPr>
                <w:sz w:val="20"/>
              </w:rPr>
              <w:t>Discussion, 6</w:t>
            </w:r>
            <w:r w:rsidRPr="00CD3ED4">
              <w:rPr>
                <w:sz w:val="20"/>
                <w:vertAlign w:val="superscript"/>
              </w:rPr>
              <w:t>th</w:t>
            </w:r>
            <w:r>
              <w:rPr>
                <w:sz w:val="20"/>
              </w:rPr>
              <w:t xml:space="preserve"> paragraph</w:t>
            </w:r>
          </w:p>
          <w:p w:rsidR="001D29D5" w:rsidRPr="0022554A" w:rsidRDefault="001D29D5" w:rsidP="008455BB">
            <w:pPr>
              <w:tabs>
                <w:tab w:val="left" w:pos="5400"/>
              </w:tabs>
              <w:spacing w:line="240" w:lineRule="auto"/>
              <w:rPr>
                <w:sz w:val="20"/>
              </w:rPr>
            </w:pPr>
          </w:p>
        </w:tc>
      </w:tr>
      <w:tr w:rsidR="00F968F7" w:rsidRPr="0022554A" w:rsidTr="00521012">
        <w:tc>
          <w:tcPr>
            <w:tcW w:w="0" w:type="auto"/>
            <w:gridSpan w:val="4"/>
            <w:tcBorders>
              <w:bottom w:val="single" w:sz="4" w:space="0" w:color="auto"/>
            </w:tcBorders>
          </w:tcPr>
          <w:p w:rsidR="00F968F7" w:rsidRPr="0022554A" w:rsidRDefault="00F968F7" w:rsidP="00077147">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606B93" w:rsidRPr="0022554A" w:rsidTr="00606B93">
        <w:tc>
          <w:tcPr>
            <w:tcW w:w="2010" w:type="dxa"/>
            <w:tcBorders>
              <w:top w:val="single" w:sz="4" w:space="0" w:color="auto"/>
              <w:bottom w:val="single" w:sz="4" w:space="0" w:color="auto"/>
            </w:tcBorders>
          </w:tcPr>
          <w:p w:rsidR="00F968F7" w:rsidRPr="008455BB" w:rsidRDefault="00F968F7" w:rsidP="00077147">
            <w:pPr>
              <w:tabs>
                <w:tab w:val="left" w:pos="5400"/>
              </w:tabs>
              <w:spacing w:line="240" w:lineRule="auto"/>
              <w:rPr>
                <w:bCs/>
                <w:sz w:val="20"/>
              </w:rPr>
            </w:pPr>
            <w:bookmarkStart w:id="93" w:name="italic50" w:colFirst="0" w:colLast="0"/>
            <w:bookmarkStart w:id="94" w:name="bold51" w:colFirst="0" w:colLast="0"/>
            <w:r w:rsidRPr="008455BB">
              <w:rPr>
                <w:bCs/>
                <w:sz w:val="20"/>
              </w:rPr>
              <w:t>Funding</w:t>
            </w:r>
          </w:p>
        </w:tc>
        <w:tc>
          <w:tcPr>
            <w:tcW w:w="654" w:type="dxa"/>
            <w:tcBorders>
              <w:top w:val="single" w:sz="4" w:space="0" w:color="auto"/>
              <w:bottom w:val="single" w:sz="4" w:space="0" w:color="auto"/>
            </w:tcBorders>
          </w:tcPr>
          <w:p w:rsidR="00F968F7" w:rsidRPr="008455BB" w:rsidRDefault="00F968F7" w:rsidP="00077147">
            <w:pPr>
              <w:tabs>
                <w:tab w:val="left" w:pos="5400"/>
              </w:tabs>
              <w:spacing w:line="240" w:lineRule="auto"/>
              <w:jc w:val="center"/>
              <w:rPr>
                <w:sz w:val="20"/>
              </w:rPr>
            </w:pPr>
            <w:r w:rsidRPr="008455BB">
              <w:rPr>
                <w:sz w:val="20"/>
              </w:rPr>
              <w:t>22</w:t>
            </w:r>
          </w:p>
        </w:tc>
        <w:tc>
          <w:tcPr>
            <w:tcW w:w="0" w:type="auto"/>
            <w:tcBorders>
              <w:top w:val="single" w:sz="4" w:space="0" w:color="auto"/>
              <w:bottom w:val="single" w:sz="4" w:space="0" w:color="auto"/>
              <w:right w:val="single" w:sz="4" w:space="0" w:color="auto"/>
            </w:tcBorders>
          </w:tcPr>
          <w:p w:rsidR="00F968F7" w:rsidRPr="008455BB" w:rsidRDefault="00F968F7" w:rsidP="00077147">
            <w:pPr>
              <w:tabs>
                <w:tab w:val="left" w:pos="5400"/>
              </w:tabs>
              <w:spacing w:line="240" w:lineRule="auto"/>
              <w:rPr>
                <w:sz w:val="20"/>
              </w:rPr>
            </w:pPr>
            <w:r w:rsidRPr="008455BB">
              <w:rPr>
                <w:sz w:val="20"/>
              </w:rPr>
              <w:t>Give the source of funding and the role of the funders for the present study and, if applicable, for the original study on which the present article is based</w:t>
            </w:r>
          </w:p>
          <w:p w:rsidR="001775FD" w:rsidRPr="008455BB" w:rsidRDefault="001775FD" w:rsidP="00077147">
            <w:pPr>
              <w:tabs>
                <w:tab w:val="left" w:pos="5400"/>
              </w:tabs>
              <w:spacing w:line="240" w:lineRule="auto"/>
              <w:rPr>
                <w:sz w:val="20"/>
              </w:rPr>
            </w:pPr>
          </w:p>
          <w:p w:rsidR="008455BB" w:rsidRPr="001D29D5" w:rsidRDefault="008455BB" w:rsidP="001D29D5">
            <w:pPr>
              <w:tabs>
                <w:tab w:val="left" w:pos="5400"/>
              </w:tabs>
              <w:spacing w:line="240" w:lineRule="auto"/>
              <w:rPr>
                <w:b/>
                <w:sz w:val="20"/>
              </w:rPr>
            </w:pPr>
            <w:r w:rsidRPr="001D29D5">
              <w:rPr>
                <w:b/>
                <w:sz w:val="20"/>
              </w:rPr>
              <w:t>Text:</w:t>
            </w:r>
          </w:p>
          <w:p w:rsidR="008455BB" w:rsidRPr="001D29D5" w:rsidRDefault="008455BB" w:rsidP="001D29D5">
            <w:pPr>
              <w:pStyle w:val="Normal1"/>
              <w:spacing w:line="240" w:lineRule="auto"/>
              <w:rPr>
                <w:rFonts w:ascii="Times New Roman" w:hAnsi="Times New Roman" w:cs="Times New Roman"/>
                <w:color w:val="auto"/>
                <w:sz w:val="20"/>
                <w:szCs w:val="20"/>
              </w:rPr>
            </w:pPr>
            <w:r w:rsidRPr="001D29D5">
              <w:rPr>
                <w:rFonts w:ascii="Times New Roman" w:hAnsi="Times New Roman" w:cs="Times New Roman"/>
                <w:sz w:val="20"/>
                <w:szCs w:val="20"/>
              </w:rPr>
              <w:t>“</w:t>
            </w:r>
            <w:r w:rsidR="001D29D5" w:rsidRPr="001D29D5">
              <w:rPr>
                <w:rFonts w:ascii="Times New Roman" w:hAnsi="Times New Roman" w:cs="Times New Roman"/>
                <w:color w:val="auto"/>
                <w:sz w:val="20"/>
                <w:szCs w:val="20"/>
              </w:rPr>
              <w:t>JMB received financial support to conduct this research from the Laney Graduate School of Emory University (</w:t>
            </w:r>
            <w:hyperlink r:id="rId7" w:history="1">
              <w:r w:rsidR="001D29D5" w:rsidRPr="001D29D5">
                <w:rPr>
                  <w:rStyle w:val="Hyperlink"/>
                  <w:rFonts w:ascii="Times New Roman" w:hAnsi="Times New Roman" w:cs="Times New Roman"/>
                  <w:sz w:val="20"/>
                  <w:szCs w:val="20"/>
                </w:rPr>
                <w:t>http://www.graduateschool.emory.edu</w:t>
              </w:r>
            </w:hyperlink>
            <w:r w:rsidR="001D29D5" w:rsidRPr="001D29D5">
              <w:rPr>
                <w:rFonts w:ascii="Times New Roman" w:hAnsi="Times New Roman" w:cs="Times New Roman"/>
                <w:color w:val="auto"/>
                <w:sz w:val="20"/>
                <w:szCs w:val="20"/>
              </w:rPr>
              <w:t>).  BAL’s work was supported by NIH grants R01AI112970 and R01GM124280 (</w:t>
            </w:r>
            <w:hyperlink r:id="rId8" w:history="1">
              <w:r w:rsidR="001D29D5" w:rsidRPr="001D29D5">
                <w:rPr>
                  <w:rStyle w:val="Hyperlink"/>
                  <w:rFonts w:ascii="Times New Roman" w:hAnsi="Times New Roman" w:cs="Times New Roman"/>
                  <w:sz w:val="20"/>
                  <w:szCs w:val="20"/>
                </w:rPr>
                <w:t>https://grants.nih.gov/grants/oer.htm</w:t>
              </w:r>
            </w:hyperlink>
            <w:r w:rsidR="001D29D5" w:rsidRPr="001D29D5">
              <w:rPr>
                <w:rFonts w:ascii="Times New Roman" w:hAnsi="Times New Roman" w:cs="Times New Roman"/>
                <w:color w:val="auto"/>
                <w:sz w:val="20"/>
                <w:szCs w:val="20"/>
              </w:rPr>
              <w:t xml:space="preserve">) and the </w:t>
            </w:r>
            <w:r w:rsidR="001D29D5" w:rsidRPr="001D29D5">
              <w:rPr>
                <w:rFonts w:ascii="Times New Roman" w:hAnsi="Times New Roman" w:cs="Times New Roman"/>
                <w:i/>
                <w:color w:val="auto"/>
                <w:sz w:val="20"/>
                <w:szCs w:val="20"/>
              </w:rPr>
              <w:t>Modeling the Impact of Rotavirus Vaccination in GAVI Countries</w:t>
            </w:r>
            <w:r w:rsidR="001D29D5" w:rsidRPr="001D29D5">
              <w:rPr>
                <w:rFonts w:ascii="Times New Roman" w:hAnsi="Times New Roman" w:cs="Times New Roman"/>
                <w:color w:val="auto"/>
                <w:sz w:val="20"/>
                <w:szCs w:val="20"/>
              </w:rPr>
              <w:t xml:space="preserve"> project supported by Imperial College London (</w:t>
            </w:r>
            <w:hyperlink r:id="rId9" w:history="1">
              <w:r w:rsidR="001D29D5" w:rsidRPr="001D29D5">
                <w:rPr>
                  <w:rStyle w:val="Hyperlink"/>
                  <w:rFonts w:ascii="Times New Roman" w:hAnsi="Times New Roman" w:cs="Times New Roman"/>
                  <w:sz w:val="20"/>
                  <w:szCs w:val="20"/>
                </w:rPr>
                <w:t>https://www.imperial.ac.uk</w:t>
              </w:r>
            </w:hyperlink>
            <w:r w:rsidR="001D29D5" w:rsidRPr="001D29D5">
              <w:rPr>
                <w:rFonts w:ascii="Times New Roman" w:hAnsi="Times New Roman" w:cs="Times New Roman"/>
                <w:color w:val="auto"/>
                <w:sz w:val="20"/>
                <w:szCs w:val="20"/>
              </w:rPr>
              <w:t>). The funders had no role in study design, data collection and analysis, decision to publish, or preparation of the manuscript.</w:t>
            </w:r>
            <w:r w:rsidRPr="001D29D5">
              <w:rPr>
                <w:rFonts w:ascii="Times New Roman" w:hAnsi="Times New Roman" w:cs="Times New Roman"/>
                <w:color w:val="auto"/>
                <w:sz w:val="20"/>
                <w:szCs w:val="20"/>
              </w:rPr>
              <w:t>”</w:t>
            </w:r>
          </w:p>
          <w:p w:rsidR="008455BB" w:rsidRPr="008455BB" w:rsidRDefault="008455BB" w:rsidP="008455BB">
            <w:pPr>
              <w:tabs>
                <w:tab w:val="left" w:pos="5400"/>
              </w:tabs>
              <w:spacing w:line="240" w:lineRule="auto"/>
              <w:rPr>
                <w:sz w:val="20"/>
              </w:rPr>
            </w:pPr>
          </w:p>
        </w:tc>
        <w:tc>
          <w:tcPr>
            <w:tcW w:w="0" w:type="auto"/>
            <w:tcBorders>
              <w:top w:val="single" w:sz="4" w:space="0" w:color="auto"/>
              <w:left w:val="single" w:sz="4" w:space="0" w:color="auto"/>
              <w:bottom w:val="single" w:sz="4" w:space="0" w:color="auto"/>
            </w:tcBorders>
          </w:tcPr>
          <w:p w:rsidR="00F968F7" w:rsidRDefault="00F968F7" w:rsidP="00077147">
            <w:pPr>
              <w:tabs>
                <w:tab w:val="left" w:pos="5400"/>
              </w:tabs>
              <w:spacing w:line="240" w:lineRule="auto"/>
              <w:rPr>
                <w:sz w:val="20"/>
              </w:rPr>
            </w:pPr>
          </w:p>
          <w:p w:rsidR="008455BB" w:rsidRDefault="008455BB" w:rsidP="00077147">
            <w:pPr>
              <w:tabs>
                <w:tab w:val="left" w:pos="5400"/>
              </w:tabs>
              <w:spacing w:line="240" w:lineRule="auto"/>
              <w:rPr>
                <w:sz w:val="20"/>
              </w:rPr>
            </w:pPr>
          </w:p>
          <w:p w:rsidR="008455BB" w:rsidRDefault="008455BB" w:rsidP="00077147">
            <w:pPr>
              <w:tabs>
                <w:tab w:val="left" w:pos="5400"/>
              </w:tabs>
              <w:spacing w:line="240" w:lineRule="auto"/>
              <w:rPr>
                <w:sz w:val="20"/>
              </w:rPr>
            </w:pPr>
          </w:p>
          <w:p w:rsidR="008455BB" w:rsidRDefault="008455BB" w:rsidP="00077147">
            <w:pPr>
              <w:tabs>
                <w:tab w:val="left" w:pos="5400"/>
              </w:tabs>
              <w:spacing w:line="240" w:lineRule="auto"/>
              <w:rPr>
                <w:sz w:val="20"/>
              </w:rPr>
            </w:pPr>
          </w:p>
          <w:p w:rsidR="008455BB" w:rsidRDefault="008455BB" w:rsidP="00077147">
            <w:pPr>
              <w:tabs>
                <w:tab w:val="left" w:pos="5400"/>
              </w:tabs>
              <w:spacing w:line="240" w:lineRule="auto"/>
              <w:rPr>
                <w:sz w:val="20"/>
              </w:rPr>
            </w:pPr>
          </w:p>
          <w:p w:rsidR="008455BB" w:rsidRPr="0022554A" w:rsidRDefault="008455BB" w:rsidP="00077147">
            <w:pPr>
              <w:tabs>
                <w:tab w:val="left" w:pos="5400"/>
              </w:tabs>
              <w:spacing w:line="240" w:lineRule="auto"/>
              <w:rPr>
                <w:sz w:val="20"/>
              </w:rPr>
            </w:pPr>
            <w:r>
              <w:rPr>
                <w:sz w:val="20"/>
              </w:rPr>
              <w:t>Funding disclosure statement</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w:t>
      </w:r>
      <w:r w:rsidRPr="002602FB">
        <w:rPr>
          <w:sz w:val="20"/>
        </w:rPr>
        <w:lastRenderedPageBreak/>
        <w:t>http://www.annals.org/, and Epidemiology at http://www.epidem.com/). Information on the STROBE Initiative is available at www.strobe-statement.org.</w:t>
      </w:r>
    </w:p>
    <w:sectPr w:rsidR="00A42352" w:rsidRPr="002602FB" w:rsidSect="002602FB">
      <w:footerReference w:type="even" r:id="rId10"/>
      <w:footerReference w:type="default" r:id="rId11"/>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954" w:rsidRDefault="00931954">
      <w:r>
        <w:separator/>
      </w:r>
    </w:p>
  </w:endnote>
  <w:endnote w:type="continuationSeparator" w:id="0">
    <w:p w:rsidR="00931954" w:rsidRDefault="0093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F23" w:rsidRDefault="00007F23"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7F23" w:rsidRDefault="00007F23"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F23" w:rsidRDefault="00007F2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07F23" w:rsidRDefault="00007F23"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954" w:rsidRDefault="00931954">
      <w:r>
        <w:separator/>
      </w:r>
    </w:p>
  </w:footnote>
  <w:footnote w:type="continuationSeparator" w:id="0">
    <w:p w:rsidR="00931954" w:rsidRDefault="00931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0D22E8C"/>
    <w:multiLevelType w:val="hybridMultilevel"/>
    <w:tmpl w:val="59FCA79E"/>
    <w:lvl w:ilvl="0" w:tplc="591CE99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ED3405"/>
    <w:multiLevelType w:val="hybridMultilevel"/>
    <w:tmpl w:val="561CEBD2"/>
    <w:lvl w:ilvl="0" w:tplc="791A5B4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5B3970C4"/>
    <w:multiLevelType w:val="hybridMultilevel"/>
    <w:tmpl w:val="99561130"/>
    <w:lvl w:ilvl="0" w:tplc="312A852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C246168"/>
    <w:multiLevelType w:val="hybridMultilevel"/>
    <w:tmpl w:val="B4969696"/>
    <w:lvl w:ilvl="0" w:tplc="E930880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4"/>
  </w:num>
  <w:num w:numId="2">
    <w:abstractNumId w:val="11"/>
  </w:num>
  <w:num w:numId="3">
    <w:abstractNumId w:val="20"/>
  </w:num>
  <w:num w:numId="4">
    <w:abstractNumId w:val="17"/>
  </w:num>
  <w:num w:numId="5">
    <w:abstractNumId w:val="16"/>
  </w:num>
  <w:num w:numId="6">
    <w:abstractNumId w:val="22"/>
  </w:num>
  <w:num w:numId="7">
    <w:abstractNumId w:val="10"/>
  </w:num>
  <w:num w:numId="8">
    <w:abstractNumId w:val="13"/>
  </w:num>
  <w:num w:numId="9">
    <w:abstractNumId w:val="9"/>
  </w:num>
  <w:num w:numId="10">
    <w:abstractNumId w:val="15"/>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num>
  <w:num w:numId="22">
    <w:abstractNumId w:val="23"/>
  </w:num>
  <w:num w:numId="23">
    <w:abstractNumId w:val="19"/>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1141"/>
    <w:rsid w:val="00002974"/>
    <w:rsid w:val="00005F0F"/>
    <w:rsid w:val="00007F23"/>
    <w:rsid w:val="00011B25"/>
    <w:rsid w:val="00023515"/>
    <w:rsid w:val="00075E3C"/>
    <w:rsid w:val="00077147"/>
    <w:rsid w:val="00093E3A"/>
    <w:rsid w:val="000B6FD4"/>
    <w:rsid w:val="000E691B"/>
    <w:rsid w:val="000F26ED"/>
    <w:rsid w:val="001023BA"/>
    <w:rsid w:val="00105B47"/>
    <w:rsid w:val="00110BFB"/>
    <w:rsid w:val="0011509F"/>
    <w:rsid w:val="00134AAC"/>
    <w:rsid w:val="001775FD"/>
    <w:rsid w:val="00183FA6"/>
    <w:rsid w:val="001A495C"/>
    <w:rsid w:val="001A75E9"/>
    <w:rsid w:val="001D29D5"/>
    <w:rsid w:val="001E02AD"/>
    <w:rsid w:val="001F0F8B"/>
    <w:rsid w:val="0021265E"/>
    <w:rsid w:val="00215E03"/>
    <w:rsid w:val="00224268"/>
    <w:rsid w:val="0022554A"/>
    <w:rsid w:val="00226A29"/>
    <w:rsid w:val="002552FD"/>
    <w:rsid w:val="00257BE0"/>
    <w:rsid w:val="002602FB"/>
    <w:rsid w:val="00261A4C"/>
    <w:rsid w:val="00295ED6"/>
    <w:rsid w:val="002A7573"/>
    <w:rsid w:val="002B385C"/>
    <w:rsid w:val="002C731D"/>
    <w:rsid w:val="002D06D0"/>
    <w:rsid w:val="002D1ABE"/>
    <w:rsid w:val="002F1A87"/>
    <w:rsid w:val="00300FC9"/>
    <w:rsid w:val="003354B7"/>
    <w:rsid w:val="003508EF"/>
    <w:rsid w:val="00350D5E"/>
    <w:rsid w:val="00372129"/>
    <w:rsid w:val="00385050"/>
    <w:rsid w:val="003A3FDD"/>
    <w:rsid w:val="003D44FB"/>
    <w:rsid w:val="003E2BF3"/>
    <w:rsid w:val="00404D2C"/>
    <w:rsid w:val="004060E6"/>
    <w:rsid w:val="004243C8"/>
    <w:rsid w:val="00425373"/>
    <w:rsid w:val="0045419E"/>
    <w:rsid w:val="0045734B"/>
    <w:rsid w:val="00465542"/>
    <w:rsid w:val="00472DF5"/>
    <w:rsid w:val="00495204"/>
    <w:rsid w:val="004A31B3"/>
    <w:rsid w:val="004A7100"/>
    <w:rsid w:val="004C2133"/>
    <w:rsid w:val="004E1263"/>
    <w:rsid w:val="00502C91"/>
    <w:rsid w:val="005044A6"/>
    <w:rsid w:val="00521012"/>
    <w:rsid w:val="00532B75"/>
    <w:rsid w:val="00535F6E"/>
    <w:rsid w:val="00590F64"/>
    <w:rsid w:val="005923E5"/>
    <w:rsid w:val="0059303E"/>
    <w:rsid w:val="005A3FF5"/>
    <w:rsid w:val="005B567D"/>
    <w:rsid w:val="005D0CFC"/>
    <w:rsid w:val="005D19F4"/>
    <w:rsid w:val="005F254A"/>
    <w:rsid w:val="005F4C90"/>
    <w:rsid w:val="00606B93"/>
    <w:rsid w:val="006123D8"/>
    <w:rsid w:val="0061634F"/>
    <w:rsid w:val="00620505"/>
    <w:rsid w:val="0065592C"/>
    <w:rsid w:val="0065605F"/>
    <w:rsid w:val="0065657F"/>
    <w:rsid w:val="00662E35"/>
    <w:rsid w:val="00666336"/>
    <w:rsid w:val="00683E42"/>
    <w:rsid w:val="00685455"/>
    <w:rsid w:val="006A2F18"/>
    <w:rsid w:val="006A5DD9"/>
    <w:rsid w:val="006B2915"/>
    <w:rsid w:val="006B56D7"/>
    <w:rsid w:val="006C0B63"/>
    <w:rsid w:val="006C7601"/>
    <w:rsid w:val="006D16AA"/>
    <w:rsid w:val="006F66AC"/>
    <w:rsid w:val="0070041F"/>
    <w:rsid w:val="00701AC5"/>
    <w:rsid w:val="00711D81"/>
    <w:rsid w:val="0071459B"/>
    <w:rsid w:val="0074576C"/>
    <w:rsid w:val="00754BA5"/>
    <w:rsid w:val="007562C3"/>
    <w:rsid w:val="007B0F33"/>
    <w:rsid w:val="007C72F6"/>
    <w:rsid w:val="00816966"/>
    <w:rsid w:val="00817D26"/>
    <w:rsid w:val="00821CD4"/>
    <w:rsid w:val="008423A7"/>
    <w:rsid w:val="008440CC"/>
    <w:rsid w:val="0084539C"/>
    <w:rsid w:val="008455BB"/>
    <w:rsid w:val="0089107E"/>
    <w:rsid w:val="00891604"/>
    <w:rsid w:val="008D225B"/>
    <w:rsid w:val="009161F9"/>
    <w:rsid w:val="00921BF8"/>
    <w:rsid w:val="00931954"/>
    <w:rsid w:val="009367F9"/>
    <w:rsid w:val="00956643"/>
    <w:rsid w:val="009642BE"/>
    <w:rsid w:val="009872CC"/>
    <w:rsid w:val="009B10F1"/>
    <w:rsid w:val="009B368D"/>
    <w:rsid w:val="009B703F"/>
    <w:rsid w:val="009C24D4"/>
    <w:rsid w:val="009E0429"/>
    <w:rsid w:val="009F5211"/>
    <w:rsid w:val="00A407F3"/>
    <w:rsid w:val="00A42352"/>
    <w:rsid w:val="00A527E4"/>
    <w:rsid w:val="00A5640D"/>
    <w:rsid w:val="00A729D6"/>
    <w:rsid w:val="00A9229F"/>
    <w:rsid w:val="00A938BF"/>
    <w:rsid w:val="00AC0A39"/>
    <w:rsid w:val="00AE2C57"/>
    <w:rsid w:val="00AE72E8"/>
    <w:rsid w:val="00AF4615"/>
    <w:rsid w:val="00B04B4C"/>
    <w:rsid w:val="00B14D82"/>
    <w:rsid w:val="00B50DF8"/>
    <w:rsid w:val="00B54EA0"/>
    <w:rsid w:val="00B60EFB"/>
    <w:rsid w:val="00B65366"/>
    <w:rsid w:val="00B77807"/>
    <w:rsid w:val="00B940E9"/>
    <w:rsid w:val="00BA1206"/>
    <w:rsid w:val="00BC32CD"/>
    <w:rsid w:val="00BC7FE6"/>
    <w:rsid w:val="00BE3709"/>
    <w:rsid w:val="00C03FBE"/>
    <w:rsid w:val="00C11013"/>
    <w:rsid w:val="00C26EA1"/>
    <w:rsid w:val="00C7030A"/>
    <w:rsid w:val="00C943EB"/>
    <w:rsid w:val="00CA61E2"/>
    <w:rsid w:val="00CB6CC8"/>
    <w:rsid w:val="00CC4C93"/>
    <w:rsid w:val="00CD35DA"/>
    <w:rsid w:val="00CD3ED4"/>
    <w:rsid w:val="00CE4480"/>
    <w:rsid w:val="00D120D2"/>
    <w:rsid w:val="00D20D7C"/>
    <w:rsid w:val="00D26FCA"/>
    <w:rsid w:val="00D52837"/>
    <w:rsid w:val="00D6152F"/>
    <w:rsid w:val="00D626E0"/>
    <w:rsid w:val="00D6407C"/>
    <w:rsid w:val="00D87AF7"/>
    <w:rsid w:val="00DA120C"/>
    <w:rsid w:val="00DC17B8"/>
    <w:rsid w:val="00DC4BEF"/>
    <w:rsid w:val="00E10319"/>
    <w:rsid w:val="00E10628"/>
    <w:rsid w:val="00E144CD"/>
    <w:rsid w:val="00E154B4"/>
    <w:rsid w:val="00E2292B"/>
    <w:rsid w:val="00E813B5"/>
    <w:rsid w:val="00EA6E28"/>
    <w:rsid w:val="00EF36A6"/>
    <w:rsid w:val="00EF3861"/>
    <w:rsid w:val="00F03A0D"/>
    <w:rsid w:val="00F0752A"/>
    <w:rsid w:val="00F17A68"/>
    <w:rsid w:val="00F378D0"/>
    <w:rsid w:val="00F6742C"/>
    <w:rsid w:val="00F76668"/>
    <w:rsid w:val="00F76A7F"/>
    <w:rsid w:val="00F83260"/>
    <w:rsid w:val="00F838E1"/>
    <w:rsid w:val="00F842DC"/>
    <w:rsid w:val="00F873C9"/>
    <w:rsid w:val="00F876FF"/>
    <w:rsid w:val="00F93A89"/>
    <w:rsid w:val="00F968F7"/>
    <w:rsid w:val="00F970FA"/>
    <w:rsid w:val="00FA2721"/>
    <w:rsid w:val="00FA3D11"/>
    <w:rsid w:val="00FF24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B5D60"/>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link w:val="CommentTextChar"/>
    <w:uiPriority w:val="99"/>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uiPriority w:val="99"/>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606B93"/>
    <w:pPr>
      <w:ind w:left="720"/>
      <w:contextualSpacing/>
    </w:pPr>
  </w:style>
  <w:style w:type="paragraph" w:customStyle="1" w:styleId="Normal1">
    <w:name w:val="Normal1"/>
    <w:rsid w:val="00606B93"/>
    <w:pPr>
      <w:spacing w:line="276" w:lineRule="auto"/>
    </w:pPr>
    <w:rPr>
      <w:rFonts w:ascii="Arial" w:eastAsia="Arial" w:hAnsi="Arial" w:cs="Arial"/>
      <w:color w:val="000000"/>
      <w:sz w:val="22"/>
      <w:szCs w:val="22"/>
      <w:lang w:val="en-US" w:eastAsia="en-US"/>
    </w:rPr>
  </w:style>
  <w:style w:type="character" w:customStyle="1" w:styleId="CommentTextChar">
    <w:name w:val="Comment Text Char"/>
    <w:basedOn w:val="DefaultParagraphFont"/>
    <w:link w:val="CommentText"/>
    <w:uiPriority w:val="99"/>
    <w:rsid w:val="00105B4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oer.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duateschool.emor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mperial.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2</TotalTime>
  <Pages>12</Pages>
  <Words>10875</Words>
  <Characters>61990</Characters>
  <Application>Microsoft Office Word</Application>
  <DocSecurity>0</DocSecurity>
  <Lines>516</Lines>
  <Paragraphs>145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72720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Julia Baker</cp:lastModifiedBy>
  <cp:revision>2</cp:revision>
  <cp:lastPrinted>2007-09-19T09:02:00Z</cp:lastPrinted>
  <dcterms:created xsi:type="dcterms:W3CDTF">2019-11-20T22:36:00Z</dcterms:created>
  <dcterms:modified xsi:type="dcterms:W3CDTF">2019-11-20T22:36:00Z</dcterms:modified>
</cp:coreProperties>
</file>