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4CC09" w14:textId="27B47900" w:rsidR="00FC70C6" w:rsidRDefault="00D27B39" w:rsidP="007C77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2BFC7" wp14:editId="17ED450C">
            <wp:extent cx="6400800" cy="41567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 Fig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97F7" w14:textId="19F604CB" w:rsidR="008B3BAD" w:rsidRPr="00AF5299" w:rsidRDefault="007C7765" w:rsidP="00AF5299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8E6A46">
        <w:rPr>
          <w:rFonts w:ascii="Times New Roman" w:hAnsi="Times New Roman" w:cs="Times New Roman"/>
          <w:b/>
          <w:sz w:val="24"/>
          <w:szCs w:val="24"/>
        </w:rPr>
        <w:t>Supp</w:t>
      </w:r>
      <w:r w:rsidR="008E6A46" w:rsidRPr="008E6A46">
        <w:rPr>
          <w:rFonts w:ascii="Times New Roman" w:hAnsi="Times New Roman" w:cs="Times New Roman"/>
          <w:b/>
          <w:sz w:val="24"/>
          <w:szCs w:val="24"/>
        </w:rPr>
        <w:t>lemental</w:t>
      </w:r>
      <w:r w:rsidRPr="008E6A46">
        <w:rPr>
          <w:rFonts w:ascii="Times New Roman" w:hAnsi="Times New Roman" w:cs="Times New Roman"/>
          <w:b/>
          <w:sz w:val="24"/>
          <w:szCs w:val="24"/>
        </w:rPr>
        <w:t xml:space="preserve"> Fig</w:t>
      </w:r>
      <w:r w:rsidR="008E6A46" w:rsidRPr="008E6A46">
        <w:rPr>
          <w:rFonts w:ascii="Times New Roman" w:hAnsi="Times New Roman" w:cs="Times New Roman"/>
          <w:b/>
          <w:sz w:val="24"/>
          <w:szCs w:val="24"/>
        </w:rPr>
        <w:t>ure</w:t>
      </w:r>
      <w:r w:rsidRPr="008E6A46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="008E6A46" w:rsidRPr="008E6A46">
        <w:rPr>
          <w:rFonts w:ascii="Times New Roman" w:hAnsi="Times New Roman" w:cs="Times New Roman"/>
          <w:b/>
          <w:sz w:val="24"/>
          <w:szCs w:val="24"/>
        </w:rPr>
        <w:t xml:space="preserve">  Caspase-1 specific inhibitor reduces increase in luminescence due to triclosan exposure.</w:t>
      </w:r>
      <w:r w:rsidRPr="008E6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6267">
        <w:rPr>
          <w:rFonts w:ascii="Times New Roman" w:hAnsi="Times New Roman" w:cs="Times New Roman"/>
          <w:sz w:val="24"/>
          <w:szCs w:val="24"/>
        </w:rPr>
        <w:t xml:space="preserve">Mice were exposed </w:t>
      </w:r>
      <w:r w:rsidR="00AF5299">
        <w:rPr>
          <w:rFonts w:ascii="Times New Roman" w:hAnsi="Times New Roman" w:cs="Times New Roman"/>
          <w:sz w:val="24"/>
          <w:szCs w:val="24"/>
        </w:rPr>
        <w:t>to acetone vehicle contro</w:t>
      </w:r>
      <w:r w:rsidR="00D27B39">
        <w:rPr>
          <w:rFonts w:ascii="Times New Roman" w:hAnsi="Times New Roman" w:cs="Times New Roman"/>
          <w:sz w:val="24"/>
          <w:szCs w:val="24"/>
        </w:rPr>
        <w:t xml:space="preserve">l, 1.5 or </w:t>
      </w:r>
      <w:r w:rsidR="00AF5299">
        <w:rPr>
          <w:rFonts w:ascii="Times New Roman" w:hAnsi="Times New Roman" w:cs="Times New Roman"/>
          <w:sz w:val="24"/>
          <w:szCs w:val="24"/>
        </w:rPr>
        <w:t>3% triclosan for four days.  D</w:t>
      </w:r>
      <w:r w:rsidR="00D16267">
        <w:rPr>
          <w:rFonts w:ascii="Times New Roman" w:hAnsi="Times New Roman" w:cs="Times New Roman"/>
          <w:sz w:val="24"/>
          <w:szCs w:val="24"/>
        </w:rPr>
        <w:t>LN</w:t>
      </w:r>
      <w:r w:rsidR="00AF5299">
        <w:rPr>
          <w:rFonts w:ascii="Times New Roman" w:hAnsi="Times New Roman" w:cs="Times New Roman"/>
          <w:sz w:val="24"/>
          <w:szCs w:val="24"/>
        </w:rPr>
        <w:t>s were</w:t>
      </w:r>
      <w:r w:rsidR="00D16267">
        <w:rPr>
          <w:rFonts w:ascii="Times New Roman" w:hAnsi="Times New Roman" w:cs="Times New Roman"/>
          <w:sz w:val="24"/>
          <w:szCs w:val="24"/>
        </w:rPr>
        <w:t xml:space="preserve"> collected and processed as described in methods section</w:t>
      </w:r>
      <w:r w:rsidR="008E6A46">
        <w:rPr>
          <w:rFonts w:ascii="Times New Roman" w:hAnsi="Times New Roman" w:cs="Times New Roman"/>
          <w:sz w:val="24"/>
          <w:szCs w:val="24"/>
        </w:rPr>
        <w:t xml:space="preserve">.  </w:t>
      </w:r>
      <w:r w:rsidR="008E6A46" w:rsidRPr="00FF148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Caspase-1 activation was assayed via Promega Caspase-Glo 1 Inflammasome kit instructions.  After single cell preparation, 50,000 </w:t>
      </w:r>
      <w:proofErr w:type="spellStart"/>
      <w:r w:rsidR="008E6A46" w:rsidRPr="00FF148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dLN</w:t>
      </w:r>
      <w:proofErr w:type="spellEnd"/>
      <w:r w:rsidR="008E6A46" w:rsidRPr="00FF148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cells/well were plated in a Greiner white, solid bottom 96-well plate.  Caspase-Glo reagent was prepared by </w:t>
      </w:r>
      <w:r w:rsidR="005D50E9" w:rsidRPr="00FF148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manufacture</w:t>
      </w:r>
      <w:r w:rsidR="005D50E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r</w:t>
      </w:r>
      <w:r w:rsidR="005D50E9" w:rsidRPr="00FF148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’s</w:t>
      </w:r>
      <w:r w:rsidR="008E6A46" w:rsidRPr="00FF1488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instructions and added to plate containing the cells.  </w:t>
      </w:r>
      <w:r w:rsidR="008E6A4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A</w:t>
      </w:r>
      <w:r w:rsidR="008E6A46" w:rsidRPr="008E6A4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ddition of the caspase-1 specific inhibitor Ac-YVAD-CHO was added to the </w:t>
      </w:r>
      <w:r w:rsidR="008E6A4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cell </w:t>
      </w:r>
      <w:r w:rsidR="008E6A46" w:rsidRPr="008E6A4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samples</w:t>
      </w:r>
      <w:r w:rsidR="008E6A4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that had been </w:t>
      </w:r>
      <w:r w:rsidR="00D1626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exposed to triclosan </w:t>
      </w:r>
      <w:r w:rsidR="00D16267" w:rsidRPr="00D16267"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>in vivo</w:t>
      </w:r>
      <w:r w:rsidR="008E6A46" w:rsidRPr="008E6A4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  Triclosan exposure plus the inhibitor showed a significant decrease in luminescence compared to triclosan alone.  Triclosan + inhi</w:t>
      </w:r>
      <w:bookmarkStart w:id="0" w:name="_GoBack"/>
      <w:bookmarkEnd w:id="0"/>
      <w:r w:rsidR="008E6A46" w:rsidRPr="008E6A4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bitor luminescence values were back down to control levels, showing no significant difference between control and triclosan + inhibitor samples, indicating the increase in luminescence is due to caspase-1 activity.</w:t>
      </w:r>
      <w:r w:rsidR="00D1626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 </w:t>
      </w:r>
      <w:r w:rsidR="00D16267" w:rsidRPr="00D1626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Each concentration represents mean (± SEM) of</w:t>
      </w:r>
      <w:r w:rsidR="00D27B3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D16267" w:rsidRPr="00D1626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5 mice per group.  Statistical significance, relative to the corresponding days 0% VC, was determined by one-way ANOVA followed by Dunnett’s post-test indicated as </w:t>
      </w:r>
      <w:r w:rsidR="009E072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*</w:t>
      </w:r>
      <w:r w:rsidR="00D16267" w:rsidRPr="00D1626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**p&lt;0.0</w:t>
      </w:r>
      <w:r w:rsidR="009E072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</w:t>
      </w:r>
      <w:r w:rsidR="00D16267" w:rsidRPr="00D1626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1.</w:t>
      </w:r>
    </w:p>
    <w:p w14:paraId="51A761AC" w14:textId="166D23EE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0825B8" w14:textId="344ED4F9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4D1186" wp14:editId="0A34A10E">
            <wp:extent cx="6400800" cy="2818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. Fig. 2.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4A91" w14:textId="2013455E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58F23B" w14:textId="5551750F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04A00F" w14:textId="6167DD7A" w:rsidR="00AF795A" w:rsidRDefault="0091607C" w:rsidP="00CF40A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F40AE">
        <w:rPr>
          <w:rFonts w:ascii="Times New Roman" w:hAnsi="Times New Roman" w:cs="Times New Roman"/>
          <w:b/>
          <w:sz w:val="24"/>
          <w:szCs w:val="24"/>
        </w:rPr>
        <w:t>Supp</w:t>
      </w:r>
      <w:r w:rsidR="00AF5299" w:rsidRPr="00CF40AE">
        <w:rPr>
          <w:rFonts w:ascii="Times New Roman" w:hAnsi="Times New Roman" w:cs="Times New Roman"/>
          <w:b/>
          <w:sz w:val="24"/>
          <w:szCs w:val="24"/>
        </w:rPr>
        <w:t>lemental</w:t>
      </w:r>
      <w:r w:rsidRPr="00CF40AE">
        <w:rPr>
          <w:rFonts w:ascii="Times New Roman" w:hAnsi="Times New Roman" w:cs="Times New Roman"/>
          <w:b/>
          <w:sz w:val="24"/>
          <w:szCs w:val="24"/>
        </w:rPr>
        <w:t xml:space="preserve"> Fig</w:t>
      </w:r>
      <w:r w:rsidR="00AF5299" w:rsidRPr="00CF40AE">
        <w:rPr>
          <w:rFonts w:ascii="Times New Roman" w:hAnsi="Times New Roman" w:cs="Times New Roman"/>
          <w:b/>
          <w:sz w:val="24"/>
          <w:szCs w:val="24"/>
        </w:rPr>
        <w:t>ure</w:t>
      </w:r>
      <w:r w:rsidRPr="00CF40AE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CF40AE" w:rsidRPr="00CF40AE">
        <w:rPr>
          <w:rFonts w:ascii="Times New Roman" w:hAnsi="Times New Roman" w:cs="Times New Roman"/>
          <w:b/>
          <w:sz w:val="24"/>
          <w:szCs w:val="24"/>
        </w:rPr>
        <w:t xml:space="preserve">  Representative flow plots of neutrophil (A) and macrophage (B) gating in </w:t>
      </w:r>
      <w:proofErr w:type="spellStart"/>
      <w:r w:rsidR="00CF40AE" w:rsidRPr="00CF40AE">
        <w:rPr>
          <w:rFonts w:ascii="Times New Roman" w:hAnsi="Times New Roman" w:cs="Times New Roman"/>
          <w:b/>
          <w:sz w:val="24"/>
          <w:szCs w:val="24"/>
        </w:rPr>
        <w:t>dLNs</w:t>
      </w:r>
      <w:proofErr w:type="spellEnd"/>
      <w:r w:rsidR="00CF40AE" w:rsidRPr="00CF40AE">
        <w:rPr>
          <w:rFonts w:ascii="Times New Roman" w:hAnsi="Times New Roman" w:cs="Times New Roman"/>
          <w:b/>
          <w:sz w:val="24"/>
          <w:szCs w:val="24"/>
        </w:rPr>
        <w:t>.</w:t>
      </w:r>
      <w:r w:rsidR="00CF40AE">
        <w:rPr>
          <w:rFonts w:ascii="Times New Roman" w:hAnsi="Times New Roman" w:cs="Times New Roman"/>
          <w:sz w:val="24"/>
          <w:szCs w:val="24"/>
        </w:rPr>
        <w:t xml:space="preserve">  Doublet exclusion gating was performed prior to gating steps shown.  Cells were first gated on CD45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F40AE">
        <w:rPr>
          <w:rFonts w:ascii="Times New Roman" w:hAnsi="Times New Roman" w:cs="Times New Roman"/>
          <w:sz w:val="24"/>
          <w:szCs w:val="24"/>
        </w:rPr>
        <w:t xml:space="preserve"> cells, followed by gating on CD45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F40AE">
        <w:rPr>
          <w:rFonts w:ascii="Times New Roman" w:hAnsi="Times New Roman" w:cs="Times New Roman"/>
          <w:sz w:val="24"/>
          <w:szCs w:val="24"/>
        </w:rPr>
        <w:t xml:space="preserve"> granulocytes, these cells were then gated for CD3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CF40AE">
        <w:rPr>
          <w:rFonts w:ascii="Times New Roman" w:hAnsi="Times New Roman" w:cs="Times New Roman"/>
          <w:sz w:val="24"/>
          <w:szCs w:val="24"/>
        </w:rPr>
        <w:t xml:space="preserve"> granulocytes.  Neutrophils were then defined as CD11b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F40AE">
        <w:rPr>
          <w:rFonts w:ascii="Times New Roman" w:hAnsi="Times New Roman" w:cs="Times New Roman"/>
          <w:sz w:val="24"/>
          <w:szCs w:val="24"/>
        </w:rPr>
        <w:t>Ly6G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F40AE">
        <w:rPr>
          <w:rFonts w:ascii="Times New Roman" w:hAnsi="Times New Roman" w:cs="Times New Roman"/>
          <w:sz w:val="24"/>
          <w:szCs w:val="24"/>
        </w:rPr>
        <w:t xml:space="preserve"> (A).  </w:t>
      </w:r>
      <w:r w:rsidR="003905AE">
        <w:rPr>
          <w:rFonts w:ascii="Times New Roman" w:hAnsi="Times New Roman" w:cs="Times New Roman"/>
          <w:sz w:val="24"/>
          <w:szCs w:val="24"/>
        </w:rPr>
        <w:t>Macrophages</w:t>
      </w:r>
      <w:r w:rsidR="00CF40AE">
        <w:rPr>
          <w:rFonts w:ascii="Times New Roman" w:hAnsi="Times New Roman" w:cs="Times New Roman"/>
          <w:sz w:val="24"/>
          <w:szCs w:val="24"/>
        </w:rPr>
        <w:t xml:space="preserve"> were further gated on CD169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CF40AE">
        <w:rPr>
          <w:rFonts w:ascii="Times New Roman" w:hAnsi="Times New Roman" w:cs="Times New Roman"/>
          <w:sz w:val="24"/>
          <w:szCs w:val="24"/>
        </w:rPr>
        <w:t>Ly6G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CF40AE">
        <w:rPr>
          <w:rFonts w:ascii="Times New Roman" w:hAnsi="Times New Roman" w:cs="Times New Roman"/>
          <w:sz w:val="24"/>
          <w:szCs w:val="24"/>
        </w:rPr>
        <w:t xml:space="preserve"> followed by CD11b</w:t>
      </w:r>
      <w:r w:rsidR="00CF40AE" w:rsidRPr="00CF40A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F40AE">
        <w:rPr>
          <w:rFonts w:ascii="Times New Roman" w:hAnsi="Times New Roman" w:cs="Times New Roman"/>
          <w:sz w:val="24"/>
          <w:szCs w:val="24"/>
        </w:rPr>
        <w:t xml:space="preserve"> (B).   </w:t>
      </w:r>
    </w:p>
    <w:p w14:paraId="72BE2C8E" w14:textId="04C02EAA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CAD299" w14:textId="77777777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DE06A1" w14:textId="4FB11332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3A54A8" w14:textId="5D5C82D3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F60855" w14:textId="3BECCAAC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27EE3F" w14:textId="1FE14C11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2BCC59" w14:textId="22DC1C38" w:rsidR="00AF795A" w:rsidRDefault="00674E45" w:rsidP="001F04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334970" wp14:editId="4E9DFDC7">
            <wp:extent cx="6400800" cy="40932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. Fig. 3.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B3A1" w14:textId="7F3F7C7C" w:rsidR="00674E45" w:rsidRDefault="00674E45" w:rsidP="001F04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C78060" w14:textId="1F82DA51" w:rsidR="00674E45" w:rsidRDefault="00674E45" w:rsidP="00674E4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F40AE">
        <w:rPr>
          <w:rFonts w:ascii="Times New Roman" w:hAnsi="Times New Roman" w:cs="Times New Roman"/>
          <w:b/>
          <w:sz w:val="24"/>
          <w:szCs w:val="24"/>
        </w:rPr>
        <w:t xml:space="preserve">Supplemental Figure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F40AE">
        <w:rPr>
          <w:rFonts w:ascii="Times New Roman" w:hAnsi="Times New Roman" w:cs="Times New Roman"/>
          <w:b/>
          <w:sz w:val="24"/>
          <w:szCs w:val="24"/>
        </w:rPr>
        <w:t xml:space="preserve">.  Representative flow plots of </w:t>
      </w:r>
      <w:r>
        <w:rPr>
          <w:rFonts w:ascii="Times New Roman" w:hAnsi="Times New Roman" w:cs="Times New Roman"/>
          <w:b/>
          <w:sz w:val="24"/>
          <w:szCs w:val="24"/>
        </w:rPr>
        <w:t>CD11b+ myeloid cells</w:t>
      </w:r>
      <w:r w:rsidRPr="00CF40AE">
        <w:rPr>
          <w:rFonts w:ascii="Times New Roman" w:hAnsi="Times New Roman" w:cs="Times New Roman"/>
          <w:b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 xml:space="preserve">inflammatory monocytes </w:t>
      </w:r>
      <w:r w:rsidRPr="00CF40AE">
        <w:rPr>
          <w:rFonts w:ascii="Times New Roman" w:hAnsi="Times New Roman" w:cs="Times New Roman"/>
          <w:b/>
          <w:sz w:val="24"/>
          <w:szCs w:val="24"/>
        </w:rPr>
        <w:t xml:space="preserve">gating in </w:t>
      </w:r>
      <w:r>
        <w:rPr>
          <w:rFonts w:ascii="Times New Roman" w:hAnsi="Times New Roman" w:cs="Times New Roman"/>
          <w:b/>
          <w:sz w:val="24"/>
          <w:szCs w:val="24"/>
        </w:rPr>
        <w:t>skin tissue</w:t>
      </w:r>
      <w:r w:rsidRPr="00CF40A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Doublet exclusion gating was performed prior to gating steps shown.  Cells were first gated on CD45</w:t>
      </w:r>
      <w:r w:rsidRPr="00CF40A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 followed by gating on CD3</w:t>
      </w:r>
      <w:r w:rsidRPr="00674E4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cells.  Next myeloid cells were defined as CD11b</w:t>
      </w:r>
      <w:r w:rsidRPr="00674E4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and inflammatory monocytes as CD11b</w:t>
      </w:r>
      <w:r w:rsidRPr="00674E4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Ly6C</w:t>
      </w:r>
      <w:r w:rsidRPr="00674E4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419791F7" w14:textId="77777777" w:rsidR="00674E45" w:rsidRDefault="00674E45" w:rsidP="001F04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13448F9" w14:textId="736B1F4D" w:rsidR="00AF795A" w:rsidRDefault="009C7281" w:rsidP="007C77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9CD317" wp14:editId="1DBBD93A">
            <wp:extent cx="6400800" cy="4706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. Fig. 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060A" w14:textId="5C8132F8" w:rsidR="00AF795A" w:rsidRDefault="00AF795A" w:rsidP="007C77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8D374C" w14:textId="4C9A7779" w:rsidR="00AF795A" w:rsidRPr="00AF4AD6" w:rsidRDefault="0081151B" w:rsidP="00C702E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F4AD6">
        <w:rPr>
          <w:rFonts w:ascii="Times New Roman" w:hAnsi="Times New Roman" w:cs="Times New Roman"/>
          <w:b/>
          <w:sz w:val="24"/>
          <w:szCs w:val="24"/>
        </w:rPr>
        <w:t xml:space="preserve">Supplemental Figure </w:t>
      </w:r>
      <w:r w:rsidR="00352112">
        <w:rPr>
          <w:rFonts w:ascii="Times New Roman" w:hAnsi="Times New Roman" w:cs="Times New Roman"/>
          <w:b/>
          <w:sz w:val="24"/>
          <w:szCs w:val="24"/>
        </w:rPr>
        <w:t>4</w:t>
      </w:r>
      <w:r w:rsidR="0091607C" w:rsidRPr="00AF4AD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F4A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AD6" w:rsidRPr="00AF4AD6">
        <w:rPr>
          <w:rFonts w:ascii="Times New Roman" w:hAnsi="Times New Roman" w:cs="Times New Roman"/>
          <w:b/>
          <w:sz w:val="24"/>
          <w:szCs w:val="24"/>
        </w:rPr>
        <w:t xml:space="preserve">There is no significant difference between </w:t>
      </w:r>
      <w:r w:rsidR="00CE46C2">
        <w:rPr>
          <w:rFonts w:ascii="Times New Roman" w:hAnsi="Times New Roman" w:cs="Times New Roman"/>
          <w:b/>
          <w:sz w:val="24"/>
          <w:szCs w:val="24"/>
        </w:rPr>
        <w:t>samples</w:t>
      </w:r>
      <w:r w:rsidR="00AF4AD6" w:rsidRPr="00AF4AD6">
        <w:rPr>
          <w:rFonts w:ascii="Times New Roman" w:hAnsi="Times New Roman" w:cs="Times New Roman"/>
          <w:b/>
          <w:sz w:val="24"/>
          <w:szCs w:val="24"/>
        </w:rPr>
        <w:t xml:space="preserve"> in the amount of total protein added to each capillary</w:t>
      </w:r>
      <w:r w:rsidR="00CE46C2">
        <w:rPr>
          <w:rFonts w:ascii="Times New Roman" w:hAnsi="Times New Roman" w:cs="Times New Roman"/>
          <w:b/>
          <w:sz w:val="24"/>
          <w:szCs w:val="24"/>
        </w:rPr>
        <w:t xml:space="preserve"> for Drp1 and Opa1</w:t>
      </w:r>
      <w:r w:rsidR="00AF4AD6" w:rsidRPr="00AF4AD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AF4AD6">
        <w:rPr>
          <w:rFonts w:ascii="Times New Roman" w:hAnsi="Times New Roman" w:cs="Times New Roman"/>
          <w:sz w:val="24"/>
          <w:szCs w:val="24"/>
        </w:rPr>
        <w:t xml:space="preserve">Total protein is recommended over housekeeping proteins for use as a loading control and normalization due to the housekeeping proteins not being as consistently expressed as previously thought </w:t>
      </w:r>
      <w:r w:rsidR="00BC7C7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PEVuZE5vdGU+PENpdGU+PEF1dGhvcj5Gb3Nhbmc8L0F1dGhvcj48WWVhcj4yMDE1PC9ZZWFyPjxS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</w:fldData>
        </w:fldChar>
      </w:r>
      <w:r w:rsidR="00BC7C7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C7C7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PEVuZE5vdGU+PENpdGU+PEF1dGhvcj5Gb3Nhbmc8L0F1dGhvcj48WWVhcj4yMDE1PC9ZZWFyPjxS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</w:fldData>
        </w:fldChar>
      </w:r>
      <w:r w:rsidR="00BC7C7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C7C78">
        <w:rPr>
          <w:rFonts w:ascii="Times New Roman" w:hAnsi="Times New Roman" w:cs="Times New Roman"/>
          <w:sz w:val="24"/>
          <w:szCs w:val="24"/>
        </w:rPr>
      </w:r>
      <w:r w:rsidR="00BC7C78">
        <w:rPr>
          <w:rFonts w:ascii="Times New Roman" w:hAnsi="Times New Roman" w:cs="Times New Roman"/>
          <w:sz w:val="24"/>
          <w:szCs w:val="24"/>
        </w:rPr>
        <w:fldChar w:fldCharType="end"/>
      </w:r>
      <w:r w:rsidR="00BC7C78">
        <w:rPr>
          <w:rFonts w:ascii="Times New Roman" w:hAnsi="Times New Roman" w:cs="Times New Roman"/>
          <w:sz w:val="24"/>
          <w:szCs w:val="24"/>
        </w:rPr>
      </w:r>
      <w:r w:rsidR="00BC7C78">
        <w:rPr>
          <w:rFonts w:ascii="Times New Roman" w:hAnsi="Times New Roman" w:cs="Times New Roman"/>
          <w:sz w:val="24"/>
          <w:szCs w:val="24"/>
        </w:rPr>
        <w:fldChar w:fldCharType="separate"/>
      </w:r>
      <w:r w:rsidR="00BC7C78">
        <w:rPr>
          <w:rFonts w:ascii="Times New Roman" w:hAnsi="Times New Roman" w:cs="Times New Roman"/>
          <w:noProof/>
          <w:sz w:val="24"/>
          <w:szCs w:val="24"/>
        </w:rPr>
        <w:t>(Fosang and Colbran 2015; Hu et al. 2016)</w:t>
      </w:r>
      <w:r w:rsidR="00BC7C78">
        <w:rPr>
          <w:rFonts w:ascii="Times New Roman" w:hAnsi="Times New Roman" w:cs="Times New Roman"/>
          <w:sz w:val="24"/>
          <w:szCs w:val="24"/>
        </w:rPr>
        <w:fldChar w:fldCharType="end"/>
      </w:r>
      <w:r w:rsidR="00AF4AD6">
        <w:rPr>
          <w:rFonts w:ascii="Times New Roman" w:hAnsi="Times New Roman" w:cs="Times New Roman"/>
          <w:sz w:val="24"/>
          <w:szCs w:val="24"/>
        </w:rPr>
        <w:t>.  Simple Western Total Protein Assay was run as recommended by the manufacturer</w:t>
      </w:r>
      <w:r w:rsidR="00C702E9">
        <w:rPr>
          <w:rFonts w:ascii="Times New Roman" w:hAnsi="Times New Roman" w:cs="Times New Roman"/>
          <w:sz w:val="24"/>
          <w:szCs w:val="24"/>
        </w:rPr>
        <w:t xml:space="preserve"> with both </w:t>
      </w:r>
      <w:proofErr w:type="spellStart"/>
      <w:r w:rsidR="00C702E9">
        <w:rPr>
          <w:rFonts w:ascii="Times New Roman" w:hAnsi="Times New Roman" w:cs="Times New Roman"/>
          <w:sz w:val="24"/>
          <w:szCs w:val="24"/>
        </w:rPr>
        <w:t>dLN</w:t>
      </w:r>
      <w:proofErr w:type="spellEnd"/>
      <w:r w:rsidR="00C702E9">
        <w:rPr>
          <w:rFonts w:ascii="Times New Roman" w:hAnsi="Times New Roman" w:cs="Times New Roman"/>
          <w:sz w:val="24"/>
          <w:szCs w:val="24"/>
        </w:rPr>
        <w:t xml:space="preserve"> (A, B) and </w:t>
      </w:r>
      <w:r w:rsidR="00A86A05">
        <w:rPr>
          <w:rFonts w:ascii="Times New Roman" w:hAnsi="Times New Roman" w:cs="Times New Roman"/>
          <w:sz w:val="24"/>
          <w:szCs w:val="24"/>
        </w:rPr>
        <w:t>Skin</w:t>
      </w:r>
      <w:r w:rsidR="00C702E9">
        <w:rPr>
          <w:rFonts w:ascii="Times New Roman" w:hAnsi="Times New Roman" w:cs="Times New Roman"/>
          <w:sz w:val="24"/>
          <w:szCs w:val="24"/>
        </w:rPr>
        <w:t xml:space="preserve"> (C, D) samples</w:t>
      </w:r>
      <w:r w:rsidR="00AF4AD6">
        <w:rPr>
          <w:rFonts w:ascii="Times New Roman" w:hAnsi="Times New Roman" w:cs="Times New Roman"/>
          <w:sz w:val="24"/>
          <w:szCs w:val="24"/>
        </w:rPr>
        <w:t xml:space="preserve">.  </w:t>
      </w:r>
      <w:r w:rsidR="00C702E9">
        <w:rPr>
          <w:rFonts w:ascii="Times New Roman" w:hAnsi="Times New Roman" w:cs="Times New Roman"/>
          <w:sz w:val="24"/>
          <w:szCs w:val="24"/>
        </w:rPr>
        <w:t xml:space="preserve">Total protein was run alongside each target protein, Drp1 (A, C) and Opa1 (B, D).  </w:t>
      </w:r>
      <w:r w:rsidR="00AF4AD6">
        <w:rPr>
          <w:rFonts w:ascii="Times New Roman" w:hAnsi="Times New Roman" w:cs="Times New Roman"/>
          <w:sz w:val="24"/>
          <w:szCs w:val="24"/>
        </w:rPr>
        <w:t>In the Compass software used for Simple Westerns, the Total Protein Assay was chosen</w:t>
      </w:r>
      <w:r w:rsidR="00C702E9">
        <w:rPr>
          <w:rFonts w:ascii="Times New Roman" w:hAnsi="Times New Roman" w:cs="Times New Roman"/>
          <w:sz w:val="24"/>
          <w:szCs w:val="24"/>
        </w:rPr>
        <w:t xml:space="preserve">.  The assay was run and analyzed as in the methods section.  No significant difference in </w:t>
      </w:r>
      <w:r w:rsidR="00581D3C">
        <w:rPr>
          <w:rFonts w:ascii="Times New Roman" w:hAnsi="Times New Roman" w:cs="Times New Roman"/>
          <w:sz w:val="24"/>
          <w:szCs w:val="24"/>
        </w:rPr>
        <w:t>T</w:t>
      </w:r>
      <w:r w:rsidR="00C702E9">
        <w:rPr>
          <w:rFonts w:ascii="Times New Roman" w:hAnsi="Times New Roman" w:cs="Times New Roman"/>
          <w:sz w:val="24"/>
          <w:szCs w:val="24"/>
        </w:rPr>
        <w:t xml:space="preserve">otal </w:t>
      </w:r>
      <w:r w:rsidR="00581D3C">
        <w:rPr>
          <w:rFonts w:ascii="Times New Roman" w:hAnsi="Times New Roman" w:cs="Times New Roman"/>
          <w:sz w:val="24"/>
          <w:szCs w:val="24"/>
        </w:rPr>
        <w:t>P</w:t>
      </w:r>
      <w:r w:rsidR="00C702E9">
        <w:rPr>
          <w:rFonts w:ascii="Times New Roman" w:hAnsi="Times New Roman" w:cs="Times New Roman"/>
          <w:sz w:val="24"/>
          <w:szCs w:val="24"/>
        </w:rPr>
        <w:t xml:space="preserve">rotein was seen between control and any triclosan concentrations in the </w:t>
      </w:r>
      <w:proofErr w:type="spellStart"/>
      <w:r w:rsidR="00C702E9">
        <w:rPr>
          <w:rFonts w:ascii="Times New Roman" w:hAnsi="Times New Roman" w:cs="Times New Roman"/>
          <w:sz w:val="24"/>
          <w:szCs w:val="24"/>
        </w:rPr>
        <w:t>dLN</w:t>
      </w:r>
      <w:proofErr w:type="spellEnd"/>
      <w:r w:rsidR="00C702E9">
        <w:rPr>
          <w:rFonts w:ascii="Times New Roman" w:hAnsi="Times New Roman" w:cs="Times New Roman"/>
          <w:sz w:val="24"/>
          <w:szCs w:val="24"/>
        </w:rPr>
        <w:t xml:space="preserve"> or </w:t>
      </w:r>
      <w:r w:rsidR="009E0720">
        <w:rPr>
          <w:rFonts w:ascii="Times New Roman" w:hAnsi="Times New Roman" w:cs="Times New Roman"/>
          <w:sz w:val="24"/>
          <w:szCs w:val="24"/>
        </w:rPr>
        <w:t>s</w:t>
      </w:r>
      <w:r w:rsidR="00A86A05">
        <w:rPr>
          <w:rFonts w:ascii="Times New Roman" w:hAnsi="Times New Roman" w:cs="Times New Roman"/>
          <w:sz w:val="24"/>
          <w:szCs w:val="24"/>
        </w:rPr>
        <w:t>kin</w:t>
      </w:r>
      <w:r w:rsidR="00C702E9">
        <w:rPr>
          <w:rFonts w:ascii="Times New Roman" w:hAnsi="Times New Roman" w:cs="Times New Roman"/>
          <w:sz w:val="24"/>
          <w:szCs w:val="24"/>
        </w:rPr>
        <w:t xml:space="preserve"> as </w:t>
      </w:r>
      <w:r w:rsidR="00C702E9" w:rsidRPr="00D16267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determined by one-way ANOVA followed by Dunnett’s post-test</w:t>
      </w:r>
      <w:r w:rsidR="00C702E9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.</w:t>
      </w:r>
    </w:p>
    <w:p w14:paraId="0ADDF190" w14:textId="3584208B" w:rsidR="00BC7C78" w:rsidRDefault="00BC7C78" w:rsidP="00CE46C2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8E14126" w14:textId="77777777" w:rsidR="00ED753F" w:rsidRDefault="00ED753F" w:rsidP="00CE46C2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B0A6AB5" w14:textId="77777777" w:rsidR="00BC7C78" w:rsidRPr="00BC7C78" w:rsidRDefault="00BC7C78" w:rsidP="00BC7C78">
      <w:pPr>
        <w:pStyle w:val="EndNoteBibliography"/>
        <w:spacing w:after="0"/>
        <w:ind w:left="720" w:hanging="720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BC7C78">
        <w:t>Fosang AJ, Colbran RJ. 2015. Transparency is the key to quality. The Journal of biological chemistry. 290(50):29692-29694.</w:t>
      </w:r>
    </w:p>
    <w:p w14:paraId="672EAD7B" w14:textId="77777777" w:rsidR="00BC7C78" w:rsidRPr="00BC7C78" w:rsidRDefault="00BC7C78" w:rsidP="00BC7C78">
      <w:pPr>
        <w:pStyle w:val="EndNoteBibliography"/>
        <w:ind w:left="720" w:hanging="720"/>
      </w:pPr>
      <w:r w:rsidRPr="00BC7C78">
        <w:t>Hu X, Du S, Yu J, Yang X, Yang C, Zhou D, Wang Q, Qin S, Yan X, He L et al. 2016. Common housekeeping proteins are upregulated in colorectal adenocarcinoma and hepatocellular carcinoma, making the total protein a better "housekeeper". Oncotarget. 7(41):66679-66688.</w:t>
      </w:r>
    </w:p>
    <w:p w14:paraId="1B085BF1" w14:textId="789E2CEE" w:rsidR="00AF795A" w:rsidRPr="007C7765" w:rsidRDefault="00BC7C78" w:rsidP="00CE46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AF795A" w:rsidRPr="007C7765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SE Style Manual 8th Edition N-Y Copy (Tox Sci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2fwedsdrvxw5qepd2bvpxprvtxv5r0t0ve0&quot;&gt;Endnote&lt;record-ids&gt;&lt;item&gt;140&lt;/item&gt;&lt;item&gt;141&lt;/item&gt;&lt;/record-ids&gt;&lt;/item&gt;&lt;/Libraries&gt;"/>
  </w:docVars>
  <w:rsids>
    <w:rsidRoot w:val="007C7765"/>
    <w:rsid w:val="001F046A"/>
    <w:rsid w:val="00352112"/>
    <w:rsid w:val="003905AE"/>
    <w:rsid w:val="00581D3C"/>
    <w:rsid w:val="00591FA4"/>
    <w:rsid w:val="005D50E9"/>
    <w:rsid w:val="00674E45"/>
    <w:rsid w:val="007C7765"/>
    <w:rsid w:val="0081151B"/>
    <w:rsid w:val="008B3BAD"/>
    <w:rsid w:val="008E6A46"/>
    <w:rsid w:val="008F2453"/>
    <w:rsid w:val="0091607C"/>
    <w:rsid w:val="009C7281"/>
    <w:rsid w:val="009E0720"/>
    <w:rsid w:val="00A86A05"/>
    <w:rsid w:val="00AF4AD6"/>
    <w:rsid w:val="00AF5299"/>
    <w:rsid w:val="00AF795A"/>
    <w:rsid w:val="00BC7C78"/>
    <w:rsid w:val="00BE460F"/>
    <w:rsid w:val="00C702E9"/>
    <w:rsid w:val="00CE46C2"/>
    <w:rsid w:val="00CF40AE"/>
    <w:rsid w:val="00D16267"/>
    <w:rsid w:val="00D26908"/>
    <w:rsid w:val="00D27B39"/>
    <w:rsid w:val="00E668C9"/>
    <w:rsid w:val="00ED753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15510"/>
  <w15:chartTrackingRefBased/>
  <w15:docId w15:val="{2B193E83-B65C-4D1E-8A79-62EF3AE0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6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77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7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765"/>
    <w:rPr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BC7C78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C7C7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C7C78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C7C78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Dzubak, Lisa (CDC/NIOSH/HELD/ACIB)</dc:creator>
  <cp:keywords/>
  <dc:description/>
  <cp:lastModifiedBy>Dzubak, Lisa (CDC/NIOSH/HELD/ACIB)</cp:lastModifiedBy>
  <cp:revision>5</cp:revision>
  <dcterms:created xsi:type="dcterms:W3CDTF">2019-12-27T20:30:00Z</dcterms:created>
  <dcterms:modified xsi:type="dcterms:W3CDTF">2020-01-28T14:28:00Z</dcterms:modified>
</cp:coreProperties>
</file>