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42BE" w14:textId="3CA10058" w:rsidR="00831DBA" w:rsidRPr="00041E1E" w:rsidRDefault="00812CA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Supplemental </w:t>
      </w:r>
      <w:r w:rsidR="0080389B" w:rsidRPr="00041E1E">
        <w:rPr>
          <w:rFonts w:ascii="Times New Roman" w:hAnsi="Times New Roman" w:cs="Times New Roman"/>
          <w:b/>
        </w:rPr>
        <w:t>Table</w:t>
      </w:r>
      <w:r w:rsidR="002510B6" w:rsidRPr="00041E1E">
        <w:rPr>
          <w:rFonts w:ascii="Times New Roman" w:hAnsi="Times New Roman" w:cs="Times New Roman"/>
          <w:b/>
        </w:rPr>
        <w:t xml:space="preserve"> 1</w:t>
      </w:r>
      <w:r w:rsidR="00831DBA" w:rsidRPr="00041E1E">
        <w:rPr>
          <w:rFonts w:ascii="Times New Roman" w:hAnsi="Times New Roman" w:cs="Times New Roman"/>
          <w:b/>
        </w:rPr>
        <w:t xml:space="preserve">. Clinical Findings </w:t>
      </w:r>
      <w:r w:rsidR="00B90D2E" w:rsidRPr="00041E1E">
        <w:rPr>
          <w:rFonts w:ascii="Times New Roman" w:hAnsi="Times New Roman" w:cs="Times New Roman"/>
          <w:b/>
        </w:rPr>
        <w:t xml:space="preserve">in Three Infants with </w:t>
      </w:r>
      <w:r w:rsidR="004A3A25" w:rsidRPr="00041E1E">
        <w:rPr>
          <w:rFonts w:ascii="Times New Roman" w:hAnsi="Times New Roman" w:cs="Times New Roman"/>
          <w:b/>
        </w:rPr>
        <w:t xml:space="preserve">Congenital Zika Syndrome, Arthrogryposis and Diaphragmatic Paralysis – Recife, Brazil </w:t>
      </w:r>
      <w:r w:rsidR="0092055B" w:rsidRPr="00041E1E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CellMar>
          <w:top w:w="14" w:type="dxa"/>
          <w:left w:w="14" w:type="dxa"/>
          <w:bottom w:w="14" w:type="dxa"/>
          <w:right w:w="14" w:type="dxa"/>
        </w:tblCellMar>
        <w:tblLook w:val="0420" w:firstRow="1" w:lastRow="0" w:firstColumn="0" w:lastColumn="0" w:noHBand="0" w:noVBand="1"/>
      </w:tblPr>
      <w:tblGrid>
        <w:gridCol w:w="679"/>
        <w:gridCol w:w="504"/>
        <w:gridCol w:w="1122"/>
        <w:gridCol w:w="892"/>
        <w:gridCol w:w="1423"/>
        <w:gridCol w:w="1426"/>
        <w:gridCol w:w="1647"/>
        <w:gridCol w:w="2233"/>
        <w:gridCol w:w="1433"/>
        <w:gridCol w:w="1081"/>
        <w:gridCol w:w="1234"/>
      </w:tblGrid>
      <w:tr w:rsidR="004C2E66" w:rsidRPr="00041E1E" w14:paraId="3C91910B" w14:textId="77777777" w:rsidTr="00F94333">
        <w:trPr>
          <w:trHeight w:val="724"/>
        </w:trPr>
        <w:tc>
          <w:tcPr>
            <w:tcW w:w="252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F22F1E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88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065F4C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403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82D8CE" w14:textId="15A6760F" w:rsidR="00F94333" w:rsidRPr="00041E1E" w:rsidRDefault="00F94333" w:rsidP="004A3A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Gestational Age</w:t>
            </w:r>
          </w:p>
        </w:tc>
        <w:tc>
          <w:tcPr>
            <w:tcW w:w="330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C4036B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 HC (SD)</w:t>
            </w:r>
          </w:p>
        </w:tc>
        <w:tc>
          <w:tcPr>
            <w:tcW w:w="524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vAlign w:val="center"/>
          </w:tcPr>
          <w:p w14:paraId="09366656" w14:textId="33189079" w:rsidR="00F94333" w:rsidRPr="00041E1E" w:rsidRDefault="00F94333" w:rsidP="00F94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Cranial Phenotype</w:t>
            </w:r>
          </w:p>
        </w:tc>
        <w:tc>
          <w:tcPr>
            <w:tcW w:w="525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C3FCA3" w14:textId="5F5F8FF4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Zika Testing in CSF</w:t>
            </w:r>
            <w:r w:rsidR="00F135C4"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BFA7BF" w14:textId="793BDFCF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Complications</w:t>
            </w:r>
          </w:p>
        </w:tc>
        <w:tc>
          <w:tcPr>
            <w:tcW w:w="820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931C82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Arthrogryposis</w:t>
            </w:r>
          </w:p>
        </w:tc>
        <w:tc>
          <w:tcPr>
            <w:tcW w:w="498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B98410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Diaphragmatic Paralysis</w:t>
            </w:r>
          </w:p>
        </w:tc>
        <w:tc>
          <w:tcPr>
            <w:tcW w:w="399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C35AE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at Evaluation</w:t>
            </w:r>
          </w:p>
        </w:tc>
        <w:tc>
          <w:tcPr>
            <w:tcW w:w="456" w:type="pct"/>
            <w:tcBorders>
              <w:top w:val="single" w:sz="2" w:space="0" w:color="3F3F3F"/>
              <w:left w:val="single" w:sz="2" w:space="0" w:color="3F3F3F"/>
              <w:bottom w:val="single" w:sz="18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73FBD9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Repeat HC (SD)</w:t>
            </w:r>
          </w:p>
        </w:tc>
      </w:tr>
      <w:tr w:rsidR="004C2E66" w:rsidRPr="00041E1E" w14:paraId="1A1E1F65" w14:textId="77777777" w:rsidTr="00F94333">
        <w:trPr>
          <w:trHeight w:val="423"/>
        </w:trPr>
        <w:tc>
          <w:tcPr>
            <w:tcW w:w="252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762B56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696200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3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E17916" w14:textId="023FACF8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 xml:space="preserve">38 </w:t>
            </w:r>
            <w:r w:rsidR="008D6E5D" w:rsidRPr="00041E1E">
              <w:rPr>
                <w:rFonts w:ascii="Times New Roman" w:hAnsi="Times New Roman" w:cs="Times New Roman"/>
              </w:rPr>
              <w:t>wks.</w:t>
            </w:r>
          </w:p>
        </w:tc>
        <w:tc>
          <w:tcPr>
            <w:tcW w:w="330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EF07B9" w14:textId="290809D0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31 cm</w:t>
            </w:r>
            <w:r w:rsidR="008D6E5D">
              <w:rPr>
                <w:rFonts w:ascii="Times New Roman" w:hAnsi="Times New Roman" w:cs="Times New Roman"/>
              </w:rPr>
              <w:t xml:space="preserve"> </w:t>
            </w:r>
            <w:r w:rsidRPr="00041E1E">
              <w:rPr>
                <w:rFonts w:ascii="Times New Roman" w:hAnsi="Times New Roman" w:cs="Times New Roman"/>
              </w:rPr>
              <w:t xml:space="preserve"> </w:t>
            </w:r>
            <w:r w:rsidRPr="00041E1E">
              <w:rPr>
                <w:rFonts w:ascii="Times New Roman" w:hAnsi="Times New Roman" w:cs="Times New Roman"/>
              </w:rPr>
              <w:br/>
              <w:t>(-2.06)</w:t>
            </w:r>
          </w:p>
        </w:tc>
        <w:tc>
          <w:tcPr>
            <w:tcW w:w="524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vAlign w:val="center"/>
          </w:tcPr>
          <w:p w14:paraId="3DD602DD" w14:textId="036A66F8" w:rsidR="00F94333" w:rsidRPr="00041E1E" w:rsidRDefault="00F94333" w:rsidP="00F943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Microcephaly only</w:t>
            </w:r>
          </w:p>
        </w:tc>
        <w:tc>
          <w:tcPr>
            <w:tcW w:w="525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83008" w14:textId="3B8C5616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NA</w:t>
            </w:r>
            <w:r w:rsidR="001671CE">
              <w:rPr>
                <w:rFonts w:ascii="Times New Roman" w:hAnsi="Times New Roman" w:cs="Times New Roman"/>
              </w:rPr>
              <w:t>A</w:t>
            </w:r>
            <w:r w:rsidRPr="00041E1E">
              <w:rPr>
                <w:rFonts w:ascii="Times New Roman" w:hAnsi="Times New Roman" w:cs="Times New Roman"/>
              </w:rPr>
              <w:t xml:space="preserve">T − / </w:t>
            </w:r>
            <w:r w:rsidRPr="00041E1E">
              <w:rPr>
                <w:rFonts w:ascii="Times New Roman" w:hAnsi="Times New Roman" w:cs="Times New Roman"/>
              </w:rPr>
              <w:br/>
              <w:t>IgM −*</w:t>
            </w:r>
          </w:p>
        </w:tc>
        <w:tc>
          <w:tcPr>
            <w:tcW w:w="606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276512" w14:textId="4D012017" w:rsidR="00E205C2" w:rsidRPr="00041E1E" w:rsidRDefault="00F94333" w:rsidP="002F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Respiratory including pneumonia; tube feeding</w:t>
            </w:r>
            <w:r w:rsidR="00E205C2" w:rsidRPr="00041E1E">
              <w:rPr>
                <w:rFonts w:ascii="Times New Roman" w:hAnsi="Times New Roman" w:cs="Times New Roman"/>
              </w:rPr>
              <w:t>;</w:t>
            </w:r>
            <w:r w:rsidR="002854D5" w:rsidRPr="00041E1E">
              <w:rPr>
                <w:rFonts w:ascii="Times New Roman" w:hAnsi="Times New Roman" w:cs="Times New Roman"/>
              </w:rPr>
              <w:t xml:space="preserve"> d</w:t>
            </w:r>
            <w:r w:rsidR="00E205C2" w:rsidRPr="00041E1E">
              <w:rPr>
                <w:rFonts w:ascii="Times New Roman" w:hAnsi="Times New Roman" w:cs="Times New Roman"/>
              </w:rPr>
              <w:t xml:space="preserve">ied at </w:t>
            </w:r>
            <w:r w:rsidR="00631E2A" w:rsidRPr="00041E1E">
              <w:rPr>
                <w:rFonts w:ascii="Times New Roman" w:hAnsi="Times New Roman" w:cs="Times New Roman"/>
              </w:rPr>
              <w:t xml:space="preserve">18 mo. of age </w:t>
            </w:r>
            <w:r w:rsidR="00E205C2" w:rsidRPr="00041E1E">
              <w:rPr>
                <w:rFonts w:ascii="Times New Roman" w:hAnsi="Times New Roman" w:cs="Times New Roman"/>
              </w:rPr>
              <w:t xml:space="preserve">due to respiratory problems </w:t>
            </w:r>
          </w:p>
        </w:tc>
        <w:tc>
          <w:tcPr>
            <w:tcW w:w="820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5D25ED" w14:textId="59F04020" w:rsidR="00F94333" w:rsidRPr="00041E1E" w:rsidRDefault="00F94333" w:rsidP="00717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Bilateral wrist and hand contractures and clubfoot; bilateral hip dislocation and knee subluxation/dislocation</w:t>
            </w:r>
          </w:p>
        </w:tc>
        <w:tc>
          <w:tcPr>
            <w:tcW w:w="498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84CC64" w14:textId="3025E0F5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399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A1E342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7 mo.</w:t>
            </w:r>
          </w:p>
        </w:tc>
        <w:tc>
          <w:tcPr>
            <w:tcW w:w="456" w:type="pct"/>
            <w:tcBorders>
              <w:top w:val="single" w:sz="18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982707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36 cm</w:t>
            </w:r>
            <w:r w:rsidRPr="00041E1E">
              <w:rPr>
                <w:rFonts w:ascii="Times New Roman" w:hAnsi="Times New Roman" w:cs="Times New Roman"/>
              </w:rPr>
              <w:br/>
              <w:t>(-5.19)</w:t>
            </w:r>
          </w:p>
        </w:tc>
      </w:tr>
      <w:tr w:rsidR="004C2E66" w:rsidRPr="00041E1E" w14:paraId="7598A1CA" w14:textId="77777777" w:rsidTr="00F94333">
        <w:trPr>
          <w:trHeight w:val="18"/>
        </w:trPr>
        <w:tc>
          <w:tcPr>
            <w:tcW w:w="252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A73618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D2E65F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03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DCB86F" w14:textId="036C739D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 xml:space="preserve">38 </w:t>
            </w:r>
            <w:r w:rsidR="008D6E5D" w:rsidRPr="00041E1E">
              <w:rPr>
                <w:rFonts w:ascii="Times New Roman" w:hAnsi="Times New Roman" w:cs="Times New Roman"/>
              </w:rPr>
              <w:t>wks.</w:t>
            </w:r>
          </w:p>
        </w:tc>
        <w:tc>
          <w:tcPr>
            <w:tcW w:w="330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9C3FC8" w14:textId="02C0B605" w:rsidR="00F94333" w:rsidRPr="00041E1E" w:rsidRDefault="00F94333" w:rsidP="008D6E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33 cm</w:t>
            </w:r>
            <w:r w:rsidR="008D6E5D">
              <w:rPr>
                <w:rFonts w:ascii="Times New Roman" w:hAnsi="Times New Roman" w:cs="Times New Roman"/>
              </w:rPr>
              <w:t xml:space="preserve">  </w:t>
            </w:r>
            <w:r w:rsidRPr="00041E1E">
              <w:rPr>
                <w:rFonts w:ascii="Times New Roman" w:hAnsi="Times New Roman" w:cs="Times New Roman"/>
              </w:rPr>
              <w:t>(</w:t>
            </w:r>
            <w:r w:rsidR="00CD2EE8">
              <w:rPr>
                <w:rFonts w:ascii="Times New Roman" w:hAnsi="Times New Roman" w:cs="Times New Roman"/>
              </w:rPr>
              <w:t>-</w:t>
            </w:r>
            <w:r w:rsidRPr="00041E1E">
              <w:rPr>
                <w:rFonts w:ascii="Times New Roman" w:hAnsi="Times New Roman" w:cs="Times New Roman"/>
              </w:rPr>
              <w:t>0.78)</w:t>
            </w:r>
          </w:p>
        </w:tc>
        <w:tc>
          <w:tcPr>
            <w:tcW w:w="524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vAlign w:val="center"/>
          </w:tcPr>
          <w:p w14:paraId="55AF22F9" w14:textId="48FBAD9D" w:rsidR="00F94333" w:rsidRPr="00041E1E" w:rsidRDefault="00F94333" w:rsidP="00F943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Normocephaly</w:t>
            </w:r>
          </w:p>
        </w:tc>
        <w:tc>
          <w:tcPr>
            <w:tcW w:w="525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47C41B" w14:textId="11CF4BDB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NA</w:t>
            </w:r>
            <w:r w:rsidR="001671CE">
              <w:rPr>
                <w:rFonts w:ascii="Times New Roman" w:hAnsi="Times New Roman" w:cs="Times New Roman"/>
              </w:rPr>
              <w:t>A</w:t>
            </w:r>
            <w:r w:rsidRPr="00041E1E">
              <w:rPr>
                <w:rFonts w:ascii="Times New Roman" w:hAnsi="Times New Roman" w:cs="Times New Roman"/>
              </w:rPr>
              <w:t xml:space="preserve">T − / </w:t>
            </w:r>
            <w:r w:rsidRPr="00041E1E">
              <w:rPr>
                <w:rFonts w:ascii="Times New Roman" w:hAnsi="Times New Roman" w:cs="Times New Roman"/>
              </w:rPr>
              <w:br/>
              <w:t>IgM +</w:t>
            </w:r>
          </w:p>
        </w:tc>
        <w:tc>
          <w:tcPr>
            <w:tcW w:w="606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907D32" w14:textId="77777777" w:rsidR="00F94333" w:rsidRPr="00041E1E" w:rsidRDefault="00F94333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Pneumonia X 2</w:t>
            </w:r>
            <w:r w:rsidR="004C2E66" w:rsidRPr="00041E1E">
              <w:rPr>
                <w:rFonts w:ascii="Times New Roman" w:hAnsi="Times New Roman" w:cs="Times New Roman"/>
              </w:rPr>
              <w:t>;</w:t>
            </w:r>
          </w:p>
          <w:p w14:paraId="2D2A23D1" w14:textId="0F646698" w:rsidR="004C2E66" w:rsidRPr="00041E1E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g</w:t>
            </w:r>
            <w:r w:rsidR="004C2E66" w:rsidRPr="00041E1E">
              <w:rPr>
                <w:rFonts w:ascii="Times New Roman" w:hAnsi="Times New Roman" w:cs="Times New Roman"/>
              </w:rPr>
              <w:t>astrostomy;</w:t>
            </w:r>
          </w:p>
          <w:p w14:paraId="1D3B21BE" w14:textId="01939FF7" w:rsidR="004C2E66" w:rsidRPr="00041E1E" w:rsidRDefault="002854D5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n</w:t>
            </w:r>
            <w:r w:rsidR="004C2E66" w:rsidRPr="00041E1E">
              <w:rPr>
                <w:rFonts w:ascii="Times New Roman" w:hAnsi="Times New Roman" w:cs="Times New Roman"/>
              </w:rPr>
              <w:t>oninvasive intermittent ventilation</w:t>
            </w:r>
          </w:p>
        </w:tc>
        <w:tc>
          <w:tcPr>
            <w:tcW w:w="820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8A3903" w14:textId="70D8F665" w:rsidR="00F94333" w:rsidRPr="00041E1E" w:rsidRDefault="00F94333" w:rsidP="00717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Bilateral wrist and hand contractures and clubfoot; bilateral hip dislocation</w:t>
            </w:r>
          </w:p>
        </w:tc>
        <w:tc>
          <w:tcPr>
            <w:tcW w:w="498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B9EA67" w14:textId="6A8EAA33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399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6241BE" w14:textId="10BE23F2" w:rsidR="00F94333" w:rsidRPr="00041E1E" w:rsidRDefault="000E37E5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19</w:t>
            </w:r>
            <w:r w:rsidR="00F94333" w:rsidRPr="00041E1E">
              <w:rPr>
                <w:rFonts w:ascii="Times New Roman" w:hAnsi="Times New Roman" w:cs="Times New Roman"/>
              </w:rPr>
              <w:t xml:space="preserve"> mo.</w:t>
            </w:r>
          </w:p>
        </w:tc>
        <w:tc>
          <w:tcPr>
            <w:tcW w:w="456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80F08A" w14:textId="0AF58A81" w:rsidR="00F94333" w:rsidRPr="00041E1E" w:rsidRDefault="002854D5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42 c</w:t>
            </w:r>
            <w:r w:rsidR="00F94333" w:rsidRPr="00041E1E">
              <w:rPr>
                <w:rFonts w:ascii="Times New Roman" w:hAnsi="Times New Roman" w:cs="Times New Roman"/>
              </w:rPr>
              <w:t>m</w:t>
            </w:r>
            <w:r w:rsidR="00F94333" w:rsidRPr="00041E1E">
              <w:rPr>
                <w:rFonts w:ascii="Times New Roman" w:hAnsi="Times New Roman" w:cs="Times New Roman"/>
              </w:rPr>
              <w:br/>
            </w:r>
            <w:r w:rsidRPr="00041E1E">
              <w:rPr>
                <w:rFonts w:ascii="Times New Roman" w:hAnsi="Times New Roman" w:cs="Times New Roman"/>
              </w:rPr>
              <w:t>(-3.11)</w:t>
            </w:r>
          </w:p>
        </w:tc>
      </w:tr>
      <w:tr w:rsidR="004C2E66" w:rsidRPr="00041E1E" w14:paraId="63319EB0" w14:textId="77777777" w:rsidTr="00F94333">
        <w:trPr>
          <w:trHeight w:val="1111"/>
        </w:trPr>
        <w:tc>
          <w:tcPr>
            <w:tcW w:w="252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83C368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8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EC64E5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03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E75F42" w14:textId="58928681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 xml:space="preserve">39 </w:t>
            </w:r>
            <w:r w:rsidR="008D6E5D" w:rsidRPr="00041E1E">
              <w:rPr>
                <w:rFonts w:ascii="Times New Roman" w:hAnsi="Times New Roman" w:cs="Times New Roman"/>
              </w:rPr>
              <w:t>wks.</w:t>
            </w:r>
          </w:p>
        </w:tc>
        <w:tc>
          <w:tcPr>
            <w:tcW w:w="330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3E5E6A" w14:textId="77777777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29 cm</w:t>
            </w:r>
            <w:r w:rsidRPr="00041E1E">
              <w:rPr>
                <w:rFonts w:ascii="Times New Roman" w:hAnsi="Times New Roman" w:cs="Times New Roman"/>
              </w:rPr>
              <w:br/>
              <w:t>(-3.81)</w:t>
            </w:r>
          </w:p>
        </w:tc>
        <w:tc>
          <w:tcPr>
            <w:tcW w:w="524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vAlign w:val="center"/>
          </w:tcPr>
          <w:p w14:paraId="5F06AAD5" w14:textId="0E28A976" w:rsidR="00F94333" w:rsidRPr="00041E1E" w:rsidRDefault="00F94333" w:rsidP="00F943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Fetal brain disruption sequence</w:t>
            </w:r>
          </w:p>
        </w:tc>
        <w:tc>
          <w:tcPr>
            <w:tcW w:w="525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B8D0A9" w14:textId="589DDD6F" w:rsidR="00F94333" w:rsidRPr="00041E1E" w:rsidRDefault="00F94333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NA</w:t>
            </w:r>
            <w:r w:rsidR="001671CE">
              <w:rPr>
                <w:rFonts w:ascii="Times New Roman" w:hAnsi="Times New Roman" w:cs="Times New Roman"/>
              </w:rPr>
              <w:t>A</w:t>
            </w:r>
            <w:r w:rsidRPr="00041E1E">
              <w:rPr>
                <w:rFonts w:ascii="Times New Roman" w:hAnsi="Times New Roman" w:cs="Times New Roman"/>
              </w:rPr>
              <w:t>T − /</w:t>
            </w:r>
            <w:r w:rsidRPr="00041E1E">
              <w:rPr>
                <w:rFonts w:ascii="Times New Roman" w:hAnsi="Times New Roman" w:cs="Times New Roman"/>
              </w:rPr>
              <w:br/>
              <w:t>IgM +</w:t>
            </w:r>
          </w:p>
        </w:tc>
        <w:tc>
          <w:tcPr>
            <w:tcW w:w="606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FFA02A" w14:textId="77777777" w:rsidR="002854D5" w:rsidRPr="00041E1E" w:rsidRDefault="004C2E66" w:rsidP="00285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Respiratory including pneumonia; tube feeding;</w:t>
            </w:r>
          </w:p>
          <w:p w14:paraId="7E29E085" w14:textId="38B5A820" w:rsidR="004C2E66" w:rsidRPr="00041E1E" w:rsidRDefault="004C2E66" w:rsidP="002F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hydrocephalus</w:t>
            </w:r>
          </w:p>
        </w:tc>
        <w:tc>
          <w:tcPr>
            <w:tcW w:w="820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975B8F" w14:textId="6BE5FE6D" w:rsidR="00F94333" w:rsidRPr="00041E1E" w:rsidRDefault="00F94333" w:rsidP="00717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Bilateral wrist and hand contractures and clubfoot; bilateral hip dislocation</w:t>
            </w:r>
          </w:p>
        </w:tc>
        <w:tc>
          <w:tcPr>
            <w:tcW w:w="498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03F8F" w14:textId="30F6B2AB" w:rsidR="00F94333" w:rsidRPr="00041E1E" w:rsidRDefault="00F94333" w:rsidP="00937E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 xml:space="preserve">Bilateral, </w:t>
            </w:r>
            <w:r w:rsidR="00937E1A" w:rsidRPr="00041E1E">
              <w:rPr>
                <w:rFonts w:ascii="Times New Roman" w:hAnsi="Times New Roman" w:cs="Times New Roman"/>
              </w:rPr>
              <w:t>primarily anterior</w:t>
            </w:r>
          </w:p>
        </w:tc>
        <w:tc>
          <w:tcPr>
            <w:tcW w:w="399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B33D25" w14:textId="7E0F16BD" w:rsidR="00F94333" w:rsidRPr="00041E1E" w:rsidRDefault="000E37E5" w:rsidP="0083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19</w:t>
            </w:r>
            <w:r w:rsidR="00F94333" w:rsidRPr="00041E1E">
              <w:rPr>
                <w:rFonts w:ascii="Times New Roman" w:hAnsi="Times New Roman" w:cs="Times New Roman"/>
              </w:rPr>
              <w:t xml:space="preserve"> mo.</w:t>
            </w:r>
          </w:p>
        </w:tc>
        <w:tc>
          <w:tcPr>
            <w:tcW w:w="456" w:type="pc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3D995E" w14:textId="0FFC8D3F" w:rsidR="00F94333" w:rsidRPr="00041E1E" w:rsidRDefault="00F94333" w:rsidP="00285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1E1E">
              <w:rPr>
                <w:rFonts w:ascii="Times New Roman" w:hAnsi="Times New Roman" w:cs="Times New Roman"/>
              </w:rPr>
              <w:t>39</w:t>
            </w:r>
            <w:r w:rsidR="002854D5" w:rsidRPr="00041E1E">
              <w:rPr>
                <w:rFonts w:ascii="Times New Roman" w:hAnsi="Times New Roman" w:cs="Times New Roman"/>
              </w:rPr>
              <w:t>.</w:t>
            </w:r>
            <w:r w:rsidR="000E37E5" w:rsidRPr="00041E1E">
              <w:rPr>
                <w:rFonts w:ascii="Times New Roman" w:hAnsi="Times New Roman" w:cs="Times New Roman"/>
              </w:rPr>
              <w:t>5</w:t>
            </w:r>
            <w:r w:rsidRPr="00041E1E">
              <w:rPr>
                <w:rFonts w:ascii="Times New Roman" w:hAnsi="Times New Roman" w:cs="Times New Roman"/>
              </w:rPr>
              <w:t xml:space="preserve"> cm</w:t>
            </w:r>
            <w:r w:rsidRPr="00041E1E">
              <w:rPr>
                <w:rFonts w:ascii="Times New Roman" w:hAnsi="Times New Roman" w:cs="Times New Roman"/>
              </w:rPr>
              <w:br/>
            </w:r>
            <w:r w:rsidR="002854D5" w:rsidRPr="00041E1E">
              <w:rPr>
                <w:rFonts w:ascii="Times New Roman" w:hAnsi="Times New Roman" w:cs="Times New Roman"/>
              </w:rPr>
              <w:t>(-5.11)</w:t>
            </w:r>
          </w:p>
        </w:tc>
      </w:tr>
    </w:tbl>
    <w:p w14:paraId="38CD12C5" w14:textId="77777777" w:rsidR="004A3A25" w:rsidRPr="00041E1E" w:rsidRDefault="004A3A25" w:rsidP="00CA07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A1A361" w14:textId="7B64FCEA" w:rsidR="006838B5" w:rsidRPr="00041E1E" w:rsidRDefault="006838B5" w:rsidP="00CA07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1E1E">
        <w:rPr>
          <w:rFonts w:ascii="Times New Roman" w:hAnsi="Times New Roman" w:cs="Times New Roman"/>
          <w:sz w:val="20"/>
          <w:szCs w:val="20"/>
        </w:rPr>
        <w:t>Abbreviations: CSF, cerebrospinal fluid; NAT, nucleic acid</w:t>
      </w:r>
      <w:r w:rsidR="001671CE">
        <w:rPr>
          <w:rFonts w:ascii="Times New Roman" w:hAnsi="Times New Roman" w:cs="Times New Roman"/>
          <w:sz w:val="20"/>
          <w:szCs w:val="20"/>
        </w:rPr>
        <w:t xml:space="preserve"> amplification</w:t>
      </w:r>
      <w:r w:rsidR="0025405D" w:rsidRPr="00041E1E">
        <w:rPr>
          <w:rFonts w:ascii="Times New Roman" w:hAnsi="Times New Roman" w:cs="Times New Roman"/>
          <w:sz w:val="20"/>
          <w:szCs w:val="20"/>
        </w:rPr>
        <w:t xml:space="preserve"> testing; IgM, i</w:t>
      </w:r>
      <w:r w:rsidR="004A3A25" w:rsidRPr="00041E1E">
        <w:rPr>
          <w:rFonts w:ascii="Times New Roman" w:hAnsi="Times New Roman" w:cs="Times New Roman"/>
          <w:sz w:val="20"/>
          <w:szCs w:val="20"/>
        </w:rPr>
        <w:t>mmunoglobulin M</w:t>
      </w:r>
      <w:r w:rsidR="001C0F73" w:rsidRPr="00041E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0560C2" w14:textId="77777777" w:rsidR="00360146" w:rsidRPr="00041E1E" w:rsidRDefault="005670B2" w:rsidP="00CA07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1E1E">
        <w:rPr>
          <w:rFonts w:ascii="Times New Roman" w:hAnsi="Times New Roman" w:cs="Times New Roman"/>
          <w:sz w:val="20"/>
          <w:szCs w:val="20"/>
        </w:rPr>
        <w:t>*IgM was not performed until 7</w:t>
      </w:r>
      <w:r w:rsidR="00F6287B" w:rsidRPr="00041E1E">
        <w:rPr>
          <w:rFonts w:ascii="Times New Roman" w:hAnsi="Times New Roman" w:cs="Times New Roman"/>
          <w:sz w:val="20"/>
          <w:szCs w:val="20"/>
        </w:rPr>
        <w:t xml:space="preserve"> </w:t>
      </w:r>
      <w:r w:rsidRPr="00041E1E">
        <w:rPr>
          <w:rFonts w:ascii="Times New Roman" w:hAnsi="Times New Roman" w:cs="Times New Roman"/>
          <w:sz w:val="20"/>
          <w:szCs w:val="20"/>
        </w:rPr>
        <w:t>mo</w:t>
      </w:r>
      <w:r w:rsidR="00775BAF" w:rsidRPr="00041E1E">
        <w:rPr>
          <w:rFonts w:ascii="Times New Roman" w:hAnsi="Times New Roman" w:cs="Times New Roman"/>
          <w:sz w:val="20"/>
          <w:szCs w:val="20"/>
        </w:rPr>
        <w:t>nth</w:t>
      </w:r>
      <w:r w:rsidRPr="00041E1E">
        <w:rPr>
          <w:rFonts w:ascii="Times New Roman" w:hAnsi="Times New Roman" w:cs="Times New Roman"/>
          <w:sz w:val="20"/>
          <w:szCs w:val="20"/>
        </w:rPr>
        <w:t xml:space="preserve">s of age </w:t>
      </w:r>
    </w:p>
    <w:p w14:paraId="365DC5E0" w14:textId="77777777" w:rsidR="006838B5" w:rsidRPr="00CA074B" w:rsidRDefault="006838B5" w:rsidP="00CA074B">
      <w:pPr>
        <w:spacing w:line="240" w:lineRule="auto"/>
        <w:rPr>
          <w:sz w:val="20"/>
          <w:szCs w:val="20"/>
        </w:rPr>
      </w:pPr>
    </w:p>
    <w:p w14:paraId="1D53A218" w14:textId="77777777" w:rsidR="004A3A25" w:rsidRDefault="004A3A25">
      <w:r>
        <w:br w:type="page"/>
      </w:r>
    </w:p>
    <w:p w14:paraId="71D38D0C" w14:textId="2BFEFBF8" w:rsidR="00F135C4" w:rsidRPr="00630F68" w:rsidRDefault="00812CAD" w:rsidP="00630F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F135C4" w:rsidRPr="00630F68">
        <w:rPr>
          <w:rFonts w:ascii="Times New Roman" w:hAnsi="Times New Roman" w:cs="Times New Roman"/>
          <w:b/>
          <w:sz w:val="24"/>
          <w:szCs w:val="24"/>
        </w:rPr>
        <w:t xml:space="preserve">Table 2. Developmental and Neurologic Findings in Three Infants with Congenital Zika Syndrome, </w:t>
      </w:r>
    </w:p>
    <w:p w14:paraId="5BD702DD" w14:textId="040E7F53" w:rsidR="00F135C4" w:rsidRPr="00630F68" w:rsidRDefault="00F135C4" w:rsidP="00630F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30F68">
        <w:rPr>
          <w:rFonts w:ascii="Times New Roman" w:hAnsi="Times New Roman" w:cs="Times New Roman"/>
          <w:b/>
          <w:sz w:val="24"/>
          <w:szCs w:val="24"/>
        </w:rPr>
        <w:t xml:space="preserve">Arthrogryposis and Diaphragmatic Paralysis at Infant Follow-Up – Recife, Brazil </w:t>
      </w:r>
      <w:r w:rsidR="0092055B" w:rsidRPr="00630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5BBB7" w14:textId="77777777" w:rsidR="00F135C4" w:rsidRPr="00630F68" w:rsidRDefault="00F135C4" w:rsidP="00F1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36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56"/>
        <w:gridCol w:w="2160"/>
        <w:gridCol w:w="2160"/>
        <w:gridCol w:w="2160"/>
      </w:tblGrid>
      <w:tr w:rsidR="00F135C4" w:rsidRPr="00630F68" w14:paraId="75A2D0A7" w14:textId="77777777" w:rsidTr="009A3546">
        <w:trPr>
          <w:trHeight w:val="20"/>
        </w:trPr>
        <w:tc>
          <w:tcPr>
            <w:tcW w:w="3456" w:type="dxa"/>
            <w:tcBorders>
              <w:top w:val="single" w:sz="8" w:space="0" w:color="7F7F7F"/>
              <w:left w:val="single" w:sz="8" w:space="0" w:color="7F7F7F"/>
              <w:bottom w:val="single" w:sz="18" w:space="0" w:color="auto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4F36BF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Finding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18" w:space="0" w:color="auto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3FA00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Infant 1 (7 mo.)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18" w:space="0" w:color="auto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AD02E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Infant 2 (19 mo.)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18" w:space="0" w:color="auto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14A0D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Infant 3 (19 mo.)</w:t>
            </w:r>
          </w:p>
        </w:tc>
      </w:tr>
      <w:tr w:rsidR="00F135C4" w:rsidRPr="00630F68" w14:paraId="34CAB1FD" w14:textId="77777777" w:rsidTr="009A3546">
        <w:trPr>
          <w:trHeight w:val="20"/>
        </w:trPr>
        <w:tc>
          <w:tcPr>
            <w:tcW w:w="3456" w:type="dxa"/>
            <w:tcBorders>
              <w:top w:val="single" w:sz="1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22B814C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Cs/>
                <w:sz w:val="24"/>
                <w:szCs w:val="24"/>
              </w:rPr>
              <w:t>Visual fixation and pursuit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0BE001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D6454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EAC73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135C4" w:rsidRPr="00630F68" w14:paraId="4A6A8B3B" w14:textId="77777777" w:rsidTr="009A3546">
        <w:trPr>
          <w:trHeight w:val="20"/>
        </w:trPr>
        <w:tc>
          <w:tcPr>
            <w:tcW w:w="34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F1AF446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Cs/>
                <w:sz w:val="24"/>
                <w:szCs w:val="24"/>
              </w:rPr>
              <w:t>Interaction with the environment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A1891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D452D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3824D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135C4" w:rsidRPr="00630F68" w14:paraId="6C8D4787" w14:textId="77777777" w:rsidTr="009A3546">
        <w:trPr>
          <w:trHeight w:val="20"/>
        </w:trPr>
        <w:tc>
          <w:tcPr>
            <w:tcW w:w="34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46C264E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Cs/>
                <w:sz w:val="24"/>
                <w:szCs w:val="24"/>
              </w:rPr>
              <w:t>Social smile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6704D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F1E74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011F1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135C4" w:rsidRPr="00630F68" w14:paraId="4CCF7134" w14:textId="77777777" w:rsidTr="009A3546">
        <w:trPr>
          <w:trHeight w:val="20"/>
        </w:trPr>
        <w:tc>
          <w:tcPr>
            <w:tcW w:w="34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2FE055A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Cs/>
                <w:sz w:val="24"/>
                <w:szCs w:val="24"/>
              </w:rPr>
              <w:t>Head control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1FF22F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AE085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A4514B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135C4" w:rsidRPr="00630F68" w14:paraId="76C388F2" w14:textId="77777777" w:rsidTr="009A3546">
        <w:trPr>
          <w:trHeight w:val="20"/>
        </w:trPr>
        <w:tc>
          <w:tcPr>
            <w:tcW w:w="34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D36B241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Cs/>
                <w:sz w:val="24"/>
                <w:szCs w:val="24"/>
              </w:rPr>
              <w:t>Sitting without support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6143B3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F0CEF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FFDAB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135C4" w:rsidRPr="00630F68" w14:paraId="7933BB40" w14:textId="77777777" w:rsidTr="009A3546">
        <w:trPr>
          <w:trHeight w:val="20"/>
        </w:trPr>
        <w:tc>
          <w:tcPr>
            <w:tcW w:w="34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669A79F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Cs/>
                <w:sz w:val="24"/>
                <w:szCs w:val="24"/>
              </w:rPr>
              <w:t>Persistent primitive reflexes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05467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C2E4DC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2A5E9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135C4" w:rsidRPr="00630F68" w14:paraId="2BD878E0" w14:textId="77777777" w:rsidTr="009A3546">
        <w:trPr>
          <w:trHeight w:val="20"/>
        </w:trPr>
        <w:tc>
          <w:tcPr>
            <w:tcW w:w="34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A37DC3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Cs/>
                <w:sz w:val="24"/>
                <w:szCs w:val="24"/>
              </w:rPr>
              <w:t>Nystagmus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1C70E4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3A681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78E3C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135C4" w:rsidRPr="00630F68" w14:paraId="38F25CE0" w14:textId="77777777" w:rsidTr="009A3546">
        <w:trPr>
          <w:trHeight w:val="20"/>
        </w:trPr>
        <w:tc>
          <w:tcPr>
            <w:tcW w:w="34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AA2047D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Cs/>
                <w:sz w:val="24"/>
                <w:szCs w:val="24"/>
              </w:rPr>
              <w:t>Dysphagia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30475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1EB633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0971F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135C4" w:rsidRPr="00630F68" w14:paraId="5E58229D" w14:textId="77777777" w:rsidTr="009A3546">
        <w:trPr>
          <w:trHeight w:val="20"/>
        </w:trPr>
        <w:tc>
          <w:tcPr>
            <w:tcW w:w="34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4E1C455" w14:textId="77777777" w:rsidR="00F135C4" w:rsidRPr="00630F68" w:rsidRDefault="00F135C4" w:rsidP="009A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bCs/>
                <w:sz w:val="24"/>
                <w:szCs w:val="24"/>
              </w:rPr>
              <w:t>Epilepsy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5CB3F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E59C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F7494" w14:textId="77777777" w:rsidR="00F135C4" w:rsidRPr="00630F68" w:rsidRDefault="00F135C4" w:rsidP="009A3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19FFC1CC" w14:textId="77777777" w:rsidR="00812CAD" w:rsidRDefault="00812CAD" w:rsidP="00F13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2CAD" w:rsidSect="00B90D2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4B"/>
    <w:rsid w:val="00041E1E"/>
    <w:rsid w:val="00065410"/>
    <w:rsid w:val="000B703F"/>
    <w:rsid w:val="000E0956"/>
    <w:rsid w:val="000E37E5"/>
    <w:rsid w:val="001226AB"/>
    <w:rsid w:val="0013230F"/>
    <w:rsid w:val="001671CE"/>
    <w:rsid w:val="00175C6A"/>
    <w:rsid w:val="001C0F73"/>
    <w:rsid w:val="002510B6"/>
    <w:rsid w:val="0025405D"/>
    <w:rsid w:val="002854D5"/>
    <w:rsid w:val="002F3AF6"/>
    <w:rsid w:val="002F4825"/>
    <w:rsid w:val="002F7066"/>
    <w:rsid w:val="00360146"/>
    <w:rsid w:val="0036576D"/>
    <w:rsid w:val="003A2651"/>
    <w:rsid w:val="0041404B"/>
    <w:rsid w:val="0045335E"/>
    <w:rsid w:val="00456256"/>
    <w:rsid w:val="00460CDA"/>
    <w:rsid w:val="004A3A25"/>
    <w:rsid w:val="004C2E66"/>
    <w:rsid w:val="004C577A"/>
    <w:rsid w:val="004D2BFA"/>
    <w:rsid w:val="005670B2"/>
    <w:rsid w:val="00604D73"/>
    <w:rsid w:val="006263BB"/>
    <w:rsid w:val="00630F68"/>
    <w:rsid w:val="00631E2A"/>
    <w:rsid w:val="006709CE"/>
    <w:rsid w:val="006838B5"/>
    <w:rsid w:val="00694356"/>
    <w:rsid w:val="006D06AF"/>
    <w:rsid w:val="007170CE"/>
    <w:rsid w:val="00775BAF"/>
    <w:rsid w:val="007C0CCD"/>
    <w:rsid w:val="0080389B"/>
    <w:rsid w:val="00812CAD"/>
    <w:rsid w:val="00831DBA"/>
    <w:rsid w:val="00851BB6"/>
    <w:rsid w:val="008D6E5D"/>
    <w:rsid w:val="008E4512"/>
    <w:rsid w:val="008E4D75"/>
    <w:rsid w:val="0092055B"/>
    <w:rsid w:val="00937E1A"/>
    <w:rsid w:val="009A3546"/>
    <w:rsid w:val="00A62C63"/>
    <w:rsid w:val="00A839AA"/>
    <w:rsid w:val="00AE46E8"/>
    <w:rsid w:val="00AE7A93"/>
    <w:rsid w:val="00B27A8E"/>
    <w:rsid w:val="00B90D2E"/>
    <w:rsid w:val="00CA074B"/>
    <w:rsid w:val="00CD2EE8"/>
    <w:rsid w:val="00CF5C40"/>
    <w:rsid w:val="00D26908"/>
    <w:rsid w:val="00D73718"/>
    <w:rsid w:val="00D8010D"/>
    <w:rsid w:val="00E205C2"/>
    <w:rsid w:val="00E4400E"/>
    <w:rsid w:val="00F135C4"/>
    <w:rsid w:val="00F6287B"/>
    <w:rsid w:val="00F94333"/>
    <w:rsid w:val="00FC504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2953"/>
  <w15:chartTrackingRefBased/>
  <w15:docId w15:val="{F0BB39D4-1A0A-4491-B508-1EBAB5DC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Jazmyn (CDC/ONDIEH/NCBDDD) (CTR)</dc:creator>
  <cp:keywords/>
  <dc:description/>
  <cp:lastModifiedBy>Wade, Diane (CDC/DDNID/NCBDDD/OD) (CTR)</cp:lastModifiedBy>
  <cp:revision>2</cp:revision>
  <dcterms:created xsi:type="dcterms:W3CDTF">2020-04-06T12:41:00Z</dcterms:created>
  <dcterms:modified xsi:type="dcterms:W3CDTF">2020-04-06T12:41:00Z</dcterms:modified>
</cp:coreProperties>
</file>