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Pr="00C82CE1" w:rsidRDefault="00EB7AA3">
      <w:pPr>
        <w:rPr>
          <w:rFonts w:ascii="Times New Roman" w:hAnsi="Times New Roman" w:cs="Times New Roman"/>
          <w:b/>
          <w:sz w:val="24"/>
          <w:szCs w:val="24"/>
        </w:rPr>
      </w:pPr>
      <w:bookmarkStart w:id="0" w:name="_GoBack"/>
      <w:bookmarkEnd w:id="0"/>
      <w:r w:rsidRPr="00C82CE1">
        <w:rPr>
          <w:rFonts w:ascii="Times New Roman" w:hAnsi="Times New Roman" w:cs="Times New Roman"/>
          <w:b/>
          <w:sz w:val="24"/>
          <w:szCs w:val="24"/>
        </w:rPr>
        <w:t>Online Data Supplement</w:t>
      </w:r>
    </w:p>
    <w:p w:rsidR="00DB1D98" w:rsidRPr="00C82CE1" w:rsidRDefault="00DB1D98">
      <w:pPr>
        <w:rPr>
          <w:rFonts w:ascii="Times New Roman" w:hAnsi="Times New Roman" w:cs="Times New Roman"/>
          <w:b/>
          <w:sz w:val="24"/>
          <w:szCs w:val="24"/>
        </w:rPr>
      </w:pPr>
    </w:p>
    <w:p w:rsidR="00E320D0" w:rsidRPr="00C82CE1" w:rsidRDefault="00E320D0" w:rsidP="00E320D0">
      <w:pPr>
        <w:spacing w:after="0" w:line="480" w:lineRule="auto"/>
        <w:jc w:val="both"/>
        <w:rPr>
          <w:rFonts w:ascii="Times New Roman" w:hAnsi="Times New Roman" w:cs="Times New Roman"/>
          <w:b/>
          <w:sz w:val="24"/>
          <w:szCs w:val="24"/>
        </w:rPr>
      </w:pPr>
      <w:r w:rsidRPr="00C82CE1">
        <w:rPr>
          <w:rFonts w:ascii="Times New Roman" w:hAnsi="Times New Roman" w:cs="Times New Roman"/>
          <w:b/>
          <w:sz w:val="24"/>
          <w:szCs w:val="24"/>
        </w:rPr>
        <w:t>Inhalation of</w:t>
      </w:r>
      <w:r w:rsidRPr="00C82CE1">
        <w:rPr>
          <w:rFonts w:ascii="Times New Roman" w:hAnsi="Times New Roman" w:cs="Times New Roman"/>
          <w:b/>
          <w:i/>
          <w:sz w:val="24"/>
          <w:szCs w:val="24"/>
        </w:rPr>
        <w:t xml:space="preserve"> Stachybotrys chartarum </w:t>
      </w:r>
      <w:r w:rsidRPr="00C82CE1">
        <w:rPr>
          <w:rFonts w:ascii="Times New Roman" w:hAnsi="Times New Roman" w:cs="Times New Roman"/>
          <w:b/>
          <w:sz w:val="24"/>
          <w:szCs w:val="24"/>
        </w:rPr>
        <w:t xml:space="preserve">fragments induces pulmonary arterial </w:t>
      </w:r>
      <w:r w:rsidR="00B47B69" w:rsidRPr="00C82CE1">
        <w:rPr>
          <w:rFonts w:ascii="Times New Roman" w:hAnsi="Times New Roman" w:cs="Times New Roman"/>
          <w:b/>
          <w:sz w:val="24"/>
          <w:szCs w:val="24"/>
        </w:rPr>
        <w:t>remodeling</w:t>
      </w:r>
    </w:p>
    <w:p w:rsidR="00DB1D98" w:rsidRPr="00C82CE1" w:rsidRDefault="00DB1D98" w:rsidP="00E320D0">
      <w:pPr>
        <w:widowControl w:val="0"/>
        <w:autoSpaceDE w:val="0"/>
        <w:autoSpaceDN w:val="0"/>
        <w:spacing w:after="0" w:line="480" w:lineRule="auto"/>
        <w:jc w:val="both"/>
        <w:rPr>
          <w:rFonts w:ascii="Times New Roman" w:hAnsi="Times New Roman" w:cs="Times New Roman"/>
          <w:sz w:val="24"/>
          <w:szCs w:val="24"/>
          <w:vertAlign w:val="superscript"/>
        </w:rPr>
      </w:pPr>
      <w:r w:rsidRPr="00C82CE1">
        <w:rPr>
          <w:rFonts w:ascii="Times New Roman" w:hAnsi="Times New Roman" w:cs="Times New Roman"/>
          <w:sz w:val="24"/>
          <w:szCs w:val="24"/>
        </w:rPr>
        <w:t xml:space="preserve">Tara L. Croston, Ph.D.*, Angela R. Lemons, M.S., Mark A. Barnes, Ph.D., William T. Goldsmith, </w:t>
      </w:r>
      <w:proofErr w:type="spellStart"/>
      <w:r w:rsidRPr="00C82CE1">
        <w:rPr>
          <w:rFonts w:ascii="Times New Roman" w:hAnsi="Times New Roman" w:cs="Times New Roman"/>
          <w:sz w:val="24"/>
          <w:szCs w:val="24"/>
        </w:rPr>
        <w:t>BSCpE</w:t>
      </w:r>
      <w:proofErr w:type="spellEnd"/>
      <w:r w:rsidRPr="00C82CE1">
        <w:rPr>
          <w:rFonts w:ascii="Times New Roman" w:hAnsi="Times New Roman" w:cs="Times New Roman"/>
          <w:sz w:val="24"/>
          <w:szCs w:val="24"/>
        </w:rPr>
        <w:t>, Marlene S. Orandle, DVM, Ph.D., Ajay P. Nayak, Ph.D., Dori R. Germolec, Ph.D., Brett J. Green, Ph.D., FAAAAI, and Donald H. Beezhold, Ph.D., FAAAAI</w:t>
      </w:r>
    </w:p>
    <w:p w:rsidR="00824EFB" w:rsidRPr="00C82CE1" w:rsidRDefault="00824EFB" w:rsidP="00E320D0">
      <w:pPr>
        <w:spacing w:after="0" w:line="480" w:lineRule="auto"/>
        <w:rPr>
          <w:rFonts w:ascii="Times New Roman" w:hAnsi="Times New Roman" w:cs="Times New Roman"/>
          <w:b/>
          <w:sz w:val="24"/>
          <w:szCs w:val="24"/>
        </w:rPr>
      </w:pPr>
      <w:r w:rsidRPr="00C82CE1">
        <w:rPr>
          <w:rFonts w:ascii="Times New Roman" w:hAnsi="Times New Roman" w:cs="Times New Roman"/>
          <w:b/>
          <w:sz w:val="24"/>
          <w:szCs w:val="24"/>
        </w:rPr>
        <w:br w:type="page"/>
      </w:r>
    </w:p>
    <w:p w:rsidR="00DB1D98" w:rsidRPr="00C82CE1" w:rsidRDefault="00824EFB">
      <w:pPr>
        <w:rPr>
          <w:rFonts w:ascii="Times New Roman" w:hAnsi="Times New Roman" w:cs="Times New Roman"/>
          <w:b/>
          <w:sz w:val="24"/>
          <w:szCs w:val="24"/>
        </w:rPr>
      </w:pPr>
      <w:r w:rsidRPr="00C82CE1">
        <w:rPr>
          <w:rFonts w:ascii="Times New Roman" w:hAnsi="Times New Roman" w:cs="Times New Roman"/>
          <w:b/>
          <w:sz w:val="24"/>
          <w:szCs w:val="24"/>
        </w:rPr>
        <w:lastRenderedPageBreak/>
        <w:t xml:space="preserve">SUPPLEMENTAL </w:t>
      </w:r>
      <w:r w:rsidR="004406D2" w:rsidRPr="00C82CE1">
        <w:rPr>
          <w:rFonts w:ascii="Times New Roman" w:hAnsi="Times New Roman" w:cs="Times New Roman"/>
          <w:b/>
          <w:sz w:val="24"/>
          <w:szCs w:val="24"/>
        </w:rPr>
        <w:t>MATERIALS</w:t>
      </w:r>
    </w:p>
    <w:p w:rsidR="00824EFB" w:rsidRPr="00C82CE1" w:rsidRDefault="00824EFB">
      <w:pPr>
        <w:rPr>
          <w:rFonts w:ascii="Times New Roman" w:hAnsi="Times New Roman" w:cs="Times New Roman"/>
          <w:b/>
          <w:sz w:val="24"/>
          <w:szCs w:val="24"/>
        </w:rPr>
      </w:pPr>
    </w:p>
    <w:p w:rsidR="00824EFB" w:rsidRPr="00C82CE1" w:rsidRDefault="00A513FD">
      <w:pPr>
        <w:rPr>
          <w:rFonts w:ascii="Times New Roman" w:hAnsi="Times New Roman" w:cs="Times New Roman"/>
          <w:b/>
          <w:i/>
          <w:sz w:val="24"/>
          <w:szCs w:val="24"/>
        </w:rPr>
      </w:pPr>
      <w:r w:rsidRPr="00C82CE1">
        <w:rPr>
          <w:rFonts w:ascii="Times New Roman" w:hAnsi="Times New Roman" w:cs="Times New Roman"/>
          <w:b/>
          <w:i/>
          <w:sz w:val="24"/>
          <w:szCs w:val="24"/>
        </w:rPr>
        <w:t xml:space="preserve">Supplemental Materials </w:t>
      </w:r>
      <w:r w:rsidR="004406D2" w:rsidRPr="00C82CE1">
        <w:rPr>
          <w:rFonts w:ascii="Times New Roman" w:hAnsi="Times New Roman" w:cs="Times New Roman"/>
          <w:b/>
          <w:i/>
          <w:sz w:val="24"/>
          <w:szCs w:val="24"/>
        </w:rPr>
        <w:t xml:space="preserve">E1. </w:t>
      </w:r>
      <w:r w:rsidR="00824EFB" w:rsidRPr="00C82CE1">
        <w:rPr>
          <w:rFonts w:ascii="Times New Roman" w:hAnsi="Times New Roman" w:cs="Times New Roman"/>
          <w:b/>
          <w:i/>
          <w:sz w:val="24"/>
          <w:szCs w:val="24"/>
        </w:rPr>
        <w:t>Fungal cultures</w:t>
      </w:r>
    </w:p>
    <w:p w:rsidR="00824EFB" w:rsidRPr="00C82CE1" w:rsidRDefault="00824EFB" w:rsidP="00824EFB">
      <w:pPr>
        <w:pStyle w:val="NoSpacing"/>
        <w:spacing w:line="480" w:lineRule="auto"/>
        <w:jc w:val="both"/>
        <w:rPr>
          <w:rFonts w:ascii="Times New Roman" w:hAnsi="Times New Roman" w:cs="Times New Roman"/>
          <w:sz w:val="24"/>
          <w:szCs w:val="24"/>
        </w:rPr>
      </w:pPr>
      <w:r w:rsidRPr="00C82CE1">
        <w:rPr>
          <w:rFonts w:ascii="Times New Roman" w:hAnsi="Times New Roman" w:cs="Times New Roman"/>
          <w:sz w:val="24"/>
          <w:szCs w:val="24"/>
        </w:rPr>
        <w:t>Conidia from each strain was inoculated on malt extract agar plates for 10-14 days at 26°C and harvested. Autoclaved Mahatma white rice (10 grams) (Riviana Foods Inc., Houston, TX) was inoculated with 5 mL of 2.5x10</w:t>
      </w:r>
      <w:r w:rsidRPr="00C82CE1">
        <w:rPr>
          <w:rFonts w:ascii="Times New Roman" w:hAnsi="Times New Roman" w:cs="Times New Roman"/>
          <w:sz w:val="24"/>
          <w:szCs w:val="24"/>
          <w:vertAlign w:val="superscript"/>
        </w:rPr>
        <w:t>5</w:t>
      </w:r>
      <w:r w:rsidRPr="00C82CE1">
        <w:rPr>
          <w:rFonts w:ascii="Times New Roman" w:hAnsi="Times New Roman" w:cs="Times New Roman"/>
          <w:sz w:val="24"/>
          <w:szCs w:val="24"/>
        </w:rPr>
        <w:t xml:space="preserve"> conidia/mL and incubated 21-28 days before desiccation. Heat-inactivated conidia were prepared by placing the</w:t>
      </w:r>
      <w:r w:rsidRPr="00C82CE1">
        <w:rPr>
          <w:rFonts w:ascii="Times New Roman" w:hAnsi="Times New Roman" w:cs="Times New Roman"/>
          <w:i/>
          <w:sz w:val="24"/>
          <w:szCs w:val="24"/>
        </w:rPr>
        <w:t xml:space="preserve"> S. chartarum</w:t>
      </w:r>
      <w:r w:rsidRPr="00C82CE1">
        <w:rPr>
          <w:rFonts w:ascii="Times New Roman" w:hAnsi="Times New Roman" w:cs="Times New Roman"/>
          <w:sz w:val="24"/>
          <w:szCs w:val="24"/>
        </w:rPr>
        <w:t xml:space="preserve"> conidia laden rice culture flasks in an 80°C bead bath (Lab Armor, LLC, Cornelius, OR) for 2 hours. Viable and heat-inactivated conidia were desiccated 7 days prior to inhalation exposures. Fungal test articles were aerosolized using a computer-controlled acoustical generator system (AGS) as previously documented</w:t>
      </w:r>
      <w:r w:rsidR="00BA6A6B" w:rsidRPr="00C82CE1">
        <w:rPr>
          <w:rFonts w:ascii="Times New Roman" w:hAnsi="Times New Roman" w:cs="Times New Roman"/>
          <w:sz w:val="24"/>
          <w:szCs w:val="24"/>
        </w:rPr>
        <w:t xml:space="preserve"> (24-26)</w:t>
      </w:r>
      <w:r w:rsidRPr="00C82CE1">
        <w:rPr>
          <w:rFonts w:ascii="Times New Roman" w:hAnsi="Times New Roman" w:cs="Times New Roman"/>
          <w:sz w:val="24"/>
          <w:szCs w:val="24"/>
        </w:rPr>
        <w:t>. Particle size distributions and counts were recorded using an aerodynamic particle sizer (APS; TSI Inc., Shoreview, MN), and the raw counts obtained following exposure were normalized to 1000 particle counts for comparison between each strain and exposure group.</w:t>
      </w:r>
    </w:p>
    <w:p w:rsidR="00824EFB" w:rsidRPr="00C82CE1" w:rsidRDefault="00824EFB">
      <w:pPr>
        <w:rPr>
          <w:rFonts w:ascii="Times New Roman" w:hAnsi="Times New Roman" w:cs="Times New Roman"/>
          <w:b/>
          <w:sz w:val="24"/>
          <w:szCs w:val="24"/>
        </w:rPr>
      </w:pPr>
    </w:p>
    <w:p w:rsidR="00824EFB" w:rsidRPr="00C82CE1" w:rsidRDefault="00A513FD" w:rsidP="00824EFB">
      <w:pPr>
        <w:spacing w:after="0" w:line="480" w:lineRule="auto"/>
        <w:jc w:val="both"/>
        <w:rPr>
          <w:rFonts w:ascii="Times New Roman" w:hAnsi="Times New Roman" w:cs="Times New Roman"/>
          <w:i/>
          <w:sz w:val="24"/>
          <w:szCs w:val="24"/>
        </w:rPr>
      </w:pPr>
      <w:r w:rsidRPr="00C82CE1">
        <w:rPr>
          <w:rFonts w:ascii="Times New Roman" w:hAnsi="Times New Roman" w:cs="Times New Roman"/>
          <w:b/>
          <w:i/>
          <w:sz w:val="24"/>
          <w:szCs w:val="24"/>
        </w:rPr>
        <w:t xml:space="preserve">Supplemental Materials </w:t>
      </w:r>
      <w:r w:rsidR="004406D2" w:rsidRPr="00C82CE1">
        <w:rPr>
          <w:rFonts w:ascii="Times New Roman" w:hAnsi="Times New Roman" w:cs="Times New Roman"/>
          <w:b/>
          <w:i/>
          <w:sz w:val="24"/>
          <w:szCs w:val="24"/>
        </w:rPr>
        <w:t xml:space="preserve">E2. </w:t>
      </w:r>
      <w:r w:rsidR="00824EFB" w:rsidRPr="00C82CE1">
        <w:rPr>
          <w:rFonts w:ascii="Times New Roman" w:hAnsi="Times New Roman" w:cs="Times New Roman"/>
          <w:b/>
          <w:i/>
          <w:sz w:val="24"/>
          <w:szCs w:val="24"/>
        </w:rPr>
        <w:t>Histopathology</w:t>
      </w:r>
    </w:p>
    <w:p w:rsidR="00824EFB" w:rsidRPr="00C82CE1" w:rsidRDefault="00824EFB" w:rsidP="00824EFB">
      <w:pPr>
        <w:spacing w:after="0" w:line="480" w:lineRule="auto"/>
        <w:jc w:val="both"/>
        <w:rPr>
          <w:rFonts w:ascii="Times New Roman" w:hAnsi="Times New Roman" w:cs="Times New Roman"/>
          <w:b/>
          <w:i/>
          <w:sz w:val="24"/>
          <w:szCs w:val="24"/>
        </w:rPr>
      </w:pPr>
      <w:r w:rsidRPr="00C82CE1">
        <w:rPr>
          <w:rFonts w:ascii="Times New Roman" w:hAnsi="Times New Roman" w:cs="Times New Roman"/>
          <w:sz w:val="24"/>
        </w:rPr>
        <w:t>Left lung lobes (n=3) were harvested, tied off and perfused with formalin, then paraffin embedded and sectioned at 5 microns as previously described</w:t>
      </w:r>
      <w:r w:rsidR="00BA6A6B" w:rsidRPr="00C82CE1">
        <w:rPr>
          <w:rFonts w:ascii="Times New Roman" w:hAnsi="Times New Roman" w:cs="Times New Roman"/>
          <w:sz w:val="24"/>
        </w:rPr>
        <w:t xml:space="preserve"> (26)</w:t>
      </w:r>
      <w:r w:rsidRPr="00C82CE1">
        <w:rPr>
          <w:rFonts w:ascii="Times New Roman" w:hAnsi="Times New Roman" w:cs="Times New Roman"/>
          <w:sz w:val="24"/>
        </w:rPr>
        <w:t xml:space="preserve">. Slides were stained with hematoxylin and eosin (H&amp;E) for routine histopathology evaluation. Images were captured using an Olympus BX53 microscope equipped with a DP73 camera and </w:t>
      </w:r>
      <w:proofErr w:type="spellStart"/>
      <w:r w:rsidRPr="00C82CE1">
        <w:rPr>
          <w:rFonts w:ascii="Times New Roman" w:hAnsi="Times New Roman" w:cs="Times New Roman"/>
          <w:sz w:val="24"/>
        </w:rPr>
        <w:t>cellSens</w:t>
      </w:r>
      <w:proofErr w:type="spellEnd"/>
      <w:r w:rsidRPr="00C82CE1">
        <w:rPr>
          <w:rFonts w:ascii="Times New Roman" w:hAnsi="Times New Roman" w:cs="Times New Roman"/>
          <w:sz w:val="24"/>
        </w:rPr>
        <w:t xml:space="preserve"> Standard software (Olympus Corporation, </w:t>
      </w:r>
      <w:r w:rsidRPr="00C82CE1">
        <w:rPr>
          <w:rFonts w:ascii="Times New Roman" w:hAnsi="Times New Roman" w:cs="Times New Roman"/>
          <w:sz w:val="24"/>
          <w:szCs w:val="24"/>
          <w:lang w:val="en"/>
        </w:rPr>
        <w:t>Shinjuku, Japan</w:t>
      </w:r>
      <w:r w:rsidRPr="00C82CE1">
        <w:rPr>
          <w:rFonts w:ascii="Times New Roman" w:hAnsi="Times New Roman" w:cs="Times New Roman"/>
          <w:sz w:val="24"/>
        </w:rPr>
        <w:t>).</w:t>
      </w:r>
    </w:p>
    <w:p w:rsidR="00824EFB" w:rsidRPr="00C82CE1" w:rsidRDefault="00824EFB" w:rsidP="00824EFB">
      <w:pPr>
        <w:widowControl w:val="0"/>
        <w:autoSpaceDE w:val="0"/>
        <w:autoSpaceDN w:val="0"/>
        <w:spacing w:after="0" w:line="480" w:lineRule="auto"/>
        <w:jc w:val="both"/>
        <w:rPr>
          <w:rFonts w:ascii="Times New Roman" w:hAnsi="Times New Roman" w:cs="Times New Roman"/>
          <w:b/>
          <w:i/>
          <w:sz w:val="24"/>
          <w:szCs w:val="24"/>
        </w:rPr>
      </w:pPr>
    </w:p>
    <w:p w:rsidR="00824EFB" w:rsidRPr="00C82CE1" w:rsidRDefault="00A513FD" w:rsidP="00824EFB">
      <w:pPr>
        <w:spacing w:after="0" w:line="480" w:lineRule="auto"/>
        <w:jc w:val="both"/>
        <w:rPr>
          <w:rFonts w:ascii="Times New Roman" w:hAnsi="Times New Roman" w:cs="Times New Roman"/>
          <w:b/>
          <w:sz w:val="24"/>
          <w:szCs w:val="24"/>
        </w:rPr>
      </w:pPr>
      <w:r w:rsidRPr="00C82CE1">
        <w:rPr>
          <w:rFonts w:ascii="Times New Roman" w:hAnsi="Times New Roman" w:cs="Times New Roman"/>
          <w:b/>
          <w:i/>
          <w:sz w:val="24"/>
          <w:szCs w:val="24"/>
        </w:rPr>
        <w:t xml:space="preserve">Supplemental Materials </w:t>
      </w:r>
      <w:r w:rsidR="004406D2" w:rsidRPr="00C82CE1">
        <w:rPr>
          <w:rFonts w:ascii="Times New Roman" w:hAnsi="Times New Roman" w:cs="Times New Roman"/>
          <w:b/>
          <w:i/>
          <w:sz w:val="24"/>
          <w:szCs w:val="24"/>
        </w:rPr>
        <w:t xml:space="preserve">E3. </w:t>
      </w:r>
      <w:r w:rsidR="00824EFB" w:rsidRPr="00C82CE1">
        <w:rPr>
          <w:rFonts w:ascii="Times New Roman" w:hAnsi="Times New Roman" w:cs="Times New Roman"/>
          <w:b/>
          <w:i/>
          <w:sz w:val="24"/>
          <w:szCs w:val="24"/>
        </w:rPr>
        <w:t>Flow cytometry and cell differential analysis</w:t>
      </w:r>
    </w:p>
    <w:p w:rsidR="00F26C80" w:rsidRPr="00C82CE1" w:rsidRDefault="00824EFB" w:rsidP="00F26C80">
      <w:pPr>
        <w:spacing w:after="0" w:line="480" w:lineRule="auto"/>
        <w:jc w:val="both"/>
        <w:rPr>
          <w:rFonts w:ascii="Times New Roman" w:hAnsi="Times New Roman" w:cs="Times New Roman"/>
          <w:sz w:val="24"/>
          <w:szCs w:val="24"/>
        </w:rPr>
      </w:pPr>
      <w:r w:rsidRPr="00C82CE1">
        <w:rPr>
          <w:rFonts w:ascii="Times New Roman" w:hAnsi="Times New Roman" w:cs="Times New Roman"/>
          <w:sz w:val="24"/>
          <w:szCs w:val="24"/>
        </w:rPr>
        <w:t xml:space="preserve">BAL was performed </w:t>
      </w:r>
      <w:r w:rsidRPr="00C82CE1">
        <w:rPr>
          <w:rFonts w:ascii="Times New Roman" w:hAnsi="Times New Roman" w:cs="Times New Roman"/>
          <w:i/>
          <w:sz w:val="24"/>
          <w:szCs w:val="24"/>
        </w:rPr>
        <w:t>in situ</w:t>
      </w:r>
      <w:r w:rsidRPr="00C82CE1">
        <w:rPr>
          <w:rFonts w:ascii="Times New Roman" w:hAnsi="Times New Roman" w:cs="Times New Roman"/>
          <w:sz w:val="24"/>
          <w:szCs w:val="24"/>
        </w:rPr>
        <w:t xml:space="preserve"> 3 times with Phosphate Buffered Saline (pH 7.2). Cells derived from BALF (n=7/group) were enumerated using a </w:t>
      </w:r>
      <w:proofErr w:type="spellStart"/>
      <w:r w:rsidRPr="00C82CE1">
        <w:rPr>
          <w:rFonts w:ascii="Times New Roman" w:hAnsi="Times New Roman" w:cs="Times New Roman"/>
          <w:sz w:val="24"/>
          <w:szCs w:val="24"/>
        </w:rPr>
        <w:t>Cellometer</w:t>
      </w:r>
      <w:proofErr w:type="spellEnd"/>
      <w:r w:rsidRPr="00C82CE1">
        <w:rPr>
          <w:rFonts w:ascii="Times New Roman" w:hAnsi="Times New Roman" w:cs="Times New Roman"/>
          <w:sz w:val="24"/>
          <w:szCs w:val="24"/>
        </w:rPr>
        <w:t xml:space="preserve"> Vision (</w:t>
      </w:r>
      <w:proofErr w:type="spellStart"/>
      <w:r w:rsidRPr="00C82CE1">
        <w:rPr>
          <w:rFonts w:ascii="Times New Roman" w:hAnsi="Times New Roman" w:cs="Times New Roman"/>
          <w:sz w:val="24"/>
          <w:szCs w:val="24"/>
        </w:rPr>
        <w:t>Nexcelom</w:t>
      </w:r>
      <w:proofErr w:type="spellEnd"/>
      <w:r w:rsidRPr="00C82CE1">
        <w:rPr>
          <w:rFonts w:ascii="Times New Roman" w:hAnsi="Times New Roman" w:cs="Times New Roman"/>
          <w:sz w:val="24"/>
          <w:szCs w:val="24"/>
        </w:rPr>
        <w:t xml:space="preserve"> Bioscience, Lawrence, MA) and prepared for flow cytometric analysis as previously described</w:t>
      </w:r>
      <w:r w:rsidR="00BA6A6B" w:rsidRPr="00C82CE1">
        <w:rPr>
          <w:rFonts w:ascii="Times New Roman" w:hAnsi="Times New Roman" w:cs="Times New Roman"/>
          <w:sz w:val="24"/>
          <w:szCs w:val="24"/>
        </w:rPr>
        <w:t xml:space="preserve"> (26).</w:t>
      </w:r>
      <w:r w:rsidRPr="00C82CE1">
        <w:rPr>
          <w:rFonts w:ascii="Times New Roman" w:hAnsi="Times New Roman" w:cs="Times New Roman"/>
          <w:sz w:val="24"/>
          <w:szCs w:val="24"/>
        </w:rPr>
        <w:t xml:space="preserve"> </w:t>
      </w:r>
      <w:r w:rsidR="00F26C80" w:rsidRPr="00C82CE1">
        <w:rPr>
          <w:rFonts w:ascii="Times New Roman" w:hAnsi="Times New Roman" w:cs="Times New Roman"/>
          <w:sz w:val="24"/>
          <w:szCs w:val="24"/>
        </w:rPr>
        <w:t xml:space="preserve">To minimize non-specific and Fc receptor binding, cells were incubated with Fc Block (CD16/CD32) (BD Biosciences, San Jose, CA, USA) </w:t>
      </w:r>
      <w:r w:rsidR="00F26C80" w:rsidRPr="00C82CE1">
        <w:rPr>
          <w:rFonts w:ascii="Times New Roman" w:hAnsi="Times New Roman" w:cs="Times New Roman"/>
          <w:sz w:val="24"/>
          <w:szCs w:val="24"/>
        </w:rPr>
        <w:lastRenderedPageBreak/>
        <w:t>and rat serum (Sigma-Aldrich, St Louis, MO, USA) prior to staining. Cells were subsequently stained using fluorochrome-conjugated antibodies (Table 7</w:t>
      </w:r>
      <w:r w:rsidR="00F26C80" w:rsidRPr="00C82CE1">
        <w:rPr>
          <w:rFonts w:ascii="Times New Roman" w:hAnsi="Times New Roman" w:cs="Times New Roman"/>
          <w:bCs/>
          <w:sz w:val="24"/>
          <w:szCs w:val="24"/>
        </w:rPr>
        <w:t>)</w:t>
      </w:r>
      <w:r w:rsidR="00F26C80" w:rsidRPr="00C82CE1">
        <w:rPr>
          <w:rFonts w:ascii="Times New Roman" w:hAnsi="Times New Roman" w:cs="Times New Roman"/>
          <w:sz w:val="24"/>
          <w:szCs w:val="24"/>
        </w:rPr>
        <w:t xml:space="preserve">. Data were collected via BD LSR II (BD Biosciences, Franklin Lakes, NJ) and analyzed using </w:t>
      </w:r>
      <w:proofErr w:type="spellStart"/>
      <w:r w:rsidR="00F26C80" w:rsidRPr="00C82CE1">
        <w:rPr>
          <w:rFonts w:ascii="Times New Roman" w:hAnsi="Times New Roman" w:cs="Times New Roman"/>
          <w:sz w:val="24"/>
          <w:szCs w:val="24"/>
        </w:rPr>
        <w:t>FlowJo</w:t>
      </w:r>
      <w:proofErr w:type="spellEnd"/>
      <w:r w:rsidR="00F26C80" w:rsidRPr="00C82CE1">
        <w:rPr>
          <w:rFonts w:ascii="Times New Roman" w:hAnsi="Times New Roman" w:cs="Times New Roman"/>
          <w:sz w:val="24"/>
          <w:szCs w:val="24"/>
        </w:rPr>
        <w:t xml:space="preserve"> (BD Biosciences).</w:t>
      </w:r>
    </w:p>
    <w:p w:rsidR="00824EFB" w:rsidRPr="00C82CE1" w:rsidRDefault="00824EFB" w:rsidP="00824EFB">
      <w:pPr>
        <w:spacing w:after="200" w:line="276" w:lineRule="auto"/>
        <w:rPr>
          <w:rFonts w:ascii="Times New Roman" w:hAnsi="Times New Roman" w:cs="Times New Roman"/>
          <w:sz w:val="24"/>
          <w:szCs w:val="24"/>
        </w:rPr>
      </w:pPr>
    </w:p>
    <w:p w:rsidR="00824EFB" w:rsidRPr="00C82CE1" w:rsidRDefault="00A513FD" w:rsidP="00824EFB">
      <w:pPr>
        <w:spacing w:after="0" w:line="480" w:lineRule="auto"/>
        <w:jc w:val="both"/>
        <w:rPr>
          <w:rFonts w:ascii="Times New Roman" w:hAnsi="Times New Roman" w:cs="Times New Roman"/>
          <w:b/>
          <w:i/>
          <w:sz w:val="24"/>
          <w:szCs w:val="24"/>
        </w:rPr>
      </w:pPr>
      <w:r w:rsidRPr="00C82CE1">
        <w:rPr>
          <w:rFonts w:ascii="Times New Roman" w:hAnsi="Times New Roman" w:cs="Times New Roman"/>
          <w:b/>
          <w:i/>
          <w:sz w:val="24"/>
          <w:szCs w:val="24"/>
        </w:rPr>
        <w:t xml:space="preserve">Supplemental Materials </w:t>
      </w:r>
      <w:r w:rsidR="004406D2" w:rsidRPr="00C82CE1">
        <w:rPr>
          <w:rFonts w:ascii="Times New Roman" w:hAnsi="Times New Roman" w:cs="Times New Roman"/>
          <w:b/>
          <w:i/>
          <w:sz w:val="24"/>
          <w:szCs w:val="24"/>
        </w:rPr>
        <w:t xml:space="preserve">E4. </w:t>
      </w:r>
      <w:r w:rsidR="00824EFB" w:rsidRPr="00C82CE1">
        <w:rPr>
          <w:rFonts w:ascii="Times New Roman" w:hAnsi="Times New Roman" w:cs="Times New Roman"/>
          <w:b/>
          <w:i/>
          <w:sz w:val="24"/>
          <w:szCs w:val="24"/>
        </w:rPr>
        <w:t>Proteomic and RNA analysis</w:t>
      </w:r>
    </w:p>
    <w:p w:rsidR="00824EFB" w:rsidRPr="00C82CE1" w:rsidRDefault="00F26C80" w:rsidP="00F26C80">
      <w:pPr>
        <w:autoSpaceDE w:val="0"/>
        <w:autoSpaceDN w:val="0"/>
        <w:adjustRightInd w:val="0"/>
        <w:spacing w:after="0" w:line="480" w:lineRule="auto"/>
        <w:rPr>
          <w:rFonts w:ascii="Times New Roman" w:hAnsi="Times New Roman" w:cs="Times New Roman"/>
          <w:sz w:val="24"/>
          <w:szCs w:val="24"/>
        </w:rPr>
      </w:pPr>
      <w:r w:rsidRPr="00C82CE1">
        <w:rPr>
          <w:rFonts w:ascii="Times New Roman" w:hAnsi="Times New Roman" w:cs="Times New Roman"/>
          <w:sz w:val="24"/>
          <w:szCs w:val="24"/>
        </w:rPr>
        <w:t>Frozen r</w:t>
      </w:r>
      <w:r w:rsidR="00824EFB" w:rsidRPr="00C82CE1">
        <w:rPr>
          <w:rFonts w:ascii="Times New Roman" w:hAnsi="Times New Roman" w:cs="Times New Roman"/>
          <w:sz w:val="24"/>
          <w:szCs w:val="24"/>
        </w:rPr>
        <w:t xml:space="preserve">ight lung lobes (n=3/group) were sent to MS </w:t>
      </w:r>
      <w:proofErr w:type="spellStart"/>
      <w:r w:rsidR="00824EFB" w:rsidRPr="00C82CE1">
        <w:rPr>
          <w:rFonts w:ascii="Times New Roman" w:hAnsi="Times New Roman" w:cs="Times New Roman"/>
          <w:sz w:val="24"/>
          <w:szCs w:val="24"/>
        </w:rPr>
        <w:t>Bioworks</w:t>
      </w:r>
      <w:proofErr w:type="spellEnd"/>
      <w:r w:rsidR="00824EFB" w:rsidRPr="00C82CE1">
        <w:rPr>
          <w:rFonts w:ascii="Times New Roman" w:hAnsi="Times New Roman" w:cs="Times New Roman"/>
          <w:sz w:val="24"/>
          <w:szCs w:val="24"/>
        </w:rPr>
        <w:t xml:space="preserve"> (Ann Arbor, MI) for quantitative proteomic analysis as previously described</w:t>
      </w:r>
      <w:r w:rsidR="00BA6A6B" w:rsidRPr="00C82CE1">
        <w:rPr>
          <w:rFonts w:ascii="Times New Roman" w:hAnsi="Times New Roman" w:cs="Times New Roman"/>
          <w:sz w:val="24"/>
          <w:szCs w:val="24"/>
        </w:rPr>
        <w:t xml:space="preserve"> (26).</w:t>
      </w:r>
      <w:r w:rsidR="00824EFB" w:rsidRPr="00C82CE1">
        <w:rPr>
          <w:rFonts w:ascii="Times New Roman" w:hAnsi="Times New Roman" w:cs="Times New Roman"/>
          <w:sz w:val="24"/>
          <w:szCs w:val="24"/>
        </w:rPr>
        <w:t xml:space="preserve"> </w:t>
      </w:r>
      <w:r w:rsidRPr="00C82CE1">
        <w:rPr>
          <w:rFonts w:ascii="Times New Roman" w:hAnsi="Times New Roman" w:cs="Times New Roman"/>
          <w:sz w:val="24"/>
          <w:szCs w:val="24"/>
        </w:rPr>
        <w:t xml:space="preserve">Briefly, the lung tissues were lysed in modified RIPA buffer (50mM Tris HCl, pH 8.0, 150mM NaCl, 2.0% SDS, 0.1% TX100, 1X Roche Complete Protease Inhibitor). Samples were heated, and the supernatants were collected and quantified by Qubit Fluorometry (Life Technologies). Extracted proteins were separated using a 10% bis tris SDS-PAGE gel followed by in-gel digestion of proteins with trypsin. Digested peptides were pooled and analyzed by nano-liquid chromatography tandem mass spectrometry with a Waters </w:t>
      </w:r>
      <w:proofErr w:type="spellStart"/>
      <w:r w:rsidRPr="00C82CE1">
        <w:rPr>
          <w:rFonts w:ascii="Times New Roman" w:hAnsi="Times New Roman" w:cs="Times New Roman"/>
          <w:sz w:val="24"/>
          <w:szCs w:val="24"/>
        </w:rPr>
        <w:t>NanoAcquity</w:t>
      </w:r>
      <w:proofErr w:type="spellEnd"/>
      <w:r w:rsidRPr="00C82CE1">
        <w:rPr>
          <w:rFonts w:ascii="Times New Roman" w:hAnsi="Times New Roman" w:cs="Times New Roman"/>
          <w:sz w:val="24"/>
          <w:szCs w:val="24"/>
        </w:rPr>
        <w:t xml:space="preserve"> HPLC system interfaced to a </w:t>
      </w:r>
      <w:proofErr w:type="spellStart"/>
      <w:r w:rsidRPr="00C82CE1">
        <w:rPr>
          <w:rFonts w:ascii="Times New Roman" w:hAnsi="Times New Roman" w:cs="Times New Roman"/>
          <w:sz w:val="24"/>
          <w:szCs w:val="24"/>
        </w:rPr>
        <w:t>ThermoFisher</w:t>
      </w:r>
      <w:proofErr w:type="spellEnd"/>
      <w:r w:rsidRPr="00C82CE1">
        <w:rPr>
          <w:rFonts w:ascii="Times New Roman" w:hAnsi="Times New Roman" w:cs="Times New Roman"/>
          <w:sz w:val="24"/>
          <w:szCs w:val="24"/>
        </w:rPr>
        <w:t xml:space="preserve"> Q </w:t>
      </w:r>
      <w:proofErr w:type="spellStart"/>
      <w:r w:rsidRPr="00C82CE1">
        <w:rPr>
          <w:rFonts w:ascii="Times New Roman" w:hAnsi="Times New Roman" w:cs="Times New Roman"/>
          <w:sz w:val="24"/>
          <w:szCs w:val="24"/>
        </w:rPr>
        <w:t>Exactive</w:t>
      </w:r>
      <w:proofErr w:type="spellEnd"/>
      <w:r w:rsidRPr="00C82CE1">
        <w:rPr>
          <w:rFonts w:ascii="Times New Roman" w:hAnsi="Times New Roman" w:cs="Times New Roman"/>
          <w:sz w:val="24"/>
          <w:szCs w:val="24"/>
        </w:rPr>
        <w:t xml:space="preserve"> Orbitrap. Data was processed through the </w:t>
      </w:r>
      <w:proofErr w:type="spellStart"/>
      <w:r w:rsidRPr="00C82CE1">
        <w:rPr>
          <w:rFonts w:ascii="Times New Roman" w:hAnsi="Times New Roman" w:cs="Times New Roman"/>
          <w:sz w:val="24"/>
          <w:szCs w:val="24"/>
        </w:rPr>
        <w:t>MaxQuant</w:t>
      </w:r>
      <w:proofErr w:type="spellEnd"/>
      <w:r w:rsidRPr="00C82CE1">
        <w:rPr>
          <w:rFonts w:ascii="Times New Roman" w:hAnsi="Times New Roman" w:cs="Times New Roman"/>
          <w:sz w:val="24"/>
          <w:szCs w:val="24"/>
        </w:rPr>
        <w:t xml:space="preserve"> software which recalibrated the mass spectrometric data, filtered at the 1% protein and peptide false discovery rate (FDR) and calculated the peak areas for detected peptides and proteins. Data was searched against the </w:t>
      </w:r>
      <w:r w:rsidRPr="00C82CE1">
        <w:rPr>
          <w:rFonts w:ascii="Times New Roman" w:hAnsi="Times New Roman" w:cs="Times New Roman"/>
          <w:i/>
          <w:sz w:val="24"/>
          <w:szCs w:val="24"/>
        </w:rPr>
        <w:t>Mus musculus</w:t>
      </w:r>
      <w:r w:rsidRPr="00C82CE1">
        <w:rPr>
          <w:rFonts w:ascii="Times New Roman" w:hAnsi="Times New Roman" w:cs="Times New Roman"/>
          <w:sz w:val="24"/>
          <w:szCs w:val="24"/>
        </w:rPr>
        <w:t xml:space="preserve"> genome database (</w:t>
      </w:r>
      <w:proofErr w:type="spellStart"/>
      <w:r w:rsidRPr="00C82CE1">
        <w:rPr>
          <w:rFonts w:ascii="Times New Roman" w:hAnsi="Times New Roman" w:cs="Times New Roman"/>
          <w:sz w:val="24"/>
          <w:szCs w:val="24"/>
        </w:rPr>
        <w:t>Swissprot</w:t>
      </w:r>
      <w:proofErr w:type="spellEnd"/>
      <w:r w:rsidRPr="00C82CE1">
        <w:rPr>
          <w:rFonts w:ascii="Times New Roman" w:hAnsi="Times New Roman" w:cs="Times New Roman"/>
          <w:sz w:val="24"/>
          <w:szCs w:val="24"/>
        </w:rPr>
        <w:t xml:space="preserve">). </w:t>
      </w:r>
    </w:p>
    <w:p w:rsidR="00F26C80" w:rsidRPr="00C82CE1" w:rsidRDefault="00F26C80" w:rsidP="00F26C80">
      <w:pPr>
        <w:autoSpaceDE w:val="0"/>
        <w:autoSpaceDN w:val="0"/>
        <w:spacing w:after="0" w:line="480" w:lineRule="auto"/>
        <w:ind w:firstLine="720"/>
        <w:jc w:val="both"/>
        <w:rPr>
          <w:rFonts w:ascii="Times New Roman" w:hAnsi="Times New Roman" w:cs="Times New Roman"/>
          <w:sz w:val="24"/>
          <w:szCs w:val="24"/>
        </w:rPr>
      </w:pPr>
      <w:r w:rsidRPr="00C82CE1">
        <w:rPr>
          <w:rFonts w:ascii="Times New Roman" w:eastAsia="ArialMT" w:hAnsi="Times New Roman" w:cs="Times New Roman"/>
          <w:sz w:val="24"/>
          <w:szCs w:val="24"/>
        </w:rPr>
        <w:t>The mRNA analyses were c</w:t>
      </w:r>
      <w:r w:rsidR="00BA6A6B" w:rsidRPr="00C82CE1">
        <w:rPr>
          <w:rFonts w:ascii="Times New Roman" w:eastAsia="ArialMT" w:hAnsi="Times New Roman" w:cs="Times New Roman"/>
          <w:sz w:val="24"/>
          <w:szCs w:val="24"/>
        </w:rPr>
        <w:t>onducted as previously described (25).</w:t>
      </w:r>
      <w:r w:rsidRPr="00C82CE1">
        <w:rPr>
          <w:rFonts w:ascii="Times New Roman" w:eastAsia="ArialMT" w:hAnsi="Times New Roman" w:cs="Times New Roman"/>
          <w:sz w:val="24"/>
          <w:szCs w:val="24"/>
        </w:rPr>
        <w:t xml:space="preserve"> First, </w:t>
      </w:r>
      <w:r w:rsidRPr="00C82CE1">
        <w:rPr>
          <w:rFonts w:ascii="Times New Roman" w:hAnsi="Times New Roman" w:cs="Times New Roman"/>
          <w:sz w:val="24"/>
          <w:szCs w:val="24"/>
        </w:rPr>
        <w:t>RT</w:t>
      </w:r>
      <w:r w:rsidRPr="00C82CE1">
        <w:rPr>
          <w:rFonts w:ascii="Times New Roman" w:hAnsi="Times New Roman" w:cs="Times New Roman"/>
          <w:sz w:val="24"/>
          <w:szCs w:val="24"/>
          <w:vertAlign w:val="superscript"/>
        </w:rPr>
        <w:t>2</w:t>
      </w:r>
      <w:r w:rsidRPr="00C82CE1">
        <w:rPr>
          <w:rFonts w:ascii="Times New Roman" w:hAnsi="Times New Roman" w:cs="Times New Roman"/>
          <w:sz w:val="24"/>
          <w:szCs w:val="24"/>
        </w:rPr>
        <w:t xml:space="preserve"> First Strand Kit (Qiagen, CA) converted the extracted total RNA</w:t>
      </w:r>
      <w:r w:rsidRPr="00C82CE1">
        <w:rPr>
          <w:rFonts w:ascii="Times New Roman" w:eastAsia="DIN-Light" w:hAnsi="Times New Roman" w:cs="Times New Roman"/>
          <w:sz w:val="24"/>
          <w:szCs w:val="24"/>
        </w:rPr>
        <w:t xml:space="preserve"> </w:t>
      </w:r>
      <w:r w:rsidRPr="00C82CE1">
        <w:rPr>
          <w:rFonts w:ascii="Times New Roman" w:hAnsi="Times New Roman" w:cs="Times New Roman"/>
          <w:sz w:val="24"/>
          <w:szCs w:val="24"/>
        </w:rPr>
        <w:t>to cDNA. The cDNA was mixed in prefabricated PCR plates that contained primers of genes involved in the Th1-Th2 response and Th17 response pathways (RT² Profiler™ PCR Array Mouse Th1 &amp; Th2 Responses and RT² Profiler™ PCR Array Mouse Th17 Response), and then subjected to real-time PCR (ABI 7900HT, Applied Biosystems, Thermo Fisher Scientific, CA) according to manufacturer’s instructions (Qiagen, CA). RT² SYBR Green ROX qPCR Mastermix was used for cDNA quantification (Qiagen, CA).  Th1, Th2 and Th17 gene expression data were normalized to beta-glucuronidase (</w:t>
      </w:r>
      <w:proofErr w:type="spellStart"/>
      <w:r w:rsidRPr="00C82CE1">
        <w:rPr>
          <w:rFonts w:ascii="Times New Roman" w:hAnsi="Times New Roman" w:cs="Times New Roman"/>
          <w:i/>
          <w:sz w:val="24"/>
          <w:szCs w:val="24"/>
        </w:rPr>
        <w:t>gusb</w:t>
      </w:r>
      <w:proofErr w:type="spellEnd"/>
      <w:r w:rsidRPr="00C82CE1">
        <w:rPr>
          <w:rFonts w:ascii="Times New Roman" w:hAnsi="Times New Roman" w:cs="Times New Roman"/>
          <w:sz w:val="24"/>
          <w:szCs w:val="24"/>
        </w:rPr>
        <w:t>). Secondly, the expression of additional genes (</w:t>
      </w:r>
      <w:r w:rsidRPr="00C82CE1">
        <w:rPr>
          <w:rFonts w:ascii="Times New Roman" w:hAnsi="Times New Roman" w:cs="Times New Roman"/>
          <w:bCs/>
          <w:sz w:val="24"/>
          <w:szCs w:val="24"/>
        </w:rPr>
        <w:t>Table 8</w:t>
      </w:r>
      <w:r w:rsidRPr="00C82CE1">
        <w:rPr>
          <w:rFonts w:ascii="Times New Roman" w:hAnsi="Times New Roman" w:cs="Times New Roman"/>
          <w:sz w:val="24"/>
          <w:szCs w:val="24"/>
        </w:rPr>
        <w:t>) were measured by converting the extracted total RNA</w:t>
      </w:r>
      <w:r w:rsidRPr="00C82CE1">
        <w:rPr>
          <w:rFonts w:ascii="Times New Roman" w:eastAsia="DIN-Light" w:hAnsi="Times New Roman" w:cs="Times New Roman"/>
          <w:sz w:val="24"/>
          <w:szCs w:val="24"/>
        </w:rPr>
        <w:t xml:space="preserve"> </w:t>
      </w:r>
      <w:r w:rsidRPr="00C82CE1">
        <w:rPr>
          <w:rFonts w:ascii="Times New Roman" w:hAnsi="Times New Roman" w:cs="Times New Roman"/>
          <w:sz w:val="24"/>
          <w:szCs w:val="24"/>
        </w:rPr>
        <w:t xml:space="preserve">to cDNA by the High Capacity cDNA Reverse Transcription Kit with RNase Inhibitor (Life Technologies, MA). </w:t>
      </w:r>
      <w:r w:rsidRPr="00C82CE1">
        <w:rPr>
          <w:rFonts w:ascii="Times New Roman" w:eastAsia="ArialMT" w:hAnsi="Times New Roman" w:cs="Times New Roman"/>
          <w:sz w:val="24"/>
          <w:szCs w:val="24"/>
        </w:rPr>
        <w:t>A</w:t>
      </w:r>
      <w:r w:rsidRPr="00C82CE1">
        <w:rPr>
          <w:rFonts w:ascii="Times New Roman" w:hAnsi="Times New Roman" w:cs="Times New Roman"/>
          <w:sz w:val="24"/>
          <w:szCs w:val="24"/>
        </w:rPr>
        <w:t xml:space="preserve">dditional murine gene assay identifiers (Life Technologies, MA) are reported in </w:t>
      </w:r>
      <w:r w:rsidRPr="00C82CE1">
        <w:rPr>
          <w:rFonts w:ascii="Times New Roman" w:hAnsi="Times New Roman" w:cs="Times New Roman"/>
          <w:bCs/>
          <w:sz w:val="24"/>
          <w:szCs w:val="24"/>
        </w:rPr>
        <w:t>Table 8</w:t>
      </w:r>
      <w:r w:rsidRPr="00C82CE1">
        <w:rPr>
          <w:rFonts w:ascii="Times New Roman" w:hAnsi="Times New Roman" w:cs="Times New Roman"/>
          <w:sz w:val="24"/>
          <w:szCs w:val="24"/>
        </w:rPr>
        <w:t xml:space="preserve">. Equal amounts of cDNA were then subjected to real-time PCR. TaqMan® Fast Universal PCR Master Mix (2x), no </w:t>
      </w:r>
      <w:proofErr w:type="spellStart"/>
      <w:r w:rsidRPr="00C82CE1">
        <w:rPr>
          <w:rFonts w:ascii="Times New Roman" w:hAnsi="Times New Roman" w:cs="Times New Roman"/>
          <w:sz w:val="24"/>
          <w:szCs w:val="24"/>
        </w:rPr>
        <w:t>AmpErase</w:t>
      </w:r>
      <w:proofErr w:type="spellEnd"/>
      <w:r w:rsidRPr="00C82CE1">
        <w:rPr>
          <w:rFonts w:ascii="Times New Roman" w:hAnsi="Times New Roman" w:cs="Times New Roman"/>
          <w:sz w:val="24"/>
          <w:szCs w:val="24"/>
        </w:rPr>
        <w:t xml:space="preserve">® UNG (Life Technologies, MA) was used for quantification of cDNA. </w:t>
      </w:r>
      <w:r w:rsidRPr="00C82CE1">
        <w:rPr>
          <w:rFonts w:ascii="Times New Roman" w:eastAsia="ArialMT" w:hAnsi="Times New Roman" w:cs="Times New Roman"/>
          <w:sz w:val="24"/>
          <w:szCs w:val="24"/>
        </w:rPr>
        <w:t xml:space="preserve">Data were normalized </w:t>
      </w:r>
      <w:r w:rsidRPr="00C82CE1">
        <w:rPr>
          <w:rFonts w:ascii="Times New Roman" w:hAnsi="Times New Roman" w:cs="Times New Roman"/>
          <w:sz w:val="24"/>
          <w:szCs w:val="24"/>
        </w:rPr>
        <w:t>to g</w:t>
      </w:r>
      <w:r w:rsidRPr="00C82CE1">
        <w:rPr>
          <w:rFonts w:ascii="Times New Roman" w:hAnsi="Times New Roman" w:cs="Times New Roman"/>
          <w:iCs/>
          <w:sz w:val="24"/>
          <w:szCs w:val="24"/>
        </w:rPr>
        <w:t>lyceraldehyde-3-phosphate dehydrogenase (</w:t>
      </w:r>
      <w:proofErr w:type="spellStart"/>
      <w:r w:rsidRPr="00C82CE1">
        <w:rPr>
          <w:rFonts w:ascii="Times New Roman" w:hAnsi="Times New Roman" w:cs="Times New Roman"/>
          <w:i/>
          <w:iCs/>
          <w:sz w:val="24"/>
          <w:szCs w:val="24"/>
        </w:rPr>
        <w:t>gapdh</w:t>
      </w:r>
      <w:proofErr w:type="spellEnd"/>
      <w:r w:rsidRPr="00C82CE1">
        <w:rPr>
          <w:rFonts w:ascii="Times New Roman" w:hAnsi="Times New Roman" w:cs="Times New Roman"/>
          <w:iCs/>
          <w:sz w:val="24"/>
          <w:szCs w:val="24"/>
        </w:rPr>
        <w:t>)</w:t>
      </w:r>
      <w:r w:rsidRPr="00C82CE1">
        <w:rPr>
          <w:rFonts w:ascii="Times New Roman" w:hAnsi="Times New Roman" w:cs="Times New Roman"/>
          <w:sz w:val="24"/>
          <w:szCs w:val="24"/>
        </w:rPr>
        <w:t xml:space="preserve">. Heat maps were generated by the online analysis tool, </w:t>
      </w:r>
      <w:proofErr w:type="spellStart"/>
      <w:r w:rsidRPr="00C82CE1">
        <w:rPr>
          <w:rFonts w:ascii="Times New Roman" w:hAnsi="Times New Roman" w:cs="Times New Roman"/>
          <w:sz w:val="24"/>
          <w:szCs w:val="24"/>
        </w:rPr>
        <w:t>CIMminer</w:t>
      </w:r>
      <w:proofErr w:type="spellEnd"/>
      <w:r w:rsidRPr="00C82CE1">
        <w:rPr>
          <w:rFonts w:ascii="Times New Roman" w:hAnsi="Times New Roman" w:cs="Times New Roman"/>
          <w:sz w:val="24"/>
          <w:szCs w:val="24"/>
        </w:rPr>
        <w:t xml:space="preserve"> (</w:t>
      </w:r>
      <w:hyperlink r:id="rId4" w:history="1">
        <w:r w:rsidRPr="00C82CE1">
          <w:rPr>
            <w:rStyle w:val="Hyperlink"/>
            <w:rFonts w:ascii="Times New Roman" w:hAnsi="Times New Roman" w:cs="Times New Roman"/>
            <w:color w:val="auto"/>
            <w:sz w:val="24"/>
            <w:szCs w:val="24"/>
          </w:rPr>
          <w:t>https://discover.nci.nih.gov/cimminer/</w:t>
        </w:r>
      </w:hyperlink>
      <w:r w:rsidRPr="00C82CE1">
        <w:rPr>
          <w:rFonts w:ascii="Times New Roman" w:hAnsi="Times New Roman" w:cs="Times New Roman"/>
          <w:sz w:val="24"/>
          <w:szCs w:val="24"/>
        </w:rPr>
        <w:t>).</w:t>
      </w:r>
    </w:p>
    <w:p w:rsidR="00824EFB" w:rsidRPr="00C82CE1" w:rsidRDefault="00824EFB" w:rsidP="00824EFB">
      <w:pPr>
        <w:autoSpaceDE w:val="0"/>
        <w:autoSpaceDN w:val="0"/>
        <w:spacing w:after="0" w:line="480" w:lineRule="auto"/>
        <w:ind w:firstLine="720"/>
        <w:jc w:val="both"/>
        <w:rPr>
          <w:rFonts w:ascii="Times New Roman" w:hAnsi="Times New Roman" w:cs="Times New Roman"/>
          <w:sz w:val="24"/>
          <w:szCs w:val="24"/>
        </w:rPr>
      </w:pPr>
      <w:r w:rsidRPr="00C82CE1">
        <w:rPr>
          <w:rFonts w:ascii="Times New Roman" w:hAnsi="Times New Roman" w:cs="Times New Roman"/>
          <w:sz w:val="24"/>
          <w:szCs w:val="24"/>
        </w:rPr>
        <w:t>Fold changes and false discovery rates of the differentially expressed miRNAs, genes, and proteins were analyzed by Ingenuity Pathway Analysis (IPA) software (Qiagen) for core, comparative, and miRNA target filter analysis</w:t>
      </w:r>
      <w:r w:rsidR="00BA6A6B" w:rsidRPr="00C82CE1">
        <w:rPr>
          <w:rFonts w:ascii="Times New Roman" w:hAnsi="Times New Roman" w:cs="Times New Roman"/>
          <w:sz w:val="24"/>
          <w:szCs w:val="24"/>
        </w:rPr>
        <w:t xml:space="preserve"> (25)</w:t>
      </w:r>
      <w:r w:rsidRPr="00C82CE1">
        <w:rPr>
          <w:rFonts w:ascii="Times New Roman" w:hAnsi="Times New Roman" w:cs="Times New Roman"/>
          <w:sz w:val="24"/>
          <w:szCs w:val="24"/>
        </w:rPr>
        <w:t xml:space="preserve">. </w:t>
      </w:r>
    </w:p>
    <w:p w:rsidR="00824EFB" w:rsidRPr="00C82CE1" w:rsidRDefault="00824EFB" w:rsidP="00824EFB">
      <w:pPr>
        <w:spacing w:after="0" w:line="480" w:lineRule="auto"/>
        <w:jc w:val="both"/>
        <w:rPr>
          <w:rFonts w:ascii="Times New Roman" w:hAnsi="Times New Roman" w:cs="Times New Roman"/>
          <w:b/>
          <w:i/>
          <w:sz w:val="24"/>
          <w:szCs w:val="24"/>
        </w:rPr>
      </w:pPr>
    </w:p>
    <w:p w:rsidR="00824EFB" w:rsidRPr="00C82CE1" w:rsidRDefault="00A513FD" w:rsidP="00824EFB">
      <w:pPr>
        <w:widowControl w:val="0"/>
        <w:autoSpaceDE w:val="0"/>
        <w:autoSpaceDN w:val="0"/>
        <w:spacing w:after="0" w:line="480" w:lineRule="auto"/>
        <w:jc w:val="both"/>
        <w:rPr>
          <w:rFonts w:ascii="Times New Roman" w:eastAsia="ArialMT" w:hAnsi="Times New Roman" w:cs="Times New Roman"/>
          <w:b/>
          <w:sz w:val="24"/>
          <w:szCs w:val="24"/>
        </w:rPr>
      </w:pPr>
      <w:r w:rsidRPr="00C82CE1">
        <w:rPr>
          <w:rFonts w:ascii="Times New Roman" w:hAnsi="Times New Roman" w:cs="Times New Roman"/>
          <w:b/>
          <w:i/>
          <w:sz w:val="24"/>
          <w:szCs w:val="24"/>
        </w:rPr>
        <w:t xml:space="preserve">Supplemental Materials </w:t>
      </w:r>
      <w:r w:rsidR="004406D2" w:rsidRPr="00C82CE1">
        <w:rPr>
          <w:rFonts w:ascii="Times New Roman" w:hAnsi="Times New Roman" w:cs="Times New Roman"/>
          <w:b/>
          <w:i/>
          <w:iCs/>
          <w:sz w:val="24"/>
          <w:szCs w:val="24"/>
        </w:rPr>
        <w:t xml:space="preserve">E5. </w:t>
      </w:r>
      <w:r w:rsidR="00824EFB" w:rsidRPr="00C82CE1">
        <w:rPr>
          <w:rFonts w:ascii="Times New Roman" w:hAnsi="Times New Roman" w:cs="Times New Roman"/>
          <w:b/>
          <w:i/>
          <w:iCs/>
          <w:sz w:val="24"/>
          <w:szCs w:val="24"/>
        </w:rPr>
        <w:t>Statistics</w:t>
      </w:r>
    </w:p>
    <w:p w:rsidR="00824EFB" w:rsidRPr="00C82CE1" w:rsidRDefault="00824EFB" w:rsidP="00BA6A6B">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 xml:space="preserve">Statistical power tests were conducted to determine the appropriate number of samples needed for each endpoint measurement. </w:t>
      </w:r>
      <w:r w:rsidRPr="00C82CE1">
        <w:rPr>
          <w:rFonts w:ascii="Times New Roman" w:hAnsi="Times New Roman" w:cs="Times New Roman"/>
          <w:sz w:val="24"/>
          <w:szCs w:val="24"/>
        </w:rPr>
        <w:t>The flow cytometry datasets (</w:t>
      </w:r>
      <w:proofErr w:type="spellStart"/>
      <w:r w:rsidRPr="00C82CE1">
        <w:rPr>
          <w:rFonts w:ascii="Times New Roman" w:hAnsi="Times New Roman" w:cs="Times New Roman"/>
          <w:sz w:val="24"/>
          <w:szCs w:val="24"/>
        </w:rPr>
        <w:t>means±SEM</w:t>
      </w:r>
      <w:proofErr w:type="spellEnd"/>
      <w:r w:rsidRPr="00C82CE1">
        <w:rPr>
          <w:rFonts w:ascii="Times New Roman" w:hAnsi="Times New Roman" w:cs="Times New Roman"/>
          <w:sz w:val="24"/>
          <w:szCs w:val="24"/>
        </w:rPr>
        <w:t xml:space="preserve">) were analyzed using </w:t>
      </w:r>
      <w:r w:rsidRPr="00C82CE1">
        <w:rPr>
          <w:rFonts w:ascii="Times New Roman" w:eastAsia="Times New Roman" w:hAnsi="Times New Roman" w:cs="Times New Roman"/>
          <w:sz w:val="24"/>
          <w:szCs w:val="24"/>
        </w:rPr>
        <w:t xml:space="preserve">the unpaired t-test (two-tailed) in Prism 7.0 </w:t>
      </w:r>
      <w:r w:rsidRPr="00C82CE1">
        <w:rPr>
          <w:rFonts w:ascii="Times New Roman" w:hAnsi="Times New Roman" w:cs="Times New Roman"/>
          <w:sz w:val="24"/>
          <w:szCs w:val="24"/>
        </w:rPr>
        <w:t>(</w:t>
      </w:r>
      <w:proofErr w:type="spellStart"/>
      <w:r w:rsidRPr="00C82CE1">
        <w:rPr>
          <w:rFonts w:ascii="Times New Roman" w:hAnsi="Times New Roman" w:cs="Times New Roman"/>
          <w:sz w:val="24"/>
          <w:szCs w:val="24"/>
        </w:rPr>
        <w:t>Graphpad</w:t>
      </w:r>
      <w:proofErr w:type="spellEnd"/>
      <w:r w:rsidRPr="00C82CE1">
        <w:rPr>
          <w:rFonts w:ascii="Times New Roman" w:hAnsi="Times New Roman" w:cs="Times New Roman"/>
          <w:sz w:val="24"/>
          <w:szCs w:val="24"/>
        </w:rPr>
        <w:t xml:space="preserve"> Software Inc, La Jolla, CA). </w:t>
      </w:r>
      <w:r w:rsidRPr="00C82CE1">
        <w:rPr>
          <w:rFonts w:ascii="Times New Roman" w:eastAsia="ArialMT" w:hAnsi="Times New Roman" w:cs="Times New Roman"/>
          <w:sz w:val="24"/>
          <w:szCs w:val="24"/>
        </w:rPr>
        <w:t xml:space="preserve">Statistical analyses of the mRNA results were performed using </w:t>
      </w:r>
      <w:r w:rsidRPr="00C82CE1">
        <w:rPr>
          <w:rFonts w:ascii="Times New Roman" w:hAnsi="Times New Roman" w:cs="Times New Roman"/>
          <w:sz w:val="24"/>
          <w:szCs w:val="24"/>
        </w:rPr>
        <w:t xml:space="preserve">Qiagen’s </w:t>
      </w:r>
      <w:proofErr w:type="spellStart"/>
      <w:r w:rsidRPr="00C82CE1">
        <w:rPr>
          <w:rFonts w:ascii="Times New Roman" w:hAnsi="Times New Roman" w:cs="Times New Roman"/>
          <w:sz w:val="24"/>
          <w:szCs w:val="24"/>
        </w:rPr>
        <w:t>GeneGlobe</w:t>
      </w:r>
      <w:proofErr w:type="spellEnd"/>
      <w:r w:rsidRPr="00C82CE1">
        <w:rPr>
          <w:rFonts w:ascii="Times New Roman" w:hAnsi="Times New Roman" w:cs="Times New Roman"/>
          <w:sz w:val="24"/>
          <w:szCs w:val="24"/>
        </w:rPr>
        <w:t xml:space="preserve"> Data Analysis Center using Student’s t-tests for replicate values of each gene. M</w:t>
      </w:r>
      <w:r w:rsidRPr="00C82CE1">
        <w:rPr>
          <w:rFonts w:ascii="Times New Roman" w:eastAsia="ArialMT" w:hAnsi="Times New Roman" w:cs="Times New Roman"/>
          <w:sz w:val="24"/>
          <w:szCs w:val="24"/>
        </w:rPr>
        <w:t>iRNA analyses were performed by Exiqon Inc. using R/Bioconductor software (</w:t>
      </w:r>
      <w:proofErr w:type="spellStart"/>
      <w:r w:rsidRPr="00C82CE1">
        <w:rPr>
          <w:rFonts w:ascii="Times New Roman" w:eastAsia="ArialMT" w:hAnsi="Times New Roman" w:cs="Times New Roman"/>
          <w:sz w:val="24"/>
          <w:szCs w:val="24"/>
        </w:rPr>
        <w:t>Limma</w:t>
      </w:r>
      <w:proofErr w:type="spellEnd"/>
      <w:r w:rsidRPr="00C82CE1">
        <w:rPr>
          <w:rFonts w:ascii="Times New Roman" w:eastAsia="ArialMT" w:hAnsi="Times New Roman" w:cs="Times New Roman"/>
          <w:sz w:val="24"/>
          <w:szCs w:val="24"/>
        </w:rPr>
        <w:t xml:space="preserve"> package) and moderated t-tests</w:t>
      </w:r>
      <w:r w:rsidR="000D10EC" w:rsidRPr="00C82CE1">
        <w:rPr>
          <w:rFonts w:ascii="Times New Roman" w:eastAsia="ArialMT" w:hAnsi="Times New Roman" w:cs="Times New Roman"/>
          <w:sz w:val="24"/>
          <w:szCs w:val="24"/>
        </w:rPr>
        <w:t xml:space="preserve"> with false discovery rates</w:t>
      </w:r>
      <w:r w:rsidRPr="00C82CE1">
        <w:rPr>
          <w:rFonts w:ascii="Times New Roman" w:eastAsia="ArialMT" w:hAnsi="Times New Roman" w:cs="Times New Roman"/>
          <w:sz w:val="24"/>
          <w:szCs w:val="24"/>
        </w:rPr>
        <w:t xml:space="preserve">. </w:t>
      </w:r>
      <w:r w:rsidRPr="00C82CE1">
        <w:rPr>
          <w:rFonts w:ascii="Times New Roman" w:hAnsi="Times New Roman" w:cs="Times New Roman"/>
          <w:sz w:val="24"/>
          <w:szCs w:val="24"/>
        </w:rPr>
        <w:t>Proteomic data was compared by independent sample t-test for each protein</w:t>
      </w:r>
      <w:r w:rsidR="00BA6A6B" w:rsidRPr="00C82CE1">
        <w:rPr>
          <w:rFonts w:ascii="Times New Roman" w:hAnsi="Times New Roman" w:cs="Times New Roman"/>
          <w:sz w:val="24"/>
          <w:szCs w:val="24"/>
        </w:rPr>
        <w:t xml:space="preserve"> (26)</w:t>
      </w:r>
      <w:r w:rsidRPr="00C82CE1">
        <w:rPr>
          <w:rFonts w:ascii="Times New Roman" w:hAnsi="Times New Roman" w:cs="Times New Roman"/>
          <w:sz w:val="24"/>
          <w:szCs w:val="24"/>
        </w:rPr>
        <w:t xml:space="preserve"> and statistical analysis performed using Perseus. Fold changes</w:t>
      </w:r>
      <w:r w:rsidRPr="00C82CE1">
        <w:rPr>
          <w:rFonts w:ascii="Times New Roman" w:eastAsia="ArialMT" w:hAnsi="Times New Roman" w:cs="Times New Roman"/>
          <w:sz w:val="24"/>
          <w:szCs w:val="24"/>
        </w:rPr>
        <w:t xml:space="preserve"> </w:t>
      </w:r>
      <w:r w:rsidRPr="00C82CE1">
        <w:rPr>
          <w:rFonts w:ascii="Times New Roman" w:eastAsia="ArialMT" w:hAnsi="Times New Roman" w:cs="Times New Roman"/>
          <w:sz w:val="24"/>
          <w:szCs w:val="24"/>
          <w:u w:val="single"/>
        </w:rPr>
        <w:t>&gt;</w:t>
      </w:r>
      <w:r w:rsidRPr="00C82CE1">
        <w:rPr>
          <w:rFonts w:ascii="Times New Roman" w:eastAsia="ArialMT" w:hAnsi="Times New Roman" w:cs="Times New Roman"/>
          <w:sz w:val="24"/>
          <w:szCs w:val="24"/>
        </w:rPr>
        <w:t xml:space="preserve">2 or </w:t>
      </w:r>
      <w:r w:rsidRPr="00C82CE1">
        <w:rPr>
          <w:rFonts w:ascii="Times New Roman" w:eastAsia="ArialMT" w:hAnsi="Times New Roman" w:cs="Times New Roman"/>
          <w:sz w:val="24"/>
          <w:szCs w:val="24"/>
          <w:u w:val="single"/>
        </w:rPr>
        <w:t>&lt;</w:t>
      </w:r>
      <w:r w:rsidRPr="00C82CE1">
        <w:rPr>
          <w:rFonts w:ascii="Times New Roman" w:eastAsia="ArialMT" w:hAnsi="Times New Roman" w:cs="Times New Roman"/>
          <w:sz w:val="24"/>
          <w:szCs w:val="24"/>
        </w:rPr>
        <w:t xml:space="preserve">-2 were considered altered. </w:t>
      </w:r>
      <w:r w:rsidRPr="00C82CE1">
        <w:rPr>
          <w:rFonts w:ascii="Times New Roman" w:eastAsia="ArialMT" w:hAnsi="Times New Roman" w:cs="Times New Roman"/>
          <w:i/>
          <w:sz w:val="24"/>
          <w:szCs w:val="24"/>
        </w:rPr>
        <w:t>P-</w:t>
      </w:r>
      <w:r w:rsidRPr="00C82CE1">
        <w:rPr>
          <w:rFonts w:ascii="Times New Roman" w:eastAsia="ArialMT" w:hAnsi="Times New Roman" w:cs="Times New Roman"/>
          <w:sz w:val="24"/>
          <w:szCs w:val="24"/>
        </w:rPr>
        <w:t>values</w:t>
      </w:r>
      <w:r w:rsidRPr="00C82CE1">
        <w:rPr>
          <w:rFonts w:ascii="Times New Roman" w:eastAsia="ArialMT" w:hAnsi="Times New Roman" w:cs="Times New Roman"/>
          <w:sz w:val="24"/>
          <w:szCs w:val="24"/>
          <w:u w:val="single"/>
        </w:rPr>
        <w:t>&lt;</w:t>
      </w:r>
      <w:r w:rsidRPr="00C82CE1">
        <w:rPr>
          <w:rFonts w:ascii="Times New Roman" w:eastAsia="ArialMT" w:hAnsi="Times New Roman" w:cs="Times New Roman"/>
          <w:sz w:val="24"/>
          <w:szCs w:val="24"/>
        </w:rPr>
        <w:t>0.05 were cons</w:t>
      </w:r>
      <w:r w:rsidR="00BA6A6B" w:rsidRPr="00C82CE1">
        <w:rPr>
          <w:rFonts w:ascii="Times New Roman" w:eastAsia="ArialMT" w:hAnsi="Times New Roman" w:cs="Times New Roman"/>
          <w:sz w:val="24"/>
          <w:szCs w:val="24"/>
        </w:rPr>
        <w:t>idered statistically significant (25, 26)</w:t>
      </w:r>
      <w:r w:rsidRPr="00C82CE1">
        <w:rPr>
          <w:rFonts w:ascii="Times New Roman" w:eastAsia="ArialMT" w:hAnsi="Times New Roman" w:cs="Times New Roman"/>
          <w:sz w:val="24"/>
          <w:szCs w:val="24"/>
        </w:rPr>
        <w:t>.</w:t>
      </w:r>
    </w:p>
    <w:p w:rsidR="00E241ED" w:rsidRPr="00C82CE1" w:rsidRDefault="00E241ED">
      <w:pPr>
        <w:rPr>
          <w:rFonts w:ascii="Times New Roman" w:eastAsia="ArialMT" w:hAnsi="Times New Roman" w:cs="Times New Roman"/>
          <w:sz w:val="24"/>
          <w:szCs w:val="24"/>
        </w:rPr>
      </w:pPr>
      <w:r w:rsidRPr="00C82CE1">
        <w:rPr>
          <w:rFonts w:ascii="Times New Roman" w:eastAsia="ArialMT" w:hAnsi="Times New Roman" w:cs="Times New Roman"/>
          <w:sz w:val="24"/>
          <w:szCs w:val="24"/>
        </w:rPr>
        <w:br w:type="page"/>
      </w:r>
    </w:p>
    <w:tbl>
      <w:tblPr>
        <w:tblW w:w="9990" w:type="dxa"/>
        <w:tblCellMar>
          <w:left w:w="0" w:type="dxa"/>
          <w:right w:w="0" w:type="dxa"/>
        </w:tblCellMar>
        <w:tblLook w:val="0420" w:firstRow="1" w:lastRow="0" w:firstColumn="0" w:lastColumn="0" w:noHBand="0" w:noVBand="1"/>
      </w:tblPr>
      <w:tblGrid>
        <w:gridCol w:w="2997"/>
        <w:gridCol w:w="2996"/>
        <w:gridCol w:w="3997"/>
      </w:tblGrid>
      <w:tr w:rsidR="00C82CE1" w:rsidRPr="00C82CE1" w:rsidTr="00E85B98">
        <w:trPr>
          <w:trHeight w:val="198"/>
        </w:trPr>
        <w:tc>
          <w:tcPr>
            <w:tcW w:w="9990" w:type="dxa"/>
            <w:gridSpan w:val="3"/>
            <w:tcBorders>
              <w:top w:val="nil"/>
              <w:left w:val="nil"/>
              <w:bottom w:val="single" w:sz="18" w:space="0" w:color="000000"/>
              <w:right w:val="nil"/>
            </w:tcBorders>
            <w:shd w:val="clear" w:color="auto" w:fill="auto"/>
            <w:tcMar>
              <w:top w:w="72" w:type="dxa"/>
              <w:left w:w="144" w:type="dxa"/>
              <w:bottom w:w="72" w:type="dxa"/>
              <w:right w:w="144" w:type="dxa"/>
            </w:tcMar>
            <w:vAlign w:val="bottom"/>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Table E1. Flow cytometry antibodies</w:t>
            </w:r>
          </w:p>
        </w:tc>
      </w:tr>
      <w:tr w:rsidR="00C82CE1" w:rsidRPr="00C82CE1" w:rsidTr="00E85B98">
        <w:trPr>
          <w:trHeight w:val="388"/>
        </w:trPr>
        <w:tc>
          <w:tcPr>
            <w:tcW w:w="2997" w:type="dxa"/>
            <w:tcBorders>
              <w:top w:val="single" w:sz="18"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Fluorochrome - Antibody</w:t>
            </w:r>
          </w:p>
        </w:tc>
        <w:tc>
          <w:tcPr>
            <w:tcW w:w="2996" w:type="dxa"/>
            <w:tcBorders>
              <w:top w:val="single" w:sz="18"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Fluorochrome</w:t>
            </w:r>
          </w:p>
        </w:tc>
        <w:tc>
          <w:tcPr>
            <w:tcW w:w="3997" w:type="dxa"/>
            <w:tcBorders>
              <w:top w:val="single" w:sz="18"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Clone</w:t>
            </w:r>
          </w:p>
        </w:tc>
      </w:tr>
      <w:tr w:rsidR="00C82CE1" w:rsidRPr="00C82CE1" w:rsidTr="00E85B98">
        <w:trPr>
          <w:trHeight w:val="338"/>
        </w:trPr>
        <w:tc>
          <w:tcPr>
            <w:tcW w:w="2997" w:type="dxa"/>
            <w:tcBorders>
              <w:top w:val="single" w:sz="18" w:space="0" w:color="000000"/>
              <w:left w:val="nil"/>
              <w:bottom w:val="nil"/>
              <w:right w:val="single" w:sz="2" w:space="0" w:color="000000"/>
            </w:tcBorders>
            <w:shd w:val="clear" w:color="auto" w:fill="auto"/>
            <w:tcMar>
              <w:top w:w="72" w:type="dxa"/>
              <w:left w:w="144" w:type="dxa"/>
              <w:bottom w:w="72" w:type="dxa"/>
              <w:right w:w="144" w:type="dxa"/>
            </w:tcMa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Ly-6G</w:t>
            </w:r>
          </w:p>
        </w:tc>
        <w:tc>
          <w:tcPr>
            <w:tcW w:w="2996" w:type="dxa"/>
            <w:tcBorders>
              <w:top w:val="single" w:sz="18" w:space="0" w:color="000000"/>
              <w:left w:val="single" w:sz="2" w:space="0" w:color="000000"/>
              <w:bottom w:val="nil"/>
              <w:right w:val="single" w:sz="2" w:space="0" w:color="000000"/>
            </w:tcBorders>
            <w:shd w:val="clear" w:color="auto" w:fill="auto"/>
            <w:tcMar>
              <w:top w:w="72" w:type="dxa"/>
              <w:left w:w="144" w:type="dxa"/>
              <w:bottom w:w="72" w:type="dxa"/>
              <w:right w:w="144" w:type="dxa"/>
            </w:tcMa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FITC</w:t>
            </w:r>
          </w:p>
        </w:tc>
        <w:tc>
          <w:tcPr>
            <w:tcW w:w="3997" w:type="dxa"/>
            <w:tcBorders>
              <w:top w:val="single" w:sz="18" w:space="0" w:color="000000"/>
              <w:left w:val="single" w:sz="2" w:space="0" w:color="000000"/>
              <w:bottom w:val="nil"/>
              <w:right w:val="nil"/>
            </w:tcBorders>
            <w:shd w:val="clear" w:color="auto" w:fill="auto"/>
            <w:tcMar>
              <w:top w:w="72" w:type="dxa"/>
              <w:left w:w="144" w:type="dxa"/>
              <w:bottom w:w="72" w:type="dxa"/>
              <w:right w:w="144" w:type="dxa"/>
            </w:tcMa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1A8</w:t>
            </w:r>
          </w:p>
        </w:tc>
      </w:tr>
      <w:tr w:rsidR="00C82CE1" w:rsidRPr="00C82CE1" w:rsidTr="00E85B98">
        <w:trPr>
          <w:trHeight w:val="388"/>
        </w:trPr>
        <w:tc>
          <w:tcPr>
            <w:tcW w:w="2997" w:type="dxa"/>
            <w:tcBorders>
              <w:top w:val="nil"/>
              <w:left w:val="nil"/>
              <w:bottom w:val="nil"/>
              <w:right w:val="single" w:sz="2" w:space="0" w:color="000000"/>
            </w:tcBorders>
            <w:shd w:val="clear" w:color="auto" w:fill="auto"/>
            <w:tcMar>
              <w:top w:w="72" w:type="dxa"/>
              <w:left w:w="144" w:type="dxa"/>
              <w:bottom w:w="72" w:type="dxa"/>
              <w:right w:w="144" w:type="dxa"/>
            </w:tcMar>
            <w:hideMark/>
          </w:tcPr>
          <w:p w:rsidR="00E241ED" w:rsidRPr="00C82CE1" w:rsidRDefault="00E241ED" w:rsidP="00E241ED">
            <w:pPr>
              <w:spacing w:after="0" w:line="480" w:lineRule="auto"/>
              <w:jc w:val="both"/>
              <w:rPr>
                <w:rFonts w:ascii="Times New Roman" w:eastAsia="ArialMT" w:hAnsi="Times New Roman" w:cs="Times New Roman"/>
                <w:sz w:val="24"/>
                <w:szCs w:val="24"/>
              </w:rPr>
            </w:pPr>
            <w:proofErr w:type="spellStart"/>
            <w:r w:rsidRPr="00C82CE1">
              <w:rPr>
                <w:rFonts w:ascii="Times New Roman" w:eastAsia="ArialMT" w:hAnsi="Times New Roman" w:cs="Times New Roman"/>
                <w:sz w:val="24"/>
                <w:szCs w:val="24"/>
              </w:rPr>
              <w:t>Siglec</w:t>
            </w:r>
            <w:proofErr w:type="spellEnd"/>
            <w:r w:rsidRPr="00C82CE1">
              <w:rPr>
                <w:rFonts w:ascii="Times New Roman" w:eastAsia="ArialMT" w:hAnsi="Times New Roman" w:cs="Times New Roman"/>
                <w:sz w:val="24"/>
                <w:szCs w:val="24"/>
              </w:rPr>
              <w:t>-F</w:t>
            </w:r>
          </w:p>
        </w:tc>
        <w:tc>
          <w:tcPr>
            <w:tcW w:w="2996" w:type="dxa"/>
            <w:tcBorders>
              <w:top w:val="nil"/>
              <w:left w:val="single" w:sz="2" w:space="0" w:color="000000"/>
              <w:bottom w:val="nil"/>
              <w:right w:val="single" w:sz="2" w:space="0" w:color="000000"/>
            </w:tcBorders>
            <w:shd w:val="clear" w:color="auto" w:fill="auto"/>
            <w:tcMar>
              <w:top w:w="15" w:type="dxa"/>
              <w:left w:w="15" w:type="dxa"/>
              <w:bottom w:w="0" w:type="dxa"/>
              <w:right w:w="15" w:type="dxa"/>
            </w:tcMar>
            <w:vAlign w:val="center"/>
            <w:hideMark/>
          </w:tcPr>
          <w:p w:rsidR="00E241ED" w:rsidRPr="00C82CE1" w:rsidRDefault="00E241ED" w:rsidP="00E85B98">
            <w:pPr>
              <w:spacing w:after="0" w:line="480" w:lineRule="auto"/>
              <w:ind w:left="136"/>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PE</w:t>
            </w:r>
          </w:p>
        </w:tc>
        <w:tc>
          <w:tcPr>
            <w:tcW w:w="3997" w:type="dxa"/>
            <w:tcBorders>
              <w:top w:val="nil"/>
              <w:left w:val="single" w:sz="2" w:space="0" w:color="000000"/>
              <w:bottom w:val="nil"/>
              <w:right w:val="nil"/>
            </w:tcBorders>
            <w:shd w:val="clear" w:color="auto" w:fill="auto"/>
            <w:tcMar>
              <w:top w:w="15" w:type="dxa"/>
              <w:left w:w="15" w:type="dxa"/>
              <w:bottom w:w="0" w:type="dxa"/>
              <w:right w:w="15" w:type="dxa"/>
            </w:tcMar>
            <w:vAlign w:val="center"/>
            <w:hideMark/>
          </w:tcPr>
          <w:p w:rsidR="00E241ED" w:rsidRPr="00C82CE1" w:rsidRDefault="00E241ED" w:rsidP="00E85B98">
            <w:pPr>
              <w:spacing w:after="0" w:line="480" w:lineRule="auto"/>
              <w:ind w:left="196"/>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E50-2440</w:t>
            </w:r>
          </w:p>
        </w:tc>
      </w:tr>
      <w:tr w:rsidR="00C82CE1" w:rsidRPr="00C82CE1" w:rsidTr="00E85B98">
        <w:trPr>
          <w:trHeight w:val="388"/>
        </w:trPr>
        <w:tc>
          <w:tcPr>
            <w:tcW w:w="2997" w:type="dxa"/>
            <w:tcBorders>
              <w:top w:val="nil"/>
              <w:left w:val="nil"/>
              <w:bottom w:val="single" w:sz="18" w:space="0" w:color="000000"/>
              <w:right w:val="single" w:sz="2" w:space="0" w:color="000000"/>
            </w:tcBorders>
            <w:shd w:val="clear" w:color="auto" w:fill="auto"/>
            <w:tcMar>
              <w:top w:w="72" w:type="dxa"/>
              <w:left w:w="144" w:type="dxa"/>
              <w:bottom w:w="72" w:type="dxa"/>
              <w:right w:w="144" w:type="dxa"/>
            </w:tcMa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CD11c</w:t>
            </w:r>
          </w:p>
        </w:tc>
        <w:tc>
          <w:tcPr>
            <w:tcW w:w="2996" w:type="dxa"/>
            <w:tcBorders>
              <w:top w:val="nil"/>
              <w:left w:val="single" w:sz="2" w:space="0" w:color="000000"/>
              <w:bottom w:val="single" w:sz="18" w:space="0" w:color="000000"/>
              <w:right w:val="single" w:sz="2" w:space="0" w:color="000000"/>
            </w:tcBorders>
            <w:shd w:val="clear" w:color="auto" w:fill="auto"/>
            <w:tcMar>
              <w:top w:w="15" w:type="dxa"/>
              <w:left w:w="15" w:type="dxa"/>
              <w:bottom w:w="0" w:type="dxa"/>
              <w:right w:w="15" w:type="dxa"/>
            </w:tcMar>
            <w:vAlign w:val="center"/>
            <w:hideMark/>
          </w:tcPr>
          <w:p w:rsidR="00E241ED" w:rsidRPr="00C82CE1" w:rsidRDefault="00E241ED" w:rsidP="00E85B98">
            <w:pPr>
              <w:spacing w:after="0" w:line="480" w:lineRule="auto"/>
              <w:ind w:left="136"/>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APC</w:t>
            </w:r>
          </w:p>
        </w:tc>
        <w:tc>
          <w:tcPr>
            <w:tcW w:w="3997" w:type="dxa"/>
            <w:tcBorders>
              <w:top w:val="nil"/>
              <w:left w:val="single" w:sz="2" w:space="0" w:color="000000"/>
              <w:bottom w:val="single" w:sz="18" w:space="0" w:color="000000"/>
              <w:right w:val="nil"/>
            </w:tcBorders>
            <w:shd w:val="clear" w:color="auto" w:fill="auto"/>
            <w:tcMar>
              <w:top w:w="15" w:type="dxa"/>
              <w:left w:w="15" w:type="dxa"/>
              <w:bottom w:w="0" w:type="dxa"/>
              <w:right w:w="15" w:type="dxa"/>
            </w:tcMar>
            <w:vAlign w:val="center"/>
            <w:hideMark/>
          </w:tcPr>
          <w:p w:rsidR="00E241ED" w:rsidRPr="00C82CE1" w:rsidRDefault="00E241ED" w:rsidP="00E85B98">
            <w:pPr>
              <w:spacing w:after="0" w:line="480" w:lineRule="auto"/>
              <w:ind w:left="196"/>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N418</w:t>
            </w:r>
          </w:p>
        </w:tc>
      </w:tr>
      <w:tr w:rsidR="00E241ED" w:rsidRPr="00C82CE1" w:rsidTr="00E85B98">
        <w:trPr>
          <w:trHeight w:val="388"/>
        </w:trPr>
        <w:tc>
          <w:tcPr>
            <w:tcW w:w="9990" w:type="dxa"/>
            <w:gridSpan w:val="3"/>
            <w:tcBorders>
              <w:top w:val="single" w:sz="18" w:space="0" w:color="000000"/>
              <w:left w:val="nil"/>
              <w:bottom w:val="nil"/>
              <w:right w:val="nil"/>
            </w:tcBorders>
            <w:shd w:val="clear" w:color="auto" w:fill="auto"/>
            <w:tcMar>
              <w:top w:w="72" w:type="dxa"/>
              <w:left w:w="144" w:type="dxa"/>
              <w:bottom w:w="72" w:type="dxa"/>
              <w:right w:w="144" w:type="dxa"/>
            </w:tcMar>
            <w:hideMark/>
          </w:tcPr>
          <w:p w:rsidR="00E241ED" w:rsidRPr="00C82CE1" w:rsidRDefault="00E241ED" w:rsidP="00E241ED">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FITC – fluorescein isothiocyanate, PE – phycoerythrin, APC – allophycocyanin</w:t>
            </w:r>
            <w:proofErr w:type="gramStart"/>
            <w:r w:rsidRPr="00C82CE1">
              <w:rPr>
                <w:rFonts w:ascii="Times New Roman" w:eastAsia="ArialMT" w:hAnsi="Times New Roman" w:cs="Times New Roman"/>
                <w:sz w:val="24"/>
                <w:szCs w:val="24"/>
              </w:rPr>
              <w:t>, ,</w:t>
            </w:r>
            <w:proofErr w:type="gramEnd"/>
            <w:r w:rsidRPr="00C82CE1">
              <w:rPr>
                <w:rFonts w:ascii="Times New Roman" w:eastAsia="ArialMT" w:hAnsi="Times New Roman" w:cs="Times New Roman"/>
                <w:sz w:val="24"/>
                <w:szCs w:val="24"/>
              </w:rPr>
              <w:t xml:space="preserve"> AF – Alexa Fluor®.</w:t>
            </w:r>
          </w:p>
        </w:tc>
      </w:tr>
    </w:tbl>
    <w:p w:rsidR="00E85B98" w:rsidRPr="00C82CE1" w:rsidRDefault="00E85B98" w:rsidP="00BA6A6B">
      <w:pPr>
        <w:spacing w:after="0" w:line="480" w:lineRule="auto"/>
        <w:jc w:val="both"/>
        <w:rPr>
          <w:rFonts w:ascii="Times New Roman" w:eastAsia="ArialMT" w:hAnsi="Times New Roman" w:cs="Times New Roman"/>
          <w:sz w:val="24"/>
          <w:szCs w:val="24"/>
        </w:rPr>
      </w:pPr>
    </w:p>
    <w:p w:rsidR="00E85B98" w:rsidRPr="00C82CE1" w:rsidRDefault="00E85B98">
      <w:pPr>
        <w:rPr>
          <w:rFonts w:ascii="Times New Roman" w:eastAsia="ArialMT" w:hAnsi="Times New Roman" w:cs="Times New Roman"/>
          <w:sz w:val="24"/>
          <w:szCs w:val="24"/>
        </w:rPr>
      </w:pPr>
      <w:r w:rsidRPr="00C82CE1">
        <w:rPr>
          <w:rFonts w:ascii="Times New Roman" w:eastAsia="ArialMT" w:hAnsi="Times New Roman" w:cs="Times New Roman"/>
          <w:sz w:val="24"/>
          <w:szCs w:val="24"/>
        </w:rPr>
        <w:br w:type="page"/>
      </w:r>
    </w:p>
    <w:tbl>
      <w:tblPr>
        <w:tblW w:w="9810" w:type="dxa"/>
        <w:tblCellMar>
          <w:left w:w="0" w:type="dxa"/>
          <w:right w:w="0" w:type="dxa"/>
        </w:tblCellMar>
        <w:tblLook w:val="04A0" w:firstRow="1" w:lastRow="0" w:firstColumn="1" w:lastColumn="0" w:noHBand="0" w:noVBand="1"/>
      </w:tblPr>
      <w:tblGrid>
        <w:gridCol w:w="1759"/>
        <w:gridCol w:w="4721"/>
        <w:gridCol w:w="3330"/>
      </w:tblGrid>
      <w:tr w:rsidR="00C82CE1" w:rsidRPr="00C82CE1" w:rsidTr="00E85B98">
        <w:trPr>
          <w:trHeight w:val="680"/>
        </w:trPr>
        <w:tc>
          <w:tcPr>
            <w:tcW w:w="9810" w:type="dxa"/>
            <w:gridSpan w:val="3"/>
            <w:tcBorders>
              <w:top w:val="nil"/>
              <w:left w:val="nil"/>
              <w:bottom w:val="single" w:sz="18" w:space="0" w:color="000000"/>
              <w:right w:val="nil"/>
            </w:tcBorders>
            <w:shd w:val="clear" w:color="auto" w:fill="auto"/>
            <w:tcMar>
              <w:top w:w="15" w:type="dxa"/>
              <w:left w:w="89" w:type="dxa"/>
              <w:bottom w:w="0" w:type="dxa"/>
              <w:right w:w="89" w:type="dxa"/>
            </w:tcMar>
            <w:vAlign w:val="bottom"/>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Table E2. Additional genes</w:t>
            </w:r>
            <w:r w:rsidRPr="00C82CE1">
              <w:rPr>
                <w:rFonts w:ascii="Times New Roman" w:eastAsia="ArialMT" w:hAnsi="Times New Roman" w:cs="Times New Roman"/>
                <w:sz w:val="24"/>
                <w:szCs w:val="24"/>
                <w:vertAlign w:val="superscript"/>
              </w:rPr>
              <w:t>*</w:t>
            </w:r>
          </w:p>
        </w:tc>
      </w:tr>
      <w:tr w:rsidR="00C82CE1" w:rsidRPr="00C82CE1" w:rsidTr="00E85B98">
        <w:trPr>
          <w:trHeight w:val="458"/>
        </w:trPr>
        <w:tc>
          <w:tcPr>
            <w:tcW w:w="1759" w:type="dxa"/>
            <w:tcBorders>
              <w:top w:val="single" w:sz="18" w:space="0" w:color="000000"/>
              <w:left w:val="nil"/>
              <w:bottom w:val="single" w:sz="18" w:space="0" w:color="000000"/>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Target</w:t>
            </w:r>
          </w:p>
        </w:tc>
        <w:tc>
          <w:tcPr>
            <w:tcW w:w="4721" w:type="dxa"/>
            <w:tcBorders>
              <w:top w:val="single" w:sz="18" w:space="0" w:color="000000"/>
              <w:left w:val="single" w:sz="8" w:space="0" w:color="000000"/>
              <w:bottom w:val="single" w:sz="18" w:space="0" w:color="000000"/>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Full name</w:t>
            </w:r>
          </w:p>
        </w:tc>
        <w:tc>
          <w:tcPr>
            <w:tcW w:w="3330" w:type="dxa"/>
            <w:tcBorders>
              <w:top w:val="single" w:sz="18" w:space="0" w:color="000000"/>
              <w:left w:val="single" w:sz="8" w:space="0" w:color="000000"/>
              <w:bottom w:val="single" w:sz="18" w:space="0" w:color="000000"/>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 xml:space="preserve">Assay ID </w:t>
            </w:r>
          </w:p>
        </w:tc>
      </w:tr>
      <w:tr w:rsidR="00C82CE1" w:rsidRPr="00C82CE1" w:rsidTr="00E85B98">
        <w:trPr>
          <w:trHeight w:val="458"/>
        </w:trPr>
        <w:tc>
          <w:tcPr>
            <w:tcW w:w="1759" w:type="dxa"/>
            <w:tcBorders>
              <w:top w:val="single" w:sz="18" w:space="0" w:color="000000"/>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Arg1</w:t>
            </w:r>
          </w:p>
        </w:tc>
        <w:tc>
          <w:tcPr>
            <w:tcW w:w="4721" w:type="dxa"/>
            <w:tcBorders>
              <w:top w:val="single" w:sz="18" w:space="0" w:color="000000"/>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Arginase 1</w:t>
            </w:r>
          </w:p>
        </w:tc>
        <w:tc>
          <w:tcPr>
            <w:tcW w:w="3330" w:type="dxa"/>
            <w:tcBorders>
              <w:top w:val="single" w:sz="18" w:space="0" w:color="000000"/>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Mm00475988_m1</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Ccr7</w:t>
            </w:r>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Chemokine (C-C motif) receptor 7</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Mm01301785_m1</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Cd163</w:t>
            </w:r>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Scavenger receptor type 1</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Mm00474091_m1</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Chil3</w:t>
            </w:r>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Chitinase like 3</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Mm00657889_mH</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Clec4n</w:t>
            </w:r>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C-type lectin domain family 4, member N</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Mm00490934_m1</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proofErr w:type="spellStart"/>
            <w:r w:rsidRPr="00C82CE1">
              <w:rPr>
                <w:rFonts w:ascii="Times New Roman" w:eastAsia="ArialMT" w:hAnsi="Times New Roman" w:cs="Times New Roman"/>
                <w:b/>
                <w:bCs/>
                <w:sz w:val="24"/>
                <w:szCs w:val="24"/>
              </w:rPr>
              <w:t>Gapdh</w:t>
            </w:r>
            <w:proofErr w:type="spellEnd"/>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Glyceraldehyde 3 phosphate dehydrogenase</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Mm99999915_g1</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Il33</w:t>
            </w:r>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Interleukin 33</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Mm00505403_m1</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b/>
                <w:bCs/>
                <w:sz w:val="24"/>
                <w:szCs w:val="24"/>
              </w:rPr>
              <w:t>Mrc1</w:t>
            </w:r>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Mannose receptor c type I</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Mm00485148_m1</w:t>
            </w:r>
          </w:p>
        </w:tc>
      </w:tr>
      <w:tr w:rsidR="00C82CE1" w:rsidRPr="00C82CE1" w:rsidTr="00E85B98">
        <w:trPr>
          <w:trHeight w:val="458"/>
        </w:trPr>
        <w:tc>
          <w:tcPr>
            <w:tcW w:w="1759" w:type="dxa"/>
            <w:tcBorders>
              <w:top w:val="nil"/>
              <w:left w:val="nil"/>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proofErr w:type="spellStart"/>
            <w:r w:rsidRPr="00C82CE1">
              <w:rPr>
                <w:rFonts w:ascii="Times New Roman" w:eastAsia="ArialMT" w:hAnsi="Times New Roman" w:cs="Times New Roman"/>
                <w:b/>
                <w:bCs/>
                <w:sz w:val="24"/>
                <w:szCs w:val="24"/>
              </w:rPr>
              <w:t>Retnla</w:t>
            </w:r>
            <w:proofErr w:type="spellEnd"/>
          </w:p>
        </w:tc>
        <w:tc>
          <w:tcPr>
            <w:tcW w:w="4721" w:type="dxa"/>
            <w:tcBorders>
              <w:top w:val="nil"/>
              <w:left w:val="single" w:sz="8" w:space="0" w:color="000000"/>
              <w:bottom w:val="nil"/>
              <w:right w:val="single" w:sz="8"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Resistin-like molecule alpha</w:t>
            </w:r>
          </w:p>
        </w:tc>
        <w:tc>
          <w:tcPr>
            <w:tcW w:w="3330" w:type="dxa"/>
            <w:tcBorders>
              <w:top w:val="nil"/>
              <w:left w:val="single" w:sz="8" w:space="0" w:color="000000"/>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Mm00445109_m1</w:t>
            </w:r>
          </w:p>
        </w:tc>
      </w:tr>
      <w:tr w:rsidR="00C82CE1" w:rsidRPr="00C82CE1" w:rsidTr="00E85B98">
        <w:trPr>
          <w:trHeight w:val="458"/>
        </w:trPr>
        <w:tc>
          <w:tcPr>
            <w:tcW w:w="1759" w:type="dxa"/>
            <w:tcBorders>
              <w:top w:val="nil"/>
              <w:left w:val="nil"/>
              <w:bottom w:val="single" w:sz="18" w:space="0" w:color="000000"/>
              <w:right w:val="single" w:sz="4"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proofErr w:type="spellStart"/>
            <w:r w:rsidRPr="00C82CE1">
              <w:rPr>
                <w:rFonts w:ascii="Times New Roman" w:eastAsia="ArialMT" w:hAnsi="Times New Roman" w:cs="Times New Roman"/>
                <w:b/>
                <w:bCs/>
                <w:sz w:val="24"/>
                <w:szCs w:val="24"/>
              </w:rPr>
              <w:t>Tslp</w:t>
            </w:r>
            <w:proofErr w:type="spellEnd"/>
          </w:p>
        </w:tc>
        <w:tc>
          <w:tcPr>
            <w:tcW w:w="4721" w:type="dxa"/>
            <w:tcBorders>
              <w:top w:val="nil"/>
              <w:left w:val="single" w:sz="4" w:space="0" w:color="000000"/>
              <w:bottom w:val="single" w:sz="18" w:space="0" w:color="000000"/>
              <w:right w:val="single" w:sz="4" w:space="0" w:color="000000"/>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Thymic stromal lymphopoietin</w:t>
            </w:r>
          </w:p>
        </w:tc>
        <w:tc>
          <w:tcPr>
            <w:tcW w:w="3330" w:type="dxa"/>
            <w:tcBorders>
              <w:top w:val="nil"/>
              <w:left w:val="single" w:sz="4" w:space="0" w:color="000000"/>
              <w:bottom w:val="single" w:sz="18" w:space="0" w:color="000000"/>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rPr>
              <w:t>Mm00498739_m1</w:t>
            </w:r>
          </w:p>
        </w:tc>
      </w:tr>
      <w:tr w:rsidR="00E85B98" w:rsidRPr="00C82CE1" w:rsidTr="00E85B98">
        <w:trPr>
          <w:trHeight w:val="463"/>
        </w:trPr>
        <w:tc>
          <w:tcPr>
            <w:tcW w:w="9810" w:type="dxa"/>
            <w:gridSpan w:val="3"/>
            <w:tcBorders>
              <w:top w:val="single" w:sz="18" w:space="0" w:color="000000"/>
              <w:left w:val="nil"/>
              <w:bottom w:val="nil"/>
              <w:right w:val="nil"/>
            </w:tcBorders>
            <w:shd w:val="clear" w:color="auto" w:fill="auto"/>
            <w:tcMar>
              <w:top w:w="15" w:type="dxa"/>
              <w:left w:w="89" w:type="dxa"/>
              <w:bottom w:w="0" w:type="dxa"/>
              <w:right w:w="89" w:type="dxa"/>
            </w:tcMar>
            <w:vAlign w:val="center"/>
            <w:hideMark/>
          </w:tcPr>
          <w:p w:rsidR="00E85B98" w:rsidRPr="00C82CE1" w:rsidRDefault="00E85B98" w:rsidP="00E85B98">
            <w:pPr>
              <w:spacing w:after="0" w:line="480" w:lineRule="auto"/>
              <w:jc w:val="both"/>
              <w:rPr>
                <w:rFonts w:ascii="Times New Roman" w:eastAsia="ArialMT" w:hAnsi="Times New Roman" w:cs="Times New Roman"/>
                <w:sz w:val="24"/>
                <w:szCs w:val="24"/>
              </w:rPr>
            </w:pPr>
            <w:r w:rsidRPr="00C82CE1">
              <w:rPr>
                <w:rFonts w:ascii="Times New Roman" w:eastAsia="ArialMT" w:hAnsi="Times New Roman" w:cs="Times New Roman"/>
                <w:sz w:val="24"/>
                <w:szCs w:val="24"/>
                <w:vertAlign w:val="superscript"/>
              </w:rPr>
              <w:t>*</w:t>
            </w:r>
            <w:r w:rsidRPr="00C82CE1">
              <w:rPr>
                <w:rFonts w:ascii="Times New Roman" w:eastAsia="ArialMT" w:hAnsi="Times New Roman" w:cs="Times New Roman"/>
                <w:sz w:val="24"/>
                <w:szCs w:val="24"/>
              </w:rPr>
              <w:t>Life Technologies, MA</w:t>
            </w:r>
          </w:p>
        </w:tc>
      </w:tr>
    </w:tbl>
    <w:p w:rsidR="00E85B98" w:rsidRPr="00C82CE1" w:rsidRDefault="00E85B98" w:rsidP="00BA6A6B">
      <w:pPr>
        <w:spacing w:after="0" w:line="480" w:lineRule="auto"/>
        <w:jc w:val="both"/>
        <w:rPr>
          <w:rFonts w:ascii="Times New Roman" w:eastAsia="ArialMT" w:hAnsi="Times New Roman" w:cs="Times New Roman"/>
          <w:sz w:val="24"/>
          <w:szCs w:val="24"/>
        </w:rPr>
      </w:pPr>
    </w:p>
    <w:p w:rsidR="00E85B98" w:rsidRPr="00C82CE1" w:rsidRDefault="00E85B98">
      <w:pPr>
        <w:rPr>
          <w:rFonts w:ascii="Times New Roman" w:eastAsia="ArialMT" w:hAnsi="Times New Roman" w:cs="Times New Roman"/>
          <w:sz w:val="24"/>
          <w:szCs w:val="24"/>
        </w:rPr>
      </w:pPr>
      <w:r w:rsidRPr="00C82CE1">
        <w:rPr>
          <w:rFonts w:ascii="Times New Roman" w:eastAsia="ArialMT" w:hAnsi="Times New Roman" w:cs="Times New Roman"/>
          <w:sz w:val="24"/>
          <w:szCs w:val="24"/>
        </w:rPr>
        <w:br w:type="page"/>
      </w:r>
    </w:p>
    <w:p w:rsidR="00B47B69" w:rsidRPr="00C82CE1" w:rsidRDefault="00B47B69" w:rsidP="00B47B69">
      <w:pPr>
        <w:rPr>
          <w:rFonts w:ascii="Times New Roman" w:eastAsia="ArialMT" w:hAnsi="Times New Roman" w:cs="Times New Roman"/>
          <w:b/>
          <w:sz w:val="24"/>
          <w:szCs w:val="24"/>
        </w:rPr>
      </w:pPr>
      <w:r w:rsidRPr="00C82CE1">
        <w:rPr>
          <w:rFonts w:ascii="Times New Roman" w:eastAsia="ArialMT" w:hAnsi="Times New Roman" w:cs="Times New Roman"/>
          <w:b/>
          <w:sz w:val="24"/>
          <w:szCs w:val="24"/>
        </w:rPr>
        <w:t xml:space="preserve">Table E3. Proteomic profile following exposure </w:t>
      </w:r>
    </w:p>
    <w:p w:rsidR="00B47B69" w:rsidRPr="00C82CE1" w:rsidRDefault="00B47B69" w:rsidP="00B47B69">
      <w:pPr>
        <w:rPr>
          <w:rFonts w:ascii="Times New Roman" w:eastAsia="ArialMT" w:hAnsi="Times New Roman" w:cs="Times New Roman"/>
          <w:b/>
          <w:sz w:val="24"/>
          <w:szCs w:val="24"/>
        </w:rPr>
      </w:pPr>
      <w:r w:rsidRPr="00C82CE1">
        <w:rPr>
          <w:rFonts w:ascii="Times New Roman" w:eastAsia="ArialMT" w:hAnsi="Times New Roman" w:cs="Times New Roman"/>
          <w:sz w:val="24"/>
          <w:szCs w:val="24"/>
        </w:rPr>
        <w:t xml:space="preserve">Please see attached excel file </w:t>
      </w:r>
      <w:r w:rsidRPr="00C82CE1">
        <w:rPr>
          <w:rFonts w:ascii="Times New Roman" w:eastAsia="ArialMT" w:hAnsi="Times New Roman" w:cs="Times New Roman"/>
          <w:b/>
          <w:sz w:val="24"/>
          <w:szCs w:val="24"/>
        </w:rPr>
        <w:br w:type="page"/>
      </w:r>
    </w:p>
    <w:p w:rsidR="00002BFC" w:rsidRPr="00C82CE1" w:rsidRDefault="00002BFC">
      <w:pPr>
        <w:rPr>
          <w:rFonts w:ascii="Times New Roman" w:eastAsia="ArialMT" w:hAnsi="Times New Roman" w:cs="Times New Roman"/>
          <w:b/>
          <w:sz w:val="24"/>
          <w:szCs w:val="24"/>
        </w:rPr>
      </w:pPr>
      <w:r w:rsidRPr="00C82CE1">
        <w:rPr>
          <w:rFonts w:ascii="Times New Roman" w:eastAsia="ArialMT" w:hAnsi="Times New Roman" w:cs="Times New Roman"/>
          <w:b/>
          <w:sz w:val="24"/>
          <w:szCs w:val="24"/>
        </w:rPr>
        <w:t xml:space="preserve">Table </w:t>
      </w:r>
      <w:r w:rsidR="00B47B69" w:rsidRPr="00C82CE1">
        <w:rPr>
          <w:rFonts w:ascii="Times New Roman" w:eastAsia="ArialMT" w:hAnsi="Times New Roman" w:cs="Times New Roman"/>
          <w:b/>
          <w:sz w:val="24"/>
          <w:szCs w:val="24"/>
        </w:rPr>
        <w:t>E4</w:t>
      </w:r>
      <w:r w:rsidRPr="00C82CE1">
        <w:rPr>
          <w:rFonts w:ascii="Times New Roman" w:eastAsia="ArialMT" w:hAnsi="Times New Roman" w:cs="Times New Roman"/>
          <w:b/>
          <w:sz w:val="24"/>
          <w:szCs w:val="24"/>
        </w:rPr>
        <w:t xml:space="preserve">. MicroRNA expression profile following exposure </w:t>
      </w:r>
    </w:p>
    <w:p w:rsidR="00B47B69" w:rsidRPr="00C82CE1" w:rsidRDefault="00002BFC" w:rsidP="00032140">
      <w:pPr>
        <w:rPr>
          <w:rFonts w:ascii="Times New Roman" w:eastAsia="ArialMT" w:hAnsi="Times New Roman" w:cs="Times New Roman"/>
          <w:sz w:val="24"/>
          <w:szCs w:val="24"/>
        </w:rPr>
      </w:pPr>
      <w:r w:rsidRPr="00C82CE1">
        <w:rPr>
          <w:rFonts w:ascii="Times New Roman" w:eastAsia="ArialMT" w:hAnsi="Times New Roman" w:cs="Times New Roman"/>
          <w:sz w:val="24"/>
          <w:szCs w:val="24"/>
        </w:rPr>
        <w:t>Please see attached excel fi</w:t>
      </w:r>
      <w:r w:rsidR="00FF0DD1" w:rsidRPr="00C82CE1">
        <w:rPr>
          <w:rFonts w:ascii="Times New Roman" w:eastAsia="ArialMT" w:hAnsi="Times New Roman" w:cs="Times New Roman"/>
          <w:sz w:val="24"/>
          <w:szCs w:val="24"/>
        </w:rPr>
        <w:t xml:space="preserve">le </w:t>
      </w:r>
    </w:p>
    <w:p w:rsidR="00B47B69" w:rsidRPr="00C82CE1" w:rsidRDefault="00B47B69">
      <w:pPr>
        <w:rPr>
          <w:rFonts w:ascii="Times New Roman" w:eastAsia="ArialMT" w:hAnsi="Times New Roman" w:cs="Times New Roman"/>
          <w:sz w:val="24"/>
          <w:szCs w:val="24"/>
        </w:rPr>
      </w:pPr>
      <w:r w:rsidRPr="00C82CE1">
        <w:rPr>
          <w:rFonts w:ascii="Times New Roman" w:eastAsia="ArialMT" w:hAnsi="Times New Roman" w:cs="Times New Roman"/>
          <w:sz w:val="24"/>
          <w:szCs w:val="24"/>
        </w:rPr>
        <w:br w:type="page"/>
      </w:r>
    </w:p>
    <w:p w:rsidR="00B47B69" w:rsidRPr="00C82CE1" w:rsidRDefault="00B47B69" w:rsidP="00B47B69">
      <w:pPr>
        <w:spacing w:after="0" w:line="480" w:lineRule="auto"/>
        <w:rPr>
          <w:rFonts w:ascii="Times New Roman" w:hAnsi="Times New Roman" w:cs="Times New Roman"/>
          <w:b/>
          <w:sz w:val="24"/>
          <w:szCs w:val="24"/>
        </w:rPr>
      </w:pPr>
      <w:r w:rsidRPr="00C82CE1">
        <w:rPr>
          <w:rFonts w:ascii="Times New Roman" w:hAnsi="Times New Roman" w:cs="Times New Roman"/>
          <w:b/>
          <w:sz w:val="24"/>
          <w:szCs w:val="24"/>
        </w:rPr>
        <w:t>Supplemental Figure Legend</w:t>
      </w:r>
    </w:p>
    <w:p w:rsidR="00B47B69" w:rsidRPr="00C82CE1" w:rsidRDefault="00B47B69" w:rsidP="00B47B69">
      <w:pPr>
        <w:spacing w:line="480" w:lineRule="auto"/>
        <w:rPr>
          <w:rFonts w:ascii="Times New Roman" w:hAnsi="Times New Roman" w:cs="Times New Roman"/>
          <w:b/>
          <w:bCs/>
          <w:sz w:val="24"/>
          <w:szCs w:val="24"/>
        </w:rPr>
      </w:pPr>
      <w:r w:rsidRPr="00C82CE1">
        <w:rPr>
          <w:rFonts w:ascii="Times New Roman" w:hAnsi="Times New Roman" w:cs="Times New Roman"/>
          <w:b/>
          <w:bCs/>
          <w:sz w:val="24"/>
          <w:szCs w:val="24"/>
        </w:rPr>
        <w:t xml:space="preserve">Figure E1. Charted weights for study mice. </w:t>
      </w:r>
      <w:r w:rsidR="00516CC8" w:rsidRPr="00C82CE1">
        <w:rPr>
          <w:rFonts w:ascii="Times New Roman" w:hAnsi="Times New Roman" w:cs="Times New Roman"/>
          <w:bCs/>
          <w:sz w:val="24"/>
          <w:szCs w:val="24"/>
        </w:rPr>
        <w:t xml:space="preserve">Weights were recorded weekly for each exposure group. Weights (grams) were reported following a (A) 4 week and </w:t>
      </w:r>
      <w:proofErr w:type="gramStart"/>
      <w:r w:rsidR="00516CC8" w:rsidRPr="00C82CE1">
        <w:rPr>
          <w:rFonts w:ascii="Times New Roman" w:hAnsi="Times New Roman" w:cs="Times New Roman"/>
          <w:bCs/>
          <w:sz w:val="24"/>
          <w:szCs w:val="24"/>
        </w:rPr>
        <w:t>13 week</w:t>
      </w:r>
      <w:proofErr w:type="gramEnd"/>
      <w:r w:rsidR="00516CC8" w:rsidRPr="00C82CE1">
        <w:rPr>
          <w:rFonts w:ascii="Times New Roman" w:hAnsi="Times New Roman" w:cs="Times New Roman"/>
          <w:bCs/>
          <w:sz w:val="24"/>
          <w:szCs w:val="24"/>
        </w:rPr>
        <w:t xml:space="preserve"> (B) Strain A exposure, as well as a (C) 4 week and (D) 13 week Strain B exposure.</w:t>
      </w:r>
    </w:p>
    <w:p w:rsidR="00B47B69" w:rsidRPr="00C82CE1" w:rsidRDefault="00B47B69" w:rsidP="00B47B69">
      <w:pPr>
        <w:spacing w:after="0" w:line="480" w:lineRule="auto"/>
        <w:rPr>
          <w:rFonts w:ascii="Times New Roman" w:hAnsi="Times New Roman" w:cs="Times New Roman"/>
          <w:b/>
          <w:bCs/>
          <w:sz w:val="24"/>
          <w:szCs w:val="24"/>
        </w:rPr>
      </w:pPr>
    </w:p>
    <w:p w:rsidR="00B47B69" w:rsidRPr="00C82CE1" w:rsidRDefault="00B47B69" w:rsidP="00B47B69">
      <w:pPr>
        <w:spacing w:after="0" w:line="480" w:lineRule="auto"/>
        <w:rPr>
          <w:rFonts w:ascii="Times New Roman" w:hAnsi="Times New Roman" w:cs="Times New Roman"/>
          <w:b/>
          <w:bCs/>
          <w:sz w:val="24"/>
          <w:szCs w:val="24"/>
        </w:rPr>
      </w:pPr>
    </w:p>
    <w:p w:rsidR="00E85B98" w:rsidRPr="00C82CE1" w:rsidRDefault="00B47B69" w:rsidP="00C82CE1">
      <w:pPr>
        <w:spacing w:after="0" w:line="480" w:lineRule="auto"/>
        <w:rPr>
          <w:rFonts w:ascii="Times New Roman" w:hAnsi="Times New Roman" w:cs="Times New Roman"/>
          <w:sz w:val="24"/>
          <w:szCs w:val="24"/>
        </w:rPr>
      </w:pPr>
      <w:r w:rsidRPr="00C82CE1">
        <w:rPr>
          <w:rFonts w:ascii="Times New Roman" w:hAnsi="Times New Roman" w:cs="Times New Roman"/>
          <w:b/>
          <w:bCs/>
          <w:sz w:val="24"/>
          <w:szCs w:val="24"/>
        </w:rPr>
        <w:t>Figure E2. Lung tissue following heat-inactivated conidia exposure.</w:t>
      </w:r>
      <w:r w:rsidRPr="00C82CE1">
        <w:rPr>
          <w:rFonts w:ascii="Times New Roman" w:hAnsi="Times New Roman" w:cs="Times New Roman"/>
          <w:b/>
          <w:sz w:val="24"/>
          <w:szCs w:val="24"/>
        </w:rPr>
        <w:t xml:space="preserve"> </w:t>
      </w:r>
      <w:r w:rsidRPr="00C82CE1">
        <w:rPr>
          <w:rFonts w:ascii="Times New Roman" w:hAnsi="Times New Roman" w:cs="Times New Roman"/>
          <w:sz w:val="24"/>
          <w:szCs w:val="24"/>
        </w:rPr>
        <w:t xml:space="preserve">Representative photomicrographs of H&amp;E stained sections of lung from mice exposed to either Strain A HIC or Strain B </w:t>
      </w:r>
      <w:proofErr w:type="gramStart"/>
      <w:r w:rsidRPr="00C82CE1">
        <w:rPr>
          <w:rFonts w:ascii="Times New Roman" w:hAnsi="Times New Roman" w:cs="Times New Roman"/>
          <w:sz w:val="24"/>
          <w:szCs w:val="24"/>
        </w:rPr>
        <w:t>HIC, and</w:t>
      </w:r>
      <w:proofErr w:type="gramEnd"/>
      <w:r w:rsidRPr="00C82CE1">
        <w:rPr>
          <w:rFonts w:ascii="Times New Roman" w:hAnsi="Times New Roman" w:cs="Times New Roman"/>
          <w:sz w:val="24"/>
          <w:szCs w:val="24"/>
        </w:rPr>
        <w:t xml:space="preserve"> sacrificed at 24 hours after 13 weeks of exposure. Lung from an air exposed mouse is shown for reference. Pulmonary arteries (PA, arrows) near the terminal bronchiole (TB).</w:t>
      </w:r>
    </w:p>
    <w:sectPr w:rsidR="00E85B98" w:rsidRPr="00C82CE1"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 w:name="DIN-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ell Mol Bi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2v0atr60ffxheavf5vwxel250xw0zrezdz&quot;&gt;My EndNote Library&lt;record-ids&gt;&lt;item&gt;1550&lt;/item&gt;&lt;item&gt;2760&lt;/item&gt;&lt;/record-ids&gt;&lt;/item&gt;&lt;/Libraries&gt;"/>
  </w:docVars>
  <w:rsids>
    <w:rsidRoot w:val="00DB1D98"/>
    <w:rsid w:val="00002BFC"/>
    <w:rsid w:val="00032140"/>
    <w:rsid w:val="000D10EC"/>
    <w:rsid w:val="00111610"/>
    <w:rsid w:val="002A273E"/>
    <w:rsid w:val="004406D2"/>
    <w:rsid w:val="00516CC8"/>
    <w:rsid w:val="006A761D"/>
    <w:rsid w:val="00824EFB"/>
    <w:rsid w:val="0083143D"/>
    <w:rsid w:val="00885327"/>
    <w:rsid w:val="00961CB3"/>
    <w:rsid w:val="009B6989"/>
    <w:rsid w:val="00A513FD"/>
    <w:rsid w:val="00A90EE9"/>
    <w:rsid w:val="00B47B69"/>
    <w:rsid w:val="00BA6A6B"/>
    <w:rsid w:val="00C72C90"/>
    <w:rsid w:val="00C82CE1"/>
    <w:rsid w:val="00C84368"/>
    <w:rsid w:val="00D26908"/>
    <w:rsid w:val="00DB1D98"/>
    <w:rsid w:val="00E241ED"/>
    <w:rsid w:val="00E320D0"/>
    <w:rsid w:val="00E85B98"/>
    <w:rsid w:val="00EB7AA3"/>
    <w:rsid w:val="00F26C80"/>
    <w:rsid w:val="00FC70C6"/>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464A3-45A5-4787-91F8-73354103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FB"/>
    <w:pPr>
      <w:spacing w:after="0" w:line="240" w:lineRule="auto"/>
    </w:pPr>
  </w:style>
  <w:style w:type="character" w:styleId="CommentReference">
    <w:name w:val="annotation reference"/>
    <w:basedOn w:val="DefaultParagraphFont"/>
    <w:uiPriority w:val="99"/>
    <w:semiHidden/>
    <w:unhideWhenUsed/>
    <w:rsid w:val="00824EFB"/>
    <w:rPr>
      <w:sz w:val="16"/>
      <w:szCs w:val="16"/>
    </w:rPr>
  </w:style>
  <w:style w:type="character" w:styleId="Hyperlink">
    <w:name w:val="Hyperlink"/>
    <w:basedOn w:val="DefaultParagraphFont"/>
    <w:uiPriority w:val="99"/>
    <w:unhideWhenUsed/>
    <w:rsid w:val="00824EFB"/>
    <w:rPr>
      <w:strike w:val="0"/>
      <w:dstrike w:val="0"/>
      <w:color w:val="001BA0"/>
      <w:u w:val="none"/>
      <w:effect w:val="none"/>
    </w:rPr>
  </w:style>
  <w:style w:type="paragraph" w:customStyle="1" w:styleId="EndNoteBibliographyTitle">
    <w:name w:val="EndNote Bibliography Title"/>
    <w:basedOn w:val="Normal"/>
    <w:link w:val="EndNoteBibliographyTitleChar"/>
    <w:rsid w:val="006A761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A761D"/>
    <w:rPr>
      <w:rFonts w:ascii="Calibri" w:hAnsi="Calibri" w:cs="Calibri"/>
      <w:noProof/>
    </w:rPr>
  </w:style>
  <w:style w:type="paragraph" w:customStyle="1" w:styleId="EndNoteBibliography">
    <w:name w:val="EndNote Bibliography"/>
    <w:basedOn w:val="Normal"/>
    <w:link w:val="EndNoteBibliographyChar"/>
    <w:rsid w:val="006A761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A761D"/>
    <w:rPr>
      <w:rFonts w:ascii="Calibri" w:hAnsi="Calibri" w:cs="Calibri"/>
      <w:noProof/>
    </w:rPr>
  </w:style>
  <w:style w:type="paragraph" w:styleId="NormalWeb">
    <w:name w:val="Normal (Web)"/>
    <w:basedOn w:val="Normal"/>
    <w:uiPriority w:val="99"/>
    <w:semiHidden/>
    <w:unhideWhenUsed/>
    <w:rsid w:val="0088532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4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69"/>
    <w:rPr>
      <w:rFonts w:ascii="Segoe UI" w:hAnsi="Segoe UI" w:cs="Segoe UI"/>
      <w:sz w:val="18"/>
      <w:szCs w:val="18"/>
    </w:rPr>
  </w:style>
  <w:style w:type="paragraph" w:styleId="Revision">
    <w:name w:val="Revision"/>
    <w:hidden/>
    <w:uiPriority w:val="99"/>
    <w:semiHidden/>
    <w:rsid w:val="009B6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9962">
      <w:bodyDiv w:val="1"/>
      <w:marLeft w:val="0"/>
      <w:marRight w:val="0"/>
      <w:marTop w:val="0"/>
      <w:marBottom w:val="0"/>
      <w:divBdr>
        <w:top w:val="none" w:sz="0" w:space="0" w:color="auto"/>
        <w:left w:val="none" w:sz="0" w:space="0" w:color="auto"/>
        <w:bottom w:val="none" w:sz="0" w:space="0" w:color="auto"/>
        <w:right w:val="none" w:sz="0" w:space="0" w:color="auto"/>
      </w:divBdr>
    </w:div>
    <w:div w:id="593637836">
      <w:bodyDiv w:val="1"/>
      <w:marLeft w:val="0"/>
      <w:marRight w:val="0"/>
      <w:marTop w:val="0"/>
      <w:marBottom w:val="0"/>
      <w:divBdr>
        <w:top w:val="none" w:sz="0" w:space="0" w:color="auto"/>
        <w:left w:val="none" w:sz="0" w:space="0" w:color="auto"/>
        <w:bottom w:val="none" w:sz="0" w:space="0" w:color="auto"/>
        <w:right w:val="none" w:sz="0" w:space="0" w:color="auto"/>
      </w:divBdr>
    </w:div>
    <w:div w:id="1149008761">
      <w:bodyDiv w:val="1"/>
      <w:marLeft w:val="0"/>
      <w:marRight w:val="0"/>
      <w:marTop w:val="0"/>
      <w:marBottom w:val="0"/>
      <w:divBdr>
        <w:top w:val="none" w:sz="0" w:space="0" w:color="auto"/>
        <w:left w:val="none" w:sz="0" w:space="0" w:color="auto"/>
        <w:bottom w:val="none" w:sz="0" w:space="0" w:color="auto"/>
        <w:right w:val="none" w:sz="0" w:space="0" w:color="auto"/>
      </w:divBdr>
    </w:div>
    <w:div w:id="16224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scover.nci.nih.gov/cimm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1154</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Croston, Tara (CDC/NIOSH/HELD/ACIB)</dc:creator>
  <cp:keywords/>
  <dc:description/>
  <cp:lastModifiedBy>Rehm, Carole Ann (CDC/NIOSH/HELD)</cp:lastModifiedBy>
  <cp:revision>2</cp:revision>
  <dcterms:created xsi:type="dcterms:W3CDTF">2020-05-27T14:21:00Z</dcterms:created>
  <dcterms:modified xsi:type="dcterms:W3CDTF">2020-05-27T14:21:00Z</dcterms:modified>
</cp:coreProperties>
</file>