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6862" w:rsidRPr="00050CB3" w:rsidRDefault="00376862" w:rsidP="00376862">
      <w:pPr>
        <w:spacing w:line="360" w:lineRule="auto"/>
        <w:rPr>
          <w:rFonts w:ascii="Times New Roman" w:hAnsi="Times New Roman" w:cs="Times New Roman"/>
          <w:b/>
          <w:bCs/>
          <w:sz w:val="24"/>
          <w:szCs w:val="24"/>
        </w:rPr>
      </w:pPr>
      <w:r w:rsidRPr="00050CB3">
        <w:rPr>
          <w:rFonts w:ascii="Times New Roman" w:hAnsi="Times New Roman" w:cs="Times New Roman"/>
          <w:b/>
          <w:bCs/>
          <w:sz w:val="24"/>
          <w:szCs w:val="24"/>
        </w:rPr>
        <w:t>Supplementary Figures &amp; Tables</w:t>
      </w:r>
    </w:p>
    <w:p w:rsidR="00376862" w:rsidRDefault="00376862" w:rsidP="00376862">
      <w:pPr>
        <w:spacing w:line="360" w:lineRule="auto"/>
        <w:rPr>
          <w:rFonts w:ascii="Times New Roman" w:hAnsi="Times New Roman" w:cs="Times New Roman"/>
        </w:rPr>
      </w:pPr>
      <w:r w:rsidRPr="00050CB3">
        <w:rPr>
          <w:rFonts w:ascii="Times New Roman" w:hAnsi="Times New Roman" w:cs="Times New Roman"/>
          <w:b/>
          <w:bCs/>
        </w:rPr>
        <w:t xml:space="preserve">Supplementary Table 1: </w:t>
      </w:r>
      <w:r>
        <w:rPr>
          <w:rFonts w:ascii="Times New Roman" w:hAnsi="Times New Roman" w:cs="Times New Roman"/>
          <w:b/>
          <w:bCs/>
        </w:rPr>
        <w:t xml:space="preserve">Antigen to bead covalent coupling conditions for six antigens. </w:t>
      </w:r>
      <w:r>
        <w:rPr>
          <w:rFonts w:ascii="Times New Roman" w:hAnsi="Times New Roman" w:cs="Times New Roman"/>
        </w:rPr>
        <w:t xml:space="preserve">Conditions for the remaining antigens in the panel were previously reported </w:t>
      </w:r>
      <w:r w:rsidRPr="00397581">
        <w:rPr>
          <w:rFonts w:ascii="Times New Roman" w:hAnsi="Times New Roman" w:cs="Times New Roman"/>
        </w:rPr>
        <w:t>in van den Hoogen, et al.</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uLBGHTEr","properties":{"formattedCitation":"[16]","plainCitation":"[16]","noteIndex":0},"citationItems":[{"id":271,"uris":["http://zotero.org/users/local/1rXc6LPO/items/9RCU5W2Y"],"uri":["http://zotero.org/users/local/1rXc6LPO/items/9RCU5W2Y"],"itemData":{"id":271,"type":"article-journal","abstract":"Measuring antimalarial antibodies can estimate transmission in a population. To compare outputs, standardized laboratory testing is required. Here we describe the in-country establishment and quality control (QC) of a multiplex bead assay (MBA) for three sero-surveys in Haiti. Total IgG data against 21 antigens were collected for 32,758 participants. Titration curves of hyperimmune sera were included on assay plates, assay signals underwent 5-parameter regression, and inspection of the median and interquartile range (IQR) for the y-inflection point was used to determine assay precision. The medians and IQRs were similar for Surveys 1 and 2 for most antigens, while the IQRs increased for some antigens in Survey 3. Levey-Jennings charts for selected antigens provided a pass/fail criterion for each assay plate and, of 387 assay plates, 13 (3.4%) were repeated. Individual samples failed if IgG binding to the generic glutathione-S-transferase protein was observed, with 659 (2.0%) samples failing. An additional 455 (1.4%) observations failed due to low bead numbers (&lt;20/analyte). The final dataset included 609,438 anti-malaria IgG data points from 32,099 participants; 96.6% of all potential data points if no QC failures had occurred. The MBA can be deployed with high-throughput data collection and low inter-plate variability while ensuring data quality.","container-title":"Scientific Reports","DOI":"10.1038/s41598-020-57876-0","ISSN":"2045-2322","issue":"1","journalAbbreviation":"Sci Rep","language":"en","page":"1-10","source":"www.nature.com","title":"Quality control of multiplex antibody detection in samples from large-scale surveys: the example of malaria in Haiti","title-short":"Quality control of multiplex antibody detection in samples from large-scale surveys","volume":"10","author":[{"family":"Hoogen","given":"Lotus L.","dropping-particle":"van den"},{"family":"Présumé","given":"Jacquelin"},{"family":"Romilus","given":"Ithamare"},{"family":"Mondélus","given":"Gina"},{"family":"Elismé","given":"Tamara"},{"family":"Sepúlveda","given":"Nuno"},{"family":"Stresman","given":"Gillian"},{"family":"Druetz","given":"Thomas"},{"family":"Ashton","given":"Ruth A."},{"family":"Joseph","given":"Vena"},{"family":"Eisele","given":"Thomas P."},{"family":"Hamre","given":"Karen E. S."},{"family":"Chang","given":"Michelle A."},{"family":"Lemoine","given":"Jean F."},{"family":"Tetteh","given":"Kevin K. A."},{"family":"Boncy","given":"Jacques"},{"family":"Existe","given":"Alexandre"},{"family":"Drakeley","given":"Chris"},{"family":"Rogier","given":"Eric"}],"issued":{"date-parts":[["2020",1,24]]}}}],"schema":"https://github.com/citation-style-language/schema/raw/master/csl-citation.json"} </w:instrText>
      </w:r>
      <w:r>
        <w:rPr>
          <w:rFonts w:ascii="Times New Roman" w:hAnsi="Times New Roman" w:cs="Times New Roman"/>
        </w:rPr>
        <w:fldChar w:fldCharType="separate"/>
      </w:r>
      <w:r w:rsidRPr="00D150C7">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t>.</w:t>
      </w:r>
    </w:p>
    <w:tbl>
      <w:tblPr>
        <w:tblStyle w:val="TableGrid"/>
        <w:tblW w:w="0" w:type="auto"/>
        <w:tblLook w:val="04A0" w:firstRow="1" w:lastRow="0" w:firstColumn="1" w:lastColumn="0" w:noHBand="0" w:noVBand="1"/>
      </w:tblPr>
      <w:tblGrid>
        <w:gridCol w:w="2254"/>
        <w:gridCol w:w="1647"/>
        <w:gridCol w:w="2865"/>
        <w:gridCol w:w="2250"/>
      </w:tblGrid>
      <w:tr w:rsidR="00376862" w:rsidTr="00BE5C06">
        <w:tc>
          <w:tcPr>
            <w:tcW w:w="2337" w:type="dxa"/>
            <w:shd w:val="clear" w:color="auto" w:fill="BFBFBF" w:themeFill="background1" w:themeFillShade="BF"/>
          </w:tcPr>
          <w:p w:rsidR="00376862" w:rsidRPr="005C0788" w:rsidRDefault="00376862" w:rsidP="00BE5C06">
            <w:pPr>
              <w:spacing w:line="360" w:lineRule="auto"/>
              <w:rPr>
                <w:rFonts w:ascii="Times New Roman" w:hAnsi="Times New Roman" w:cs="Times New Roman"/>
                <w:b/>
                <w:bCs/>
              </w:rPr>
            </w:pPr>
            <w:r w:rsidRPr="005C0788">
              <w:rPr>
                <w:rFonts w:ascii="Times New Roman" w:hAnsi="Times New Roman" w:cs="Times New Roman"/>
                <w:b/>
                <w:bCs/>
              </w:rPr>
              <w:t>Antigen</w:t>
            </w:r>
          </w:p>
        </w:tc>
        <w:tc>
          <w:tcPr>
            <w:tcW w:w="1708" w:type="dxa"/>
            <w:shd w:val="clear" w:color="auto" w:fill="BFBFBF" w:themeFill="background1" w:themeFillShade="BF"/>
          </w:tcPr>
          <w:p w:rsidR="00376862" w:rsidRPr="005C0788" w:rsidRDefault="00376862" w:rsidP="00BE5C06">
            <w:pPr>
              <w:spacing w:line="360" w:lineRule="auto"/>
              <w:rPr>
                <w:rFonts w:ascii="Times New Roman" w:hAnsi="Times New Roman" w:cs="Times New Roman"/>
                <w:b/>
                <w:bCs/>
              </w:rPr>
            </w:pPr>
            <w:r w:rsidRPr="005C0788">
              <w:rPr>
                <w:rFonts w:ascii="Times New Roman" w:hAnsi="Times New Roman" w:cs="Times New Roman"/>
                <w:b/>
                <w:bCs/>
              </w:rPr>
              <w:t>Alias</w:t>
            </w:r>
          </w:p>
        </w:tc>
        <w:tc>
          <w:tcPr>
            <w:tcW w:w="2967" w:type="dxa"/>
            <w:shd w:val="clear" w:color="auto" w:fill="BFBFBF" w:themeFill="background1" w:themeFillShade="BF"/>
          </w:tcPr>
          <w:p w:rsidR="00376862" w:rsidRPr="005C0788" w:rsidRDefault="00376862" w:rsidP="00BE5C06">
            <w:pPr>
              <w:spacing w:line="360" w:lineRule="auto"/>
              <w:rPr>
                <w:rFonts w:ascii="Times New Roman" w:hAnsi="Times New Roman" w:cs="Times New Roman"/>
                <w:b/>
                <w:bCs/>
              </w:rPr>
            </w:pPr>
            <w:r w:rsidRPr="005C0788">
              <w:rPr>
                <w:rFonts w:ascii="Times New Roman" w:hAnsi="Times New Roman" w:cs="Times New Roman"/>
                <w:b/>
                <w:bCs/>
              </w:rPr>
              <w:t>Coupling concentration</w:t>
            </w:r>
            <w:r>
              <w:rPr>
                <w:rFonts w:ascii="Times New Roman" w:hAnsi="Times New Roman" w:cs="Times New Roman"/>
                <w:b/>
                <w:bCs/>
              </w:rPr>
              <w:t xml:space="preserve"> (µg/ml beads)</w:t>
            </w:r>
          </w:p>
        </w:tc>
        <w:tc>
          <w:tcPr>
            <w:tcW w:w="2338" w:type="dxa"/>
            <w:shd w:val="clear" w:color="auto" w:fill="BFBFBF" w:themeFill="background1" w:themeFillShade="BF"/>
          </w:tcPr>
          <w:p w:rsidR="00376862" w:rsidRPr="005C0788" w:rsidRDefault="00376862" w:rsidP="00BE5C06">
            <w:pPr>
              <w:spacing w:line="360" w:lineRule="auto"/>
              <w:rPr>
                <w:rFonts w:ascii="Times New Roman" w:hAnsi="Times New Roman" w:cs="Times New Roman"/>
                <w:b/>
                <w:bCs/>
              </w:rPr>
            </w:pPr>
            <w:r w:rsidRPr="005C0788">
              <w:rPr>
                <w:rFonts w:ascii="Times New Roman" w:hAnsi="Times New Roman" w:cs="Times New Roman"/>
                <w:b/>
                <w:bCs/>
              </w:rPr>
              <w:t>Coupling pH</w:t>
            </w:r>
          </w:p>
        </w:tc>
      </w:tr>
      <w:tr w:rsidR="00376862" w:rsidTr="00BE5C06">
        <w:tc>
          <w:tcPr>
            <w:tcW w:w="2337" w:type="dxa"/>
          </w:tcPr>
          <w:p w:rsidR="00376862" w:rsidRDefault="00376862" w:rsidP="00BE5C06">
            <w:pPr>
              <w:spacing w:line="360" w:lineRule="auto"/>
              <w:rPr>
                <w:rFonts w:ascii="Times New Roman" w:hAnsi="Times New Roman" w:cs="Times New Roman"/>
              </w:rPr>
            </w:pPr>
            <w:r>
              <w:rPr>
                <w:rFonts w:ascii="Times New Roman" w:hAnsi="Times New Roman" w:cs="Times New Roman"/>
              </w:rPr>
              <w:t>EBA-140 RIII-V</w:t>
            </w:r>
          </w:p>
        </w:tc>
        <w:tc>
          <w:tcPr>
            <w:tcW w:w="1708" w:type="dxa"/>
          </w:tcPr>
          <w:p w:rsidR="00376862" w:rsidRDefault="00376862" w:rsidP="00BE5C06">
            <w:pPr>
              <w:spacing w:line="360" w:lineRule="auto"/>
              <w:rPr>
                <w:rFonts w:ascii="Times New Roman" w:hAnsi="Times New Roman" w:cs="Times New Roman"/>
              </w:rPr>
            </w:pPr>
            <w:r>
              <w:rPr>
                <w:rFonts w:ascii="Times New Roman" w:hAnsi="Times New Roman" w:cs="Times New Roman"/>
              </w:rPr>
              <w:t>e140</w:t>
            </w:r>
          </w:p>
        </w:tc>
        <w:tc>
          <w:tcPr>
            <w:tcW w:w="2967" w:type="dxa"/>
          </w:tcPr>
          <w:p w:rsidR="00376862" w:rsidRDefault="00376862" w:rsidP="00BE5C06">
            <w:pPr>
              <w:spacing w:line="360" w:lineRule="auto"/>
              <w:rPr>
                <w:rFonts w:ascii="Times New Roman" w:hAnsi="Times New Roman" w:cs="Times New Roman"/>
              </w:rPr>
            </w:pPr>
            <w:r>
              <w:rPr>
                <w:rFonts w:ascii="Times New Roman" w:hAnsi="Times New Roman" w:cs="Times New Roman"/>
              </w:rPr>
              <w:t>100</w:t>
            </w:r>
          </w:p>
        </w:tc>
        <w:tc>
          <w:tcPr>
            <w:tcW w:w="2338" w:type="dxa"/>
          </w:tcPr>
          <w:p w:rsidR="00376862" w:rsidRDefault="00376862" w:rsidP="00BE5C06">
            <w:pPr>
              <w:spacing w:line="360" w:lineRule="auto"/>
              <w:rPr>
                <w:rFonts w:ascii="Times New Roman" w:hAnsi="Times New Roman" w:cs="Times New Roman"/>
              </w:rPr>
            </w:pPr>
            <w:r>
              <w:rPr>
                <w:rFonts w:ascii="Times New Roman" w:hAnsi="Times New Roman" w:cs="Times New Roman"/>
              </w:rPr>
              <w:t>7.2</w:t>
            </w:r>
          </w:p>
        </w:tc>
      </w:tr>
      <w:tr w:rsidR="00376862" w:rsidTr="00BE5C06">
        <w:tc>
          <w:tcPr>
            <w:tcW w:w="2337" w:type="dxa"/>
          </w:tcPr>
          <w:p w:rsidR="00376862" w:rsidRDefault="00376862" w:rsidP="00BE5C06">
            <w:pPr>
              <w:spacing w:line="360" w:lineRule="auto"/>
              <w:rPr>
                <w:rFonts w:ascii="Times New Roman" w:hAnsi="Times New Roman" w:cs="Times New Roman"/>
              </w:rPr>
            </w:pPr>
            <w:r>
              <w:rPr>
                <w:rFonts w:ascii="Times New Roman" w:hAnsi="Times New Roman" w:cs="Times New Roman"/>
              </w:rPr>
              <w:t>EBA-175 RIII-V</w:t>
            </w:r>
          </w:p>
        </w:tc>
        <w:tc>
          <w:tcPr>
            <w:tcW w:w="1708" w:type="dxa"/>
          </w:tcPr>
          <w:p w:rsidR="00376862" w:rsidRDefault="00376862" w:rsidP="00BE5C06">
            <w:pPr>
              <w:spacing w:line="360" w:lineRule="auto"/>
              <w:rPr>
                <w:rFonts w:ascii="Times New Roman" w:hAnsi="Times New Roman" w:cs="Times New Roman"/>
              </w:rPr>
            </w:pPr>
            <w:r>
              <w:rPr>
                <w:rFonts w:ascii="Times New Roman" w:hAnsi="Times New Roman" w:cs="Times New Roman"/>
              </w:rPr>
              <w:t>e175</w:t>
            </w:r>
          </w:p>
        </w:tc>
        <w:tc>
          <w:tcPr>
            <w:tcW w:w="2967" w:type="dxa"/>
          </w:tcPr>
          <w:p w:rsidR="00376862" w:rsidRDefault="00376862" w:rsidP="00BE5C06">
            <w:pPr>
              <w:spacing w:line="360" w:lineRule="auto"/>
              <w:rPr>
                <w:rFonts w:ascii="Times New Roman" w:hAnsi="Times New Roman" w:cs="Times New Roman"/>
              </w:rPr>
            </w:pPr>
            <w:r>
              <w:rPr>
                <w:rFonts w:ascii="Times New Roman" w:hAnsi="Times New Roman" w:cs="Times New Roman"/>
              </w:rPr>
              <w:t>200</w:t>
            </w:r>
          </w:p>
        </w:tc>
        <w:tc>
          <w:tcPr>
            <w:tcW w:w="2338" w:type="dxa"/>
          </w:tcPr>
          <w:p w:rsidR="00376862" w:rsidRDefault="00376862" w:rsidP="00BE5C06">
            <w:pPr>
              <w:spacing w:line="360" w:lineRule="auto"/>
              <w:rPr>
                <w:rFonts w:ascii="Times New Roman" w:hAnsi="Times New Roman" w:cs="Times New Roman"/>
              </w:rPr>
            </w:pPr>
            <w:r>
              <w:rPr>
                <w:rFonts w:ascii="Times New Roman" w:hAnsi="Times New Roman" w:cs="Times New Roman"/>
              </w:rPr>
              <w:t>7.2</w:t>
            </w:r>
          </w:p>
        </w:tc>
      </w:tr>
      <w:tr w:rsidR="00376862" w:rsidTr="00BE5C06">
        <w:tc>
          <w:tcPr>
            <w:tcW w:w="2337" w:type="dxa"/>
          </w:tcPr>
          <w:p w:rsidR="00376862" w:rsidRDefault="00376862" w:rsidP="00BE5C06">
            <w:pPr>
              <w:spacing w:line="360" w:lineRule="auto"/>
              <w:rPr>
                <w:rFonts w:ascii="Times New Roman" w:hAnsi="Times New Roman" w:cs="Times New Roman"/>
              </w:rPr>
            </w:pPr>
            <w:r>
              <w:rPr>
                <w:rFonts w:ascii="Times New Roman" w:hAnsi="Times New Roman" w:cs="Times New Roman"/>
              </w:rPr>
              <w:t>EBA-181 RIII-V</w:t>
            </w:r>
          </w:p>
        </w:tc>
        <w:tc>
          <w:tcPr>
            <w:tcW w:w="1708" w:type="dxa"/>
          </w:tcPr>
          <w:p w:rsidR="00376862" w:rsidRDefault="00376862" w:rsidP="00BE5C06">
            <w:pPr>
              <w:spacing w:line="360" w:lineRule="auto"/>
              <w:rPr>
                <w:rFonts w:ascii="Times New Roman" w:hAnsi="Times New Roman" w:cs="Times New Roman"/>
              </w:rPr>
            </w:pPr>
            <w:r>
              <w:rPr>
                <w:rFonts w:ascii="Times New Roman" w:hAnsi="Times New Roman" w:cs="Times New Roman"/>
              </w:rPr>
              <w:t>e181</w:t>
            </w:r>
          </w:p>
        </w:tc>
        <w:tc>
          <w:tcPr>
            <w:tcW w:w="2967" w:type="dxa"/>
          </w:tcPr>
          <w:p w:rsidR="00376862" w:rsidRDefault="00376862" w:rsidP="00BE5C06">
            <w:pPr>
              <w:spacing w:line="360" w:lineRule="auto"/>
              <w:rPr>
                <w:rFonts w:ascii="Times New Roman" w:hAnsi="Times New Roman" w:cs="Times New Roman"/>
              </w:rPr>
            </w:pPr>
            <w:r>
              <w:rPr>
                <w:rFonts w:ascii="Times New Roman" w:hAnsi="Times New Roman" w:cs="Times New Roman"/>
              </w:rPr>
              <w:t>100</w:t>
            </w:r>
          </w:p>
        </w:tc>
        <w:tc>
          <w:tcPr>
            <w:tcW w:w="2338" w:type="dxa"/>
          </w:tcPr>
          <w:p w:rsidR="00376862" w:rsidRDefault="00376862" w:rsidP="00BE5C06">
            <w:pPr>
              <w:spacing w:line="360" w:lineRule="auto"/>
              <w:rPr>
                <w:rFonts w:ascii="Times New Roman" w:hAnsi="Times New Roman" w:cs="Times New Roman"/>
              </w:rPr>
            </w:pPr>
            <w:r>
              <w:rPr>
                <w:rFonts w:ascii="Times New Roman" w:hAnsi="Times New Roman" w:cs="Times New Roman"/>
              </w:rPr>
              <w:t>7.2</w:t>
            </w:r>
          </w:p>
        </w:tc>
      </w:tr>
      <w:tr w:rsidR="00376862" w:rsidTr="00BE5C06">
        <w:tc>
          <w:tcPr>
            <w:tcW w:w="2337" w:type="dxa"/>
          </w:tcPr>
          <w:p w:rsidR="00376862" w:rsidRPr="00D14427" w:rsidRDefault="00376862" w:rsidP="00BE5C06">
            <w:pPr>
              <w:rPr>
                <w:rFonts w:ascii="Times New Roman" w:hAnsi="Times New Roman" w:cs="Times New Roman"/>
              </w:rPr>
            </w:pPr>
            <w:r w:rsidRPr="00D14427">
              <w:rPr>
                <w:rFonts w:ascii="Times New Roman" w:hAnsi="Times New Roman" w:cs="Times New Roman"/>
              </w:rPr>
              <w:t>Rh2_2030</w:t>
            </w:r>
          </w:p>
        </w:tc>
        <w:tc>
          <w:tcPr>
            <w:tcW w:w="1708" w:type="dxa"/>
          </w:tcPr>
          <w:p w:rsidR="00376862" w:rsidRDefault="00376862" w:rsidP="00BE5C06">
            <w:pPr>
              <w:spacing w:line="360" w:lineRule="auto"/>
              <w:rPr>
                <w:rFonts w:ascii="Times New Roman" w:hAnsi="Times New Roman" w:cs="Times New Roman"/>
              </w:rPr>
            </w:pPr>
            <w:r>
              <w:rPr>
                <w:rFonts w:ascii="Times New Roman" w:hAnsi="Times New Roman" w:cs="Times New Roman"/>
              </w:rPr>
              <w:t>rh2030</w:t>
            </w:r>
          </w:p>
        </w:tc>
        <w:tc>
          <w:tcPr>
            <w:tcW w:w="2967" w:type="dxa"/>
          </w:tcPr>
          <w:p w:rsidR="00376862" w:rsidRDefault="00376862" w:rsidP="00BE5C06">
            <w:pPr>
              <w:spacing w:line="360" w:lineRule="auto"/>
              <w:rPr>
                <w:rFonts w:ascii="Times New Roman" w:hAnsi="Times New Roman" w:cs="Times New Roman"/>
              </w:rPr>
            </w:pPr>
            <w:r>
              <w:rPr>
                <w:rFonts w:ascii="Times New Roman" w:hAnsi="Times New Roman" w:cs="Times New Roman"/>
              </w:rPr>
              <w:t>50</w:t>
            </w:r>
          </w:p>
        </w:tc>
        <w:tc>
          <w:tcPr>
            <w:tcW w:w="2338" w:type="dxa"/>
          </w:tcPr>
          <w:p w:rsidR="00376862" w:rsidRDefault="00376862" w:rsidP="00BE5C06">
            <w:pPr>
              <w:spacing w:line="360" w:lineRule="auto"/>
              <w:rPr>
                <w:rFonts w:ascii="Times New Roman" w:hAnsi="Times New Roman" w:cs="Times New Roman"/>
              </w:rPr>
            </w:pPr>
            <w:r>
              <w:rPr>
                <w:rFonts w:ascii="Times New Roman" w:hAnsi="Times New Roman" w:cs="Times New Roman"/>
              </w:rPr>
              <w:t>5</w:t>
            </w:r>
          </w:p>
        </w:tc>
      </w:tr>
      <w:tr w:rsidR="00376862" w:rsidTr="00BE5C06">
        <w:tc>
          <w:tcPr>
            <w:tcW w:w="2337" w:type="dxa"/>
          </w:tcPr>
          <w:p w:rsidR="00376862" w:rsidRDefault="00376862" w:rsidP="00BE5C06">
            <w:pPr>
              <w:spacing w:line="360" w:lineRule="auto"/>
              <w:rPr>
                <w:rFonts w:ascii="Times New Roman" w:hAnsi="Times New Roman" w:cs="Times New Roman"/>
              </w:rPr>
            </w:pPr>
            <w:r>
              <w:rPr>
                <w:rFonts w:ascii="Times New Roman" w:hAnsi="Times New Roman" w:cs="Times New Roman"/>
              </w:rPr>
              <w:t>Rh4.2</w:t>
            </w:r>
          </w:p>
        </w:tc>
        <w:tc>
          <w:tcPr>
            <w:tcW w:w="1708" w:type="dxa"/>
          </w:tcPr>
          <w:p w:rsidR="00376862" w:rsidRDefault="00376862" w:rsidP="00BE5C06">
            <w:pPr>
              <w:spacing w:line="360" w:lineRule="auto"/>
              <w:rPr>
                <w:rFonts w:ascii="Times New Roman" w:hAnsi="Times New Roman" w:cs="Times New Roman"/>
              </w:rPr>
            </w:pPr>
            <w:r>
              <w:rPr>
                <w:rFonts w:ascii="Times New Roman" w:hAnsi="Times New Roman" w:cs="Times New Roman"/>
              </w:rPr>
              <w:t>rh42</w:t>
            </w:r>
          </w:p>
        </w:tc>
        <w:tc>
          <w:tcPr>
            <w:tcW w:w="2967" w:type="dxa"/>
          </w:tcPr>
          <w:p w:rsidR="00376862" w:rsidRDefault="00376862" w:rsidP="00BE5C06">
            <w:pPr>
              <w:spacing w:line="360" w:lineRule="auto"/>
              <w:rPr>
                <w:rFonts w:ascii="Times New Roman" w:hAnsi="Times New Roman" w:cs="Times New Roman"/>
              </w:rPr>
            </w:pPr>
            <w:r>
              <w:rPr>
                <w:rFonts w:ascii="Times New Roman" w:hAnsi="Times New Roman" w:cs="Times New Roman"/>
              </w:rPr>
              <w:t>20</w:t>
            </w:r>
          </w:p>
        </w:tc>
        <w:tc>
          <w:tcPr>
            <w:tcW w:w="2338" w:type="dxa"/>
          </w:tcPr>
          <w:p w:rsidR="00376862" w:rsidRDefault="00376862" w:rsidP="00BE5C06">
            <w:pPr>
              <w:spacing w:line="360" w:lineRule="auto"/>
              <w:rPr>
                <w:rFonts w:ascii="Times New Roman" w:hAnsi="Times New Roman" w:cs="Times New Roman"/>
              </w:rPr>
            </w:pPr>
            <w:r>
              <w:rPr>
                <w:rFonts w:ascii="Times New Roman" w:hAnsi="Times New Roman" w:cs="Times New Roman"/>
              </w:rPr>
              <w:t>5</w:t>
            </w:r>
          </w:p>
        </w:tc>
      </w:tr>
      <w:tr w:rsidR="00376862" w:rsidTr="00BE5C06">
        <w:tc>
          <w:tcPr>
            <w:tcW w:w="2337" w:type="dxa"/>
          </w:tcPr>
          <w:p w:rsidR="00376862" w:rsidRDefault="00376862" w:rsidP="00BE5C06">
            <w:pPr>
              <w:spacing w:line="360" w:lineRule="auto"/>
              <w:rPr>
                <w:rFonts w:ascii="Times New Roman" w:hAnsi="Times New Roman" w:cs="Times New Roman"/>
              </w:rPr>
            </w:pPr>
            <w:r>
              <w:rPr>
                <w:rFonts w:ascii="Times New Roman" w:hAnsi="Times New Roman" w:cs="Times New Roman"/>
              </w:rPr>
              <w:t>Rh5.1</w:t>
            </w:r>
          </w:p>
        </w:tc>
        <w:tc>
          <w:tcPr>
            <w:tcW w:w="1708" w:type="dxa"/>
          </w:tcPr>
          <w:p w:rsidR="00376862" w:rsidRDefault="00376862" w:rsidP="00BE5C06">
            <w:pPr>
              <w:spacing w:line="360" w:lineRule="auto"/>
              <w:rPr>
                <w:rFonts w:ascii="Times New Roman" w:hAnsi="Times New Roman" w:cs="Times New Roman"/>
              </w:rPr>
            </w:pPr>
            <w:r>
              <w:rPr>
                <w:rFonts w:ascii="Times New Roman" w:hAnsi="Times New Roman" w:cs="Times New Roman"/>
              </w:rPr>
              <w:t>rh5</w:t>
            </w:r>
          </w:p>
        </w:tc>
        <w:tc>
          <w:tcPr>
            <w:tcW w:w="2967" w:type="dxa"/>
          </w:tcPr>
          <w:p w:rsidR="00376862" w:rsidRDefault="00376862" w:rsidP="00BE5C06">
            <w:pPr>
              <w:spacing w:line="360" w:lineRule="auto"/>
              <w:rPr>
                <w:rFonts w:ascii="Times New Roman" w:hAnsi="Times New Roman" w:cs="Times New Roman"/>
              </w:rPr>
            </w:pPr>
            <w:r>
              <w:rPr>
                <w:rFonts w:ascii="Times New Roman" w:hAnsi="Times New Roman" w:cs="Times New Roman"/>
              </w:rPr>
              <w:t>10</w:t>
            </w:r>
          </w:p>
        </w:tc>
        <w:tc>
          <w:tcPr>
            <w:tcW w:w="2338" w:type="dxa"/>
          </w:tcPr>
          <w:p w:rsidR="00376862" w:rsidRDefault="00376862" w:rsidP="00BE5C06">
            <w:pPr>
              <w:spacing w:line="360" w:lineRule="auto"/>
              <w:rPr>
                <w:rFonts w:ascii="Times New Roman" w:hAnsi="Times New Roman" w:cs="Times New Roman"/>
              </w:rPr>
            </w:pPr>
            <w:r>
              <w:rPr>
                <w:rFonts w:ascii="Times New Roman" w:hAnsi="Times New Roman" w:cs="Times New Roman"/>
              </w:rPr>
              <w:t>5</w:t>
            </w:r>
          </w:p>
        </w:tc>
      </w:tr>
    </w:tbl>
    <w:p w:rsidR="00376862" w:rsidRDefault="00376862" w:rsidP="00376862">
      <w:pPr>
        <w:rPr>
          <w:rFonts w:ascii="Times New Roman" w:hAnsi="Times New Roman" w:cs="Times New Roman"/>
          <w:b/>
          <w:bCs/>
        </w:rPr>
      </w:pPr>
      <w:r>
        <w:rPr>
          <w:rFonts w:ascii="Times New Roman" w:hAnsi="Times New Roman" w:cs="Times New Roman"/>
          <w:b/>
          <w:bCs/>
        </w:rPr>
        <w:br w:type="page"/>
      </w:r>
    </w:p>
    <w:p w:rsidR="00376862" w:rsidRDefault="00376862" w:rsidP="00376862">
      <w:pPr>
        <w:spacing w:line="360" w:lineRule="auto"/>
        <w:rPr>
          <w:rFonts w:ascii="Times New Roman" w:hAnsi="Times New Roman" w:cs="Times New Roman"/>
          <w:b/>
          <w:bCs/>
        </w:rPr>
      </w:pPr>
      <w:r>
        <w:rPr>
          <w:rFonts w:ascii="Times New Roman" w:hAnsi="Times New Roman" w:cs="Times New Roman"/>
          <w:b/>
          <w:bCs/>
          <w:noProof/>
          <w:lang w:val="en-US"/>
        </w:rPr>
        <w:lastRenderedPageBreak/>
        <w:drawing>
          <wp:inline distT="0" distB="0" distL="0" distR="0" wp14:anchorId="3EC63E85" wp14:editId="56594C82">
            <wp:extent cx="5731510" cy="4846320"/>
            <wp:effectExtent l="0" t="0" r="2540" b="0"/>
            <wp:docPr id="6" name="Picture 6" descr="A map of a l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 Fig QC other antigens.png"/>
                    <pic:cNvPicPr/>
                  </pic:nvPicPr>
                  <pic:blipFill>
                    <a:blip r:embed="rId4">
                      <a:extLst>
                        <a:ext uri="{28A0092B-C50C-407E-A947-70E740481C1C}">
                          <a14:useLocalDpi xmlns:a14="http://schemas.microsoft.com/office/drawing/2010/main" val="0"/>
                        </a:ext>
                      </a:extLst>
                    </a:blip>
                    <a:stretch>
                      <a:fillRect/>
                    </a:stretch>
                  </pic:blipFill>
                  <pic:spPr>
                    <a:xfrm>
                      <a:off x="0" y="0"/>
                      <a:ext cx="5731510" cy="4846320"/>
                    </a:xfrm>
                    <a:prstGeom prst="rect">
                      <a:avLst/>
                    </a:prstGeom>
                  </pic:spPr>
                </pic:pic>
              </a:graphicData>
            </a:graphic>
          </wp:inline>
        </w:drawing>
      </w:r>
    </w:p>
    <w:p w:rsidR="00376862" w:rsidRDefault="00376862" w:rsidP="00376862">
      <w:pPr>
        <w:spacing w:line="360" w:lineRule="auto"/>
        <w:rPr>
          <w:rFonts w:ascii="Times New Roman" w:hAnsi="Times New Roman" w:cs="Times New Roman"/>
        </w:rPr>
      </w:pPr>
      <w:r>
        <w:rPr>
          <w:rFonts w:ascii="Times New Roman" w:hAnsi="Times New Roman" w:cs="Times New Roman"/>
          <w:b/>
          <w:bCs/>
        </w:rPr>
        <w:t xml:space="preserve">Supplementary Figure 1: </w:t>
      </w:r>
      <w:r w:rsidRPr="003F59CE">
        <w:rPr>
          <w:rFonts w:ascii="Times New Roman" w:hAnsi="Times New Roman" w:cs="Times New Roman"/>
          <w:b/>
          <w:bCs/>
        </w:rPr>
        <w:t xml:space="preserve">Median and interquartile range of predicted y-inflection points of standard curves per survey using </w:t>
      </w:r>
      <w:r>
        <w:rPr>
          <w:rFonts w:ascii="Times New Roman" w:hAnsi="Times New Roman" w:cs="Times New Roman"/>
          <w:b/>
          <w:bCs/>
        </w:rPr>
        <w:t>a</w:t>
      </w:r>
      <w:r w:rsidRPr="003F59CE">
        <w:rPr>
          <w:rFonts w:ascii="Times New Roman" w:hAnsi="Times New Roman" w:cs="Times New Roman"/>
          <w:b/>
          <w:bCs/>
        </w:rPr>
        <w:t xml:space="preserve"> standard of Haitian hyperimmune sera.</w:t>
      </w:r>
      <w:r w:rsidRPr="003F59CE">
        <w:rPr>
          <w:rFonts w:ascii="Times New Roman" w:hAnsi="Times New Roman" w:cs="Times New Roman"/>
        </w:rPr>
        <w:t xml:space="preserve"> </w:t>
      </w:r>
      <w:r>
        <w:rPr>
          <w:rFonts w:ascii="Times New Roman" w:hAnsi="Times New Roman" w:cs="Times New Roman"/>
        </w:rPr>
        <w:t>A</w:t>
      </w:r>
      <w:r w:rsidRPr="00D14427">
        <w:rPr>
          <w:rFonts w:ascii="Times New Roman" w:hAnsi="Times New Roman" w:cs="Times New Roman"/>
        </w:rPr>
        <w:t xml:space="preserve"> 6-point serial dilution of a hyperimmune positive control pool</w:t>
      </w:r>
      <w:r>
        <w:rPr>
          <w:rFonts w:ascii="Times New Roman" w:hAnsi="Times New Roman" w:cs="Times New Roman"/>
        </w:rPr>
        <w:t xml:space="preserve"> (i.e., standard curve)</w:t>
      </w:r>
      <w:r w:rsidRPr="00D14427">
        <w:rPr>
          <w:rFonts w:ascii="Times New Roman" w:hAnsi="Times New Roman" w:cs="Times New Roman"/>
        </w:rPr>
        <w:t xml:space="preserve"> was added to each plate</w:t>
      </w:r>
      <w:r>
        <w:rPr>
          <w:rFonts w:ascii="Times New Roman" w:hAnsi="Times New Roman" w:cs="Times New Roman"/>
        </w:rPr>
        <w:t xml:space="preserve">. </w:t>
      </w:r>
      <w:r w:rsidRPr="003F59CE">
        <w:rPr>
          <w:rFonts w:ascii="Times New Roman" w:hAnsi="Times New Roman" w:cs="Times New Roman"/>
        </w:rPr>
        <w:t>For each plate and antigen, standard curves were fitted using 5-parameter logistic regression</w:t>
      </w:r>
      <w:r>
        <w:rPr>
          <w:rFonts w:ascii="Times New Roman" w:hAnsi="Times New Roman" w:cs="Times New Roman"/>
        </w:rPr>
        <w:t xml:space="preserve"> as described previously </w:t>
      </w:r>
      <w:r>
        <w:rPr>
          <w:rFonts w:ascii="Times New Roman" w:hAnsi="Times New Roman" w:cs="Times New Roman"/>
        </w:rPr>
        <w:fldChar w:fldCharType="begin"/>
      </w:r>
      <w:r>
        <w:rPr>
          <w:rFonts w:ascii="Times New Roman" w:hAnsi="Times New Roman" w:cs="Times New Roman"/>
        </w:rPr>
        <w:instrText xml:space="preserve"> ADDIN ZOTERO_ITEM CSL_CITATION {"citationID":"AScbCxn3","properties":{"formattedCitation":"[16]","plainCitation":"[16]","noteIndex":0},"citationItems":[{"id":271,"uris":["http://zotero.org/users/local/1rXc6LPO/items/9RCU5W2Y"],"uri":["http://zotero.org/users/local/1rXc6LPO/items/9RCU5W2Y"],"itemData":{"id":271,"type":"article-journal","abstract":"Measuring antimalarial antibodies can estimate transmission in a population. To compare outputs, standardized laboratory testing is required. Here we describe the in-country establishment and quality control (QC) of a multiplex bead assay (MBA) for three sero-surveys in Haiti. Total IgG data against 21 antigens were collected for 32,758 participants. Titration curves of hyperimmune sera were included on assay plates, assay signals underwent 5-parameter regression, and inspection of the median and interquartile range (IQR) for the y-inflection point was used to determine assay precision. The medians and IQRs were similar for Surveys 1 and 2 for most antigens, while the IQRs increased for some antigens in Survey 3. Levey-Jennings charts for selected antigens provided a pass/fail criterion for each assay plate and, of 387 assay plates, 13 (3.4%) were repeated. Individual samples failed if IgG binding to the generic glutathione-S-transferase protein was observed, with 659 (2.0%) samples failing. An additional 455 (1.4%) observations failed due to low bead numbers (&lt;20/analyte). The final dataset included 609,438 anti-malaria IgG data points from 32,099 participants; 96.6% of all potential data points if no QC failures had occurred. The MBA can be deployed with high-throughput data collection and low inter-plate variability while ensuring data quality.","container-title":"Scientific Reports","DOI":"10.1038/s41598-020-57876-0","ISSN":"2045-2322","issue":"1","journalAbbreviation":"Sci Rep","language":"en","page":"1-10","source":"www.nature.com","title":"Quality control of multiplex antibody detection in samples from large-scale surveys: the example of malaria in Haiti","title-short":"Quality control of multiplex antibody detection in samples from large-scale surveys","volume":"10","author":[{"family":"Hoogen","given":"Lotus L.","dropping-particle":"van den"},{"family":"Présumé","given":"Jacquelin"},{"family":"Romilus","given":"Ithamare"},{"family":"Mondélus","given":"Gina"},{"family":"Elismé","given":"Tamara"},{"family":"Sepúlveda","given":"Nuno"},{"family":"Stresman","given":"Gillian"},{"family":"Druetz","given":"Thomas"},{"family":"Ashton","given":"Ruth A."},{"family":"Joseph","given":"Vena"},{"family":"Eisele","given":"Thomas P."},{"family":"Hamre","given":"Karen E. S."},{"family":"Chang","given":"Michelle A."},{"family":"Lemoine","given":"Jean F."},{"family":"Tetteh","given":"Kevin K. A."},{"family":"Boncy","given":"Jacques"},{"family":"Existe","given":"Alexandre"},{"family":"Drakeley","given":"Chris"},{"family":"Rogier","given":"Eric"}],"issued":{"date-parts":[["2020",1,24]]}}}],"schema":"https://github.com/citation-style-language/schema/raw/master/csl-citation.json"} </w:instrText>
      </w:r>
      <w:r>
        <w:rPr>
          <w:rFonts w:ascii="Times New Roman" w:hAnsi="Times New Roman" w:cs="Times New Roman"/>
        </w:rPr>
        <w:fldChar w:fldCharType="separate"/>
      </w:r>
      <w:r w:rsidRPr="00D150C7">
        <w:rPr>
          <w:rFonts w:ascii="Times New Roman" w:hAnsi="Times New Roman" w:cs="Times New Roman"/>
        </w:rPr>
        <w:t>[16]</w:t>
      </w:r>
      <w:r>
        <w:rPr>
          <w:rFonts w:ascii="Times New Roman" w:hAnsi="Times New Roman" w:cs="Times New Roman"/>
        </w:rPr>
        <w:fldChar w:fldCharType="end"/>
      </w:r>
      <w:r w:rsidRPr="004C309C">
        <w:rPr>
          <w:rFonts w:ascii="Times New Roman" w:hAnsi="Times New Roman" w:cs="Times New Roman"/>
        </w:rPr>
        <w:t>.</w:t>
      </w:r>
      <w:r w:rsidRPr="003F59CE">
        <w:rPr>
          <w:rFonts w:ascii="Times New Roman" w:hAnsi="Times New Roman" w:cs="Times New Roman"/>
        </w:rPr>
        <w:t xml:space="preserve"> Median fluorescence intensity (MFI) values were converted to proportions using the minimum and maximum MFI value for all standard curves across all antigens (2.07 and 11.17 respectively). Standard curves were only fitted if the non-log-transformed MFI of at least one of the dilution points was larger than 100. Using the curve parameters, MFI values were predicted across a sequence of 200 values of standard curve concentrations for each of the plates.</w:t>
      </w:r>
      <w:r>
        <w:t xml:space="preserve"> </w:t>
      </w:r>
      <w:r w:rsidRPr="003F59CE">
        <w:rPr>
          <w:rFonts w:ascii="Times New Roman" w:hAnsi="Times New Roman" w:cs="Times New Roman"/>
        </w:rPr>
        <w:t xml:space="preserve">Median (shapes) and interquartile range (vertical lines) of the predicted y-inflection points from standard curves across all plates are shown per </w:t>
      </w:r>
      <w:r w:rsidRPr="00ED5182">
        <w:rPr>
          <w:rFonts w:ascii="Times New Roman" w:hAnsi="Times New Roman" w:cs="Times New Roman"/>
        </w:rPr>
        <w:t>survey. An antigen failed quality control if the median of the y-inflection point of the third survey was lower than the 25</w:t>
      </w:r>
      <w:r w:rsidRPr="00ED5182">
        <w:rPr>
          <w:rFonts w:ascii="Times New Roman" w:hAnsi="Times New Roman" w:cs="Times New Roman"/>
          <w:vertAlign w:val="superscript"/>
        </w:rPr>
        <w:t>th</w:t>
      </w:r>
      <w:r w:rsidRPr="00ED5182">
        <w:rPr>
          <w:rFonts w:ascii="Times New Roman" w:hAnsi="Times New Roman" w:cs="Times New Roman"/>
        </w:rPr>
        <w:t xml:space="preserve"> percentile of the other two surveys. For antigen (x</w:t>
      </w:r>
      <w:r w:rsidRPr="00706290">
        <w:rPr>
          <w:rFonts w:ascii="Times New Roman" w:hAnsi="Times New Roman" w:cs="Times New Roman"/>
        </w:rPr>
        <w:t>-axis) acronyms see Table </w:t>
      </w:r>
      <w:r>
        <w:rPr>
          <w:rFonts w:ascii="Times New Roman" w:hAnsi="Times New Roman" w:cs="Times New Roman"/>
        </w:rPr>
        <w:t>2</w:t>
      </w:r>
      <w:r w:rsidRPr="00706290">
        <w:rPr>
          <w:rFonts w:ascii="Times New Roman" w:hAnsi="Times New Roman" w:cs="Times New Roman"/>
        </w:rPr>
        <w:t>.</w:t>
      </w:r>
      <w:r>
        <w:rPr>
          <w:rFonts w:ascii="Times New Roman" w:hAnsi="Times New Roman" w:cs="Times New Roman"/>
        </w:rPr>
        <w:br w:type="page"/>
      </w:r>
    </w:p>
    <w:p w:rsidR="00376862" w:rsidRDefault="00376862" w:rsidP="00376862">
      <w:pPr>
        <w:rPr>
          <w:rFonts w:ascii="Times New Roman" w:hAnsi="Times New Roman" w:cs="Times New Roman"/>
          <w:b/>
          <w:bCs/>
          <w:noProof/>
        </w:rPr>
      </w:pPr>
      <w:r>
        <w:rPr>
          <w:rFonts w:ascii="Times New Roman" w:hAnsi="Times New Roman" w:cs="Times New Roman"/>
          <w:b/>
          <w:bCs/>
          <w:noProof/>
          <w:lang w:val="en-US"/>
        </w:rPr>
        <w:lastRenderedPageBreak/>
        <w:drawing>
          <wp:inline distT="0" distB="0" distL="0" distR="0" wp14:anchorId="3AD8E90D" wp14:editId="2E7158B0">
            <wp:extent cx="5209953" cy="5209953"/>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Fig1.tif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15498" cy="5215498"/>
                    </a:xfrm>
                    <a:prstGeom prst="rect">
                      <a:avLst/>
                    </a:prstGeom>
                  </pic:spPr>
                </pic:pic>
              </a:graphicData>
            </a:graphic>
          </wp:inline>
        </w:drawing>
      </w:r>
    </w:p>
    <w:p w:rsidR="00376862" w:rsidRDefault="00376862" w:rsidP="00376862">
      <w:pPr>
        <w:spacing w:line="360" w:lineRule="auto"/>
        <w:rPr>
          <w:rFonts w:ascii="Times New Roman" w:hAnsi="Times New Roman" w:cs="Times New Roman"/>
          <w:b/>
          <w:bCs/>
          <w:noProof/>
        </w:rPr>
      </w:pPr>
      <w:r>
        <w:rPr>
          <w:rFonts w:ascii="Times New Roman" w:hAnsi="Times New Roman" w:cs="Times New Roman"/>
          <w:b/>
          <w:bCs/>
          <w:noProof/>
        </w:rPr>
        <w:t xml:space="preserve">Supplementary Figure 2: </w:t>
      </w:r>
      <w:r w:rsidRPr="00D14427">
        <w:rPr>
          <w:rFonts w:ascii="Times New Roman" w:hAnsi="Times New Roman" w:cs="Times New Roman"/>
          <w:b/>
        </w:rPr>
        <w:t xml:space="preserve">Heat map of Spearman correlation coefficients </w:t>
      </w:r>
      <w:r>
        <w:rPr>
          <w:rFonts w:ascii="Times New Roman" w:hAnsi="Times New Roman" w:cs="Times New Roman"/>
          <w:b/>
        </w:rPr>
        <w:t>for the association between</w:t>
      </w:r>
      <w:r w:rsidRPr="00D14427">
        <w:rPr>
          <w:rFonts w:ascii="Times New Roman" w:hAnsi="Times New Roman" w:cs="Times New Roman"/>
          <w:b/>
        </w:rPr>
        <w:t xml:space="preserve"> </w:t>
      </w:r>
      <w:r>
        <w:rPr>
          <w:rFonts w:ascii="Times New Roman" w:hAnsi="Times New Roman" w:cs="Times New Roman"/>
          <w:b/>
        </w:rPr>
        <w:t>IgG</w:t>
      </w:r>
      <w:r w:rsidRPr="00D14427">
        <w:rPr>
          <w:rFonts w:ascii="Times New Roman" w:hAnsi="Times New Roman" w:cs="Times New Roman"/>
          <w:b/>
        </w:rPr>
        <w:t xml:space="preserve"> responses</w:t>
      </w:r>
      <w:r>
        <w:rPr>
          <w:rFonts w:ascii="Times New Roman" w:hAnsi="Times New Roman" w:cs="Times New Roman"/>
          <w:b/>
        </w:rPr>
        <w:t xml:space="preserve"> </w:t>
      </w:r>
      <w:r w:rsidRPr="00D14427">
        <w:rPr>
          <w:rFonts w:ascii="Times New Roman" w:hAnsi="Times New Roman" w:cs="Times New Roman"/>
          <w:b/>
        </w:rPr>
        <w:t xml:space="preserve">to </w:t>
      </w:r>
      <w:r>
        <w:rPr>
          <w:rFonts w:ascii="Times New Roman" w:hAnsi="Times New Roman" w:cs="Times New Roman"/>
          <w:b/>
        </w:rPr>
        <w:t>seventeen</w:t>
      </w:r>
      <w:r w:rsidRPr="00D14427">
        <w:rPr>
          <w:rFonts w:ascii="Times New Roman" w:hAnsi="Times New Roman" w:cs="Times New Roman"/>
          <w:b/>
        </w:rPr>
        <w:t xml:space="preserve"> </w:t>
      </w:r>
      <w:r w:rsidRPr="00D14427">
        <w:rPr>
          <w:rFonts w:ascii="Times New Roman" w:hAnsi="Times New Roman" w:cs="Times New Roman"/>
          <w:b/>
          <w:i/>
          <w:iCs/>
        </w:rPr>
        <w:t>Plasmodium falciparum</w:t>
      </w:r>
      <w:r w:rsidRPr="00D14427">
        <w:rPr>
          <w:rFonts w:ascii="Times New Roman" w:hAnsi="Times New Roman" w:cs="Times New Roman"/>
          <w:b/>
        </w:rPr>
        <w:t xml:space="preserve"> antigens </w:t>
      </w:r>
      <w:r>
        <w:rPr>
          <w:rFonts w:ascii="Times New Roman" w:hAnsi="Times New Roman" w:cs="Times New Roman"/>
          <w:b/>
        </w:rPr>
        <w:t>using data from</w:t>
      </w:r>
      <w:r w:rsidRPr="00D14427">
        <w:rPr>
          <w:rFonts w:ascii="Times New Roman" w:hAnsi="Times New Roman" w:cs="Times New Roman"/>
          <w:b/>
        </w:rPr>
        <w:t xml:space="preserve"> three malaria transmission surveys in Haiti</w:t>
      </w:r>
      <w:r>
        <w:rPr>
          <w:rFonts w:ascii="Times New Roman" w:hAnsi="Times New Roman" w:cs="Times New Roman"/>
          <w:b/>
          <w:bCs/>
          <w:noProof/>
        </w:rPr>
        <w:t xml:space="preserve">. </w:t>
      </w:r>
      <w:r>
        <w:rPr>
          <w:rFonts w:ascii="Times New Roman" w:hAnsi="Times New Roman" w:cs="Times New Roman"/>
          <w:bCs/>
        </w:rPr>
        <w:t>Antibody responses (IgG)</w:t>
      </w:r>
      <w:r w:rsidRPr="00D14427">
        <w:rPr>
          <w:rFonts w:ascii="Times New Roman" w:hAnsi="Times New Roman" w:cs="Times New Roman"/>
          <w:bCs/>
        </w:rPr>
        <w:t xml:space="preserve"> </w:t>
      </w:r>
      <w:r>
        <w:rPr>
          <w:rFonts w:ascii="Times New Roman" w:hAnsi="Times New Roman" w:cs="Times New Roman"/>
          <w:bCs/>
        </w:rPr>
        <w:t xml:space="preserve">were defined </w:t>
      </w:r>
      <w:r w:rsidRPr="00D14427">
        <w:rPr>
          <w:rFonts w:ascii="Times New Roman" w:hAnsi="Times New Roman" w:cs="Times New Roman"/>
          <w:bCs/>
        </w:rPr>
        <w:t xml:space="preserve">as log10-transformed median fluorescence intensities corrected for background reactivity. Data </w:t>
      </w:r>
      <w:r>
        <w:rPr>
          <w:rFonts w:ascii="Times New Roman" w:hAnsi="Times New Roman" w:cs="Times New Roman"/>
          <w:bCs/>
        </w:rPr>
        <w:t>is shown for 28,888 participants;</w:t>
      </w:r>
      <w:r w:rsidRPr="00D14427">
        <w:rPr>
          <w:rFonts w:ascii="Times New Roman" w:hAnsi="Times New Roman" w:cs="Times New Roman"/>
          <w:bCs/>
        </w:rPr>
        <w:t xml:space="preserve"> </w:t>
      </w:r>
      <w:r>
        <w:rPr>
          <w:rFonts w:ascii="Times New Roman" w:hAnsi="Times New Roman" w:cs="Times New Roman"/>
          <w:bCs/>
        </w:rPr>
        <w:t xml:space="preserve">highly sensitive rapid diagnostic test positives (hsRDT) were </w:t>
      </w:r>
      <w:r w:rsidRPr="00497822">
        <w:rPr>
          <w:rFonts w:ascii="Times New Roman" w:hAnsi="Times New Roman" w:cs="Times New Roman"/>
          <w:bCs/>
        </w:rPr>
        <w:t>excluded (n=536) to remove any</w:t>
      </w:r>
      <w:r>
        <w:rPr>
          <w:rFonts w:ascii="Times New Roman" w:hAnsi="Times New Roman" w:cs="Times New Roman"/>
          <w:bCs/>
        </w:rPr>
        <w:t xml:space="preserve"> antibody responses due to a current or recent infection.</w:t>
      </w:r>
      <w:r w:rsidRPr="00D14427">
        <w:rPr>
          <w:rFonts w:ascii="Times New Roman" w:hAnsi="Times New Roman" w:cs="Times New Roman"/>
          <w:bCs/>
        </w:rPr>
        <w:t xml:space="preserve"> Colouring represents the strength of Spearman correlation coefficients from weak in </w:t>
      </w:r>
      <w:r>
        <w:rPr>
          <w:rFonts w:ascii="Times New Roman" w:hAnsi="Times New Roman" w:cs="Times New Roman"/>
          <w:bCs/>
        </w:rPr>
        <w:t>blue</w:t>
      </w:r>
      <w:r w:rsidRPr="00D14427">
        <w:rPr>
          <w:rFonts w:ascii="Times New Roman" w:hAnsi="Times New Roman" w:cs="Times New Roman"/>
          <w:bCs/>
        </w:rPr>
        <w:t xml:space="preserve"> to strong in red.</w:t>
      </w:r>
      <w:r>
        <w:rPr>
          <w:rFonts w:ascii="Times New Roman" w:hAnsi="Times New Roman" w:cs="Times New Roman"/>
          <w:b/>
          <w:bCs/>
          <w:noProof/>
        </w:rPr>
        <w:br w:type="page"/>
      </w:r>
    </w:p>
    <w:p w:rsidR="00376862" w:rsidRDefault="00376862" w:rsidP="00376862">
      <w:pPr>
        <w:spacing w:line="360" w:lineRule="auto"/>
        <w:rPr>
          <w:rFonts w:ascii="Times New Roman" w:hAnsi="Times New Roman" w:cs="Times New Roman"/>
          <w:b/>
          <w:bCs/>
        </w:rPr>
      </w:pPr>
      <w:r>
        <w:rPr>
          <w:rFonts w:ascii="Times New Roman" w:hAnsi="Times New Roman" w:cs="Times New Roman"/>
          <w:b/>
          <w:bCs/>
          <w:noProof/>
          <w:lang w:val="en-US"/>
        </w:rPr>
        <w:lastRenderedPageBreak/>
        <w:drawing>
          <wp:inline distT="0" distB="0" distL="0" distR="0" wp14:anchorId="4D641DEC" wp14:editId="14DCB33D">
            <wp:extent cx="4608576" cy="4837176"/>
            <wp:effectExtent l="0" t="0" r="1905" b="1905"/>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Fig3a.tiff"/>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08576" cy="4837176"/>
                    </a:xfrm>
                    <a:prstGeom prst="rect">
                      <a:avLst/>
                    </a:prstGeom>
                  </pic:spPr>
                </pic:pic>
              </a:graphicData>
            </a:graphic>
          </wp:inline>
        </w:drawing>
      </w:r>
    </w:p>
    <w:p w:rsidR="00376862" w:rsidRPr="006B6E43" w:rsidRDefault="00376862" w:rsidP="00376862">
      <w:pPr>
        <w:spacing w:line="360" w:lineRule="auto"/>
        <w:rPr>
          <w:rFonts w:ascii="Times New Roman" w:hAnsi="Times New Roman" w:cs="Times New Roman"/>
          <w:bCs/>
        </w:rPr>
      </w:pPr>
      <w:r w:rsidRPr="00BC58FC">
        <w:rPr>
          <w:rFonts w:ascii="Times New Roman" w:hAnsi="Times New Roman" w:cs="Times New Roman"/>
          <w:b/>
          <w:bCs/>
        </w:rPr>
        <w:t xml:space="preserve">Supplementary Figure </w:t>
      </w:r>
      <w:r>
        <w:rPr>
          <w:rFonts w:ascii="Times New Roman" w:hAnsi="Times New Roman" w:cs="Times New Roman"/>
          <w:b/>
          <w:bCs/>
        </w:rPr>
        <w:t>3:</w:t>
      </w:r>
      <w:r w:rsidRPr="00BC58FC">
        <w:rPr>
          <w:rFonts w:ascii="Times New Roman" w:hAnsi="Times New Roman" w:cs="Times New Roman"/>
          <w:b/>
        </w:rPr>
        <w:t xml:space="preserve"> </w:t>
      </w:r>
      <w:r w:rsidRPr="00D14427">
        <w:rPr>
          <w:rFonts w:ascii="Times New Roman" w:hAnsi="Times New Roman" w:cs="Times New Roman"/>
          <w:b/>
        </w:rPr>
        <w:t>Area under the curve (AUC) of receiver operating</w:t>
      </w:r>
      <w:r>
        <w:rPr>
          <w:rFonts w:ascii="Times New Roman" w:hAnsi="Times New Roman" w:cs="Times New Roman"/>
          <w:b/>
        </w:rPr>
        <w:t xml:space="preserve"> characteristic</w:t>
      </w:r>
      <w:r w:rsidRPr="00D14427">
        <w:rPr>
          <w:rFonts w:ascii="Times New Roman" w:hAnsi="Times New Roman" w:cs="Times New Roman"/>
          <w:b/>
        </w:rPr>
        <w:t xml:space="preserve"> curves for</w:t>
      </w:r>
      <w:r>
        <w:rPr>
          <w:rFonts w:ascii="Times New Roman" w:hAnsi="Times New Roman" w:cs="Times New Roman"/>
          <w:b/>
        </w:rPr>
        <w:t xml:space="preserve"> IgG to</w:t>
      </w:r>
      <w:r w:rsidRPr="00D14427">
        <w:rPr>
          <w:rFonts w:ascii="Times New Roman" w:hAnsi="Times New Roman" w:cs="Times New Roman"/>
          <w:b/>
        </w:rPr>
        <w:t xml:space="preserve"> </w:t>
      </w:r>
      <w:r>
        <w:rPr>
          <w:rFonts w:ascii="Times New Roman" w:hAnsi="Times New Roman" w:cs="Times New Roman"/>
          <w:b/>
        </w:rPr>
        <w:t>fourteen</w:t>
      </w:r>
      <w:r w:rsidRPr="00D14427">
        <w:rPr>
          <w:rFonts w:ascii="Times New Roman" w:hAnsi="Times New Roman" w:cs="Times New Roman"/>
          <w:b/>
        </w:rPr>
        <w:t xml:space="preserve"> </w:t>
      </w:r>
      <w:r w:rsidRPr="00D14427">
        <w:rPr>
          <w:rFonts w:ascii="Times New Roman" w:hAnsi="Times New Roman" w:cs="Times New Roman"/>
          <w:b/>
          <w:i/>
          <w:iCs/>
        </w:rPr>
        <w:t>Plasmodium falciparum</w:t>
      </w:r>
      <w:r w:rsidRPr="00D14427">
        <w:rPr>
          <w:rFonts w:ascii="Times New Roman" w:hAnsi="Times New Roman" w:cs="Times New Roman"/>
          <w:b/>
        </w:rPr>
        <w:t xml:space="preserve"> antigens using highly sensitive rapid diagnostic test</w:t>
      </w:r>
      <w:r>
        <w:rPr>
          <w:rFonts w:ascii="Times New Roman" w:hAnsi="Times New Roman" w:cs="Times New Roman"/>
          <w:b/>
        </w:rPr>
        <w:t xml:space="preserve"> (hsRDT)</w:t>
      </w:r>
      <w:r w:rsidRPr="00D14427">
        <w:rPr>
          <w:rFonts w:ascii="Times New Roman" w:hAnsi="Times New Roman" w:cs="Times New Roman"/>
          <w:b/>
        </w:rPr>
        <w:t xml:space="preserve"> status as the gold standard</w:t>
      </w:r>
      <w:r>
        <w:rPr>
          <w:rFonts w:ascii="Times New Roman" w:hAnsi="Times New Roman" w:cs="Times New Roman"/>
          <w:b/>
        </w:rPr>
        <w:t xml:space="preserve"> in the Artibonite surveys</w:t>
      </w:r>
      <w:r w:rsidRPr="00D14427">
        <w:rPr>
          <w:rFonts w:ascii="Times New Roman" w:hAnsi="Times New Roman" w:cs="Times New Roman"/>
          <w:b/>
        </w:rPr>
        <w:t>.</w:t>
      </w:r>
      <w:r>
        <w:rPr>
          <w:rFonts w:ascii="Times New Roman" w:hAnsi="Times New Roman" w:cs="Times New Roman"/>
          <w:bCs/>
        </w:rPr>
        <w:t xml:space="preserve"> </w:t>
      </w:r>
      <w:r w:rsidRPr="00D14427">
        <w:rPr>
          <w:rFonts w:ascii="Times New Roman" w:hAnsi="Times New Roman" w:cs="Times New Roman"/>
          <w:bCs/>
        </w:rPr>
        <w:t xml:space="preserve">Antigens (x-axis) are ordered by parasite life cycle stage and AUC value for all ages. </w:t>
      </w:r>
      <w:r>
        <w:rPr>
          <w:rFonts w:ascii="Times New Roman" w:hAnsi="Times New Roman" w:cs="Times New Roman"/>
          <w:bCs/>
        </w:rPr>
        <w:t>Antibody responses (IgG)</w:t>
      </w:r>
      <w:r w:rsidRPr="00D14427">
        <w:rPr>
          <w:rFonts w:ascii="Times New Roman" w:hAnsi="Times New Roman" w:cs="Times New Roman"/>
          <w:bCs/>
        </w:rPr>
        <w:t xml:space="preserve"> </w:t>
      </w:r>
      <w:r>
        <w:rPr>
          <w:rFonts w:ascii="Times New Roman" w:hAnsi="Times New Roman" w:cs="Times New Roman"/>
          <w:bCs/>
        </w:rPr>
        <w:t>from HH-Artibonite (n=20,609) and</w:t>
      </w:r>
      <w:r w:rsidRPr="00D14427">
        <w:rPr>
          <w:rFonts w:ascii="Times New Roman" w:hAnsi="Times New Roman" w:cs="Times New Roman"/>
          <w:bCs/>
        </w:rPr>
        <w:t xml:space="preserve"> EA</w:t>
      </w:r>
      <w:r>
        <w:rPr>
          <w:rFonts w:ascii="Times New Roman" w:hAnsi="Times New Roman" w:cs="Times New Roman"/>
          <w:bCs/>
        </w:rPr>
        <w:t>G-Artibonite (n=4,019; next page)</w:t>
      </w:r>
      <w:r w:rsidRPr="00D14427">
        <w:rPr>
          <w:rFonts w:ascii="Times New Roman" w:hAnsi="Times New Roman" w:cs="Times New Roman"/>
          <w:bCs/>
        </w:rPr>
        <w:t xml:space="preserve"> </w:t>
      </w:r>
      <w:r>
        <w:rPr>
          <w:rFonts w:ascii="Times New Roman" w:hAnsi="Times New Roman" w:cs="Times New Roman"/>
          <w:bCs/>
        </w:rPr>
        <w:t xml:space="preserve">participants were used and were defined as </w:t>
      </w:r>
      <w:r w:rsidRPr="00050CB3">
        <w:rPr>
          <w:rFonts w:ascii="Times New Roman" w:hAnsi="Times New Roman" w:cs="Times New Roman"/>
          <w:bCs/>
        </w:rPr>
        <w:t xml:space="preserve">log10-transformed median fluorescence intensities corrected for background </w:t>
      </w:r>
      <w:r w:rsidRPr="00477640">
        <w:rPr>
          <w:rFonts w:ascii="Times New Roman" w:hAnsi="Times New Roman" w:cs="Times New Roman"/>
          <w:bCs/>
        </w:rPr>
        <w:t>reactivity. A threshold of 0.8 (dashed horizontal line) was used</w:t>
      </w:r>
      <w:r>
        <w:rPr>
          <w:rFonts w:ascii="Times New Roman" w:hAnsi="Times New Roman" w:cs="Times New Roman"/>
          <w:bCs/>
        </w:rPr>
        <w:t xml:space="preserve"> to define informativeness of an antigen in predicting hsRDT status.</w:t>
      </w:r>
      <w:r w:rsidRPr="00D14427">
        <w:rPr>
          <w:rFonts w:ascii="Times New Roman" w:hAnsi="Times New Roman" w:cs="Times New Roman"/>
          <w:bCs/>
        </w:rPr>
        <w:t xml:space="preserve"> Spor.: sporozoite; Hep.: infected hepatocyte</w:t>
      </w:r>
      <w:r>
        <w:rPr>
          <w:rFonts w:ascii="Times New Roman" w:hAnsi="Times New Roman" w:cs="Times New Roman"/>
          <w:bCs/>
        </w:rPr>
        <w:t>; iRBC: infected red blood cell</w:t>
      </w:r>
      <w:r w:rsidRPr="00D14427">
        <w:rPr>
          <w:rFonts w:ascii="Times New Roman" w:hAnsi="Times New Roman" w:cs="Times New Roman"/>
          <w:bCs/>
        </w:rPr>
        <w:t>.</w:t>
      </w:r>
    </w:p>
    <w:p w:rsidR="00376862" w:rsidRPr="00050CB3" w:rsidRDefault="00376862" w:rsidP="00376862">
      <w:pPr>
        <w:spacing w:line="360" w:lineRule="auto"/>
        <w:rPr>
          <w:rFonts w:ascii="Times New Roman" w:hAnsi="Times New Roman" w:cs="Times New Roman"/>
          <w:b/>
          <w:bCs/>
        </w:rPr>
      </w:pPr>
      <w:r>
        <w:rPr>
          <w:rFonts w:ascii="Times New Roman" w:hAnsi="Times New Roman" w:cs="Times New Roman"/>
          <w:b/>
          <w:bCs/>
          <w:noProof/>
          <w:lang w:val="en-US"/>
        </w:rPr>
        <w:lastRenderedPageBreak/>
        <w:drawing>
          <wp:inline distT="0" distB="0" distL="0" distR="0" wp14:anchorId="71D4F017" wp14:editId="110BA6C2">
            <wp:extent cx="4608576" cy="4837176"/>
            <wp:effectExtent l="0" t="0" r="1905" b="190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Fig3b.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8576" cy="4837176"/>
                    </a:xfrm>
                    <a:prstGeom prst="rect">
                      <a:avLst/>
                    </a:prstGeom>
                  </pic:spPr>
                </pic:pic>
              </a:graphicData>
            </a:graphic>
          </wp:inline>
        </w:drawing>
      </w:r>
    </w:p>
    <w:p w:rsidR="00376862" w:rsidRPr="00D14427" w:rsidRDefault="00376862" w:rsidP="00376862">
      <w:pPr>
        <w:spacing w:line="360" w:lineRule="auto"/>
        <w:rPr>
          <w:rFonts w:ascii="Times New Roman" w:hAnsi="Times New Roman" w:cs="Times New Roman"/>
          <w:bCs/>
        </w:rPr>
      </w:pPr>
      <w:r w:rsidRPr="00BC58FC">
        <w:rPr>
          <w:rFonts w:ascii="Times New Roman" w:hAnsi="Times New Roman" w:cs="Times New Roman"/>
          <w:b/>
          <w:bCs/>
        </w:rPr>
        <w:t xml:space="preserve">Supplementary Figure </w:t>
      </w:r>
      <w:r>
        <w:rPr>
          <w:rFonts w:ascii="Times New Roman" w:hAnsi="Times New Roman" w:cs="Times New Roman"/>
          <w:b/>
          <w:bCs/>
        </w:rPr>
        <w:t xml:space="preserve">3 </w:t>
      </w:r>
      <w:r w:rsidRPr="006748CD">
        <w:rPr>
          <w:rFonts w:ascii="Times New Roman" w:hAnsi="Times New Roman" w:cs="Times New Roman"/>
        </w:rPr>
        <w:t>(</w:t>
      </w:r>
      <w:r>
        <w:rPr>
          <w:rFonts w:ascii="Times New Roman" w:hAnsi="Times New Roman" w:cs="Times New Roman"/>
        </w:rPr>
        <w:t>continued</w:t>
      </w:r>
      <w:r w:rsidRPr="006748CD">
        <w:rPr>
          <w:rFonts w:ascii="Times New Roman" w:hAnsi="Times New Roman" w:cs="Times New Roman"/>
        </w:rPr>
        <w:t>).</w:t>
      </w:r>
    </w:p>
    <w:p w:rsidR="00B039CC" w:rsidRDefault="00B039CC">
      <w:bookmarkStart w:id="0" w:name="_GoBack"/>
      <w:bookmarkEnd w:id="0"/>
    </w:p>
    <w:sectPr w:rsidR="00B039CC" w:rsidSect="00376862">
      <w:pgSz w:w="11906" w:h="16838"/>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862"/>
    <w:rsid w:val="00376862"/>
    <w:rsid w:val="00B03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BDC5B5-A732-4876-9DF5-14AA3BCBA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6862"/>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686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3768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1377</Words>
  <Characters>7853</Characters>
  <Application>Microsoft Office Word</Application>
  <DocSecurity>0</DocSecurity>
  <Lines>65</Lines>
  <Paragraphs>18</Paragraphs>
  <ScaleCrop>false</ScaleCrop>
  <Company>PITSOLUTIONS PVT LTD</Company>
  <LinksUpToDate>false</LinksUpToDate>
  <CharactersWithSpaces>9212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dc:creator>
  <cp:keywords/>
  <dc:description/>
  <cp:lastModifiedBy>Frontiers</cp:lastModifiedBy>
  <cp:revision>1</cp:revision>
  <dcterms:created xsi:type="dcterms:W3CDTF">2020-04-21T09:03:00Z</dcterms:created>
  <dcterms:modified xsi:type="dcterms:W3CDTF">2020-04-21T09:04:00Z</dcterms:modified>
</cp:coreProperties>
</file>