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E8B" w:rsidRDefault="00695E8B" w:rsidP="00E97DE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AGENDA</w:t>
      </w:r>
    </w:p>
    <w:p w:rsidR="00695E8B" w:rsidRDefault="00695E8B" w:rsidP="00695E8B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>Organizer: Daniel Feikin, WHO</w:t>
      </w:r>
    </w:p>
    <w:p w:rsidR="00695E8B" w:rsidRDefault="00695E8B" w:rsidP="00695E8B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>Chair: Bruce Innis, PATH</w:t>
      </w:r>
    </w:p>
    <w:p w:rsidR="00695E8B" w:rsidRDefault="00695E8B" w:rsidP="00695E8B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</w:rPr>
        <w:t>Rapporteur: Amanda Driscoll, Univ. Maryland</w:t>
      </w:r>
    </w:p>
    <w:p w:rsidR="00695E8B" w:rsidRPr="00B84A95" w:rsidRDefault="00695E8B" w:rsidP="00695E8B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</w:rPr>
      </w:pPr>
    </w:p>
    <w:p w:rsidR="00695E8B" w:rsidRPr="00E36B75" w:rsidRDefault="00695E8B" w:rsidP="00695E8B">
      <w:pPr>
        <w:rPr>
          <w:b/>
          <w:bCs/>
          <w:color w:val="FF0000"/>
        </w:rPr>
      </w:pPr>
      <w:r w:rsidRPr="00E36B75">
        <w:rPr>
          <w:b/>
          <w:bCs/>
        </w:rPr>
        <w:t xml:space="preserve">Day 1 </w:t>
      </w: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2198"/>
        <w:gridCol w:w="1337"/>
        <w:gridCol w:w="5459"/>
      </w:tblGrid>
      <w:tr w:rsidR="00695E8B" w:rsidRPr="00216893" w:rsidTr="00E25CFB">
        <w:trPr>
          <w:trHeight w:val="307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b/>
                <w:sz w:val="20"/>
                <w:szCs w:val="20"/>
              </w:rPr>
            </w:pPr>
            <w:r w:rsidRPr="00216893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743" w:type="pct"/>
          </w:tcPr>
          <w:p w:rsidR="00695E8B" w:rsidRPr="00216893" w:rsidRDefault="00695E8B" w:rsidP="00E25CFB">
            <w:pPr>
              <w:rPr>
                <w:b/>
                <w:sz w:val="20"/>
                <w:szCs w:val="20"/>
              </w:rPr>
            </w:pPr>
            <w:r w:rsidRPr="00216893"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3034" w:type="pct"/>
          </w:tcPr>
          <w:p w:rsidR="00695E8B" w:rsidRPr="00216893" w:rsidRDefault="00695E8B" w:rsidP="00E25CFB">
            <w:pPr>
              <w:rPr>
                <w:b/>
                <w:sz w:val="20"/>
                <w:szCs w:val="20"/>
              </w:rPr>
            </w:pPr>
            <w:r w:rsidRPr="00216893">
              <w:rPr>
                <w:b/>
                <w:sz w:val="20"/>
                <w:szCs w:val="20"/>
              </w:rPr>
              <w:t>Objectives</w:t>
            </w:r>
          </w:p>
        </w:tc>
      </w:tr>
      <w:tr w:rsidR="00695E8B" w:rsidRPr="00216893" w:rsidTr="00E25CFB">
        <w:trPr>
          <w:trHeight w:val="25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695E8B" w:rsidRPr="00AB69BA" w:rsidRDefault="00695E8B" w:rsidP="00695E8B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Opening </w:t>
            </w:r>
          </w:p>
        </w:tc>
      </w:tr>
      <w:tr w:rsidR="00695E8B" w:rsidRPr="00216893" w:rsidTr="00E25CFB">
        <w:trPr>
          <w:trHeight w:val="599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 xml:space="preserve">Welcome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 xml:space="preserve">Martin </w:t>
            </w:r>
            <w:proofErr w:type="spellStart"/>
            <w:r w:rsidRPr="00216893">
              <w:rPr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3034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from Director, Initiative Vaccine Research, IVB, WHO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>Overview and meeting objectives</w:t>
            </w:r>
          </w:p>
        </w:tc>
        <w:tc>
          <w:tcPr>
            <w:tcW w:w="743" w:type="pct"/>
          </w:tcPr>
          <w:p w:rsidR="00695E8B" w:rsidRPr="00BC0465" w:rsidRDefault="00695E8B" w:rsidP="00E25CFB">
            <w:pPr>
              <w:rPr>
                <w:sz w:val="20"/>
                <w:szCs w:val="20"/>
              </w:rPr>
            </w:pPr>
            <w:r w:rsidRPr="00BC0465">
              <w:rPr>
                <w:sz w:val="20"/>
                <w:szCs w:val="20"/>
              </w:rPr>
              <w:t>Daniel Feikin</w:t>
            </w:r>
          </w:p>
        </w:tc>
        <w:tc>
          <w:tcPr>
            <w:tcW w:w="3034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of participants.  Overview of meeting</w:t>
            </w:r>
          </w:p>
        </w:tc>
      </w:tr>
      <w:tr w:rsidR="00695E8B" w:rsidRPr="00216893" w:rsidTr="00E25CFB">
        <w:trPr>
          <w:trHeight w:val="29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695E8B" w:rsidRPr="00AB69BA" w:rsidRDefault="00695E8B" w:rsidP="00695E8B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B69BA">
              <w:rPr>
                <w:b/>
                <w:sz w:val="20"/>
                <w:szCs w:val="20"/>
              </w:rPr>
              <w:t>RSV, early childhood wheeze and asthma: backg</w:t>
            </w:r>
            <w:r>
              <w:rPr>
                <w:b/>
                <w:sz w:val="20"/>
                <w:szCs w:val="20"/>
              </w:rPr>
              <w:t xml:space="preserve">round 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>RSV 101 – RSV infections in young infants</w:t>
            </w:r>
          </w:p>
        </w:tc>
        <w:tc>
          <w:tcPr>
            <w:tcW w:w="743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 xml:space="preserve">Jan Englund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4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>Describe spectrum of RSV illness in infants. Provide basis for case definition discussions.</w:t>
            </w:r>
          </w:p>
          <w:p w:rsidR="00695E8B" w:rsidRPr="00216893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6893">
              <w:rPr>
                <w:sz w:val="20"/>
                <w:szCs w:val="20"/>
              </w:rPr>
              <w:t>.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 xml:space="preserve">Asthma and </w:t>
            </w:r>
            <w:r>
              <w:rPr>
                <w:sz w:val="20"/>
                <w:szCs w:val="20"/>
              </w:rPr>
              <w:t xml:space="preserve">wheeze </w:t>
            </w:r>
            <w:r w:rsidRPr="00216893">
              <w:rPr>
                <w:sz w:val="20"/>
                <w:szCs w:val="20"/>
              </w:rPr>
              <w:t>101 – Epidemiology and causes of</w:t>
            </w:r>
            <w:r>
              <w:rPr>
                <w:sz w:val="20"/>
                <w:szCs w:val="20"/>
              </w:rPr>
              <w:t xml:space="preserve"> asthma and</w:t>
            </w:r>
            <w:r w:rsidRPr="002168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recurrent wheeze in early childhood (RWEC); B</w:t>
            </w:r>
            <w:r w:rsidRPr="00216893">
              <w:rPr>
                <w:sz w:val="20"/>
                <w:szCs w:val="20"/>
              </w:rPr>
              <w:t xml:space="preserve">iological basis of </w:t>
            </w:r>
            <w:r>
              <w:rPr>
                <w:sz w:val="20"/>
                <w:szCs w:val="20"/>
              </w:rPr>
              <w:t>the RSV-wheeze association</w:t>
            </w:r>
          </w:p>
        </w:tc>
        <w:tc>
          <w:tcPr>
            <w:tcW w:w="743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>Tina Hartert</w:t>
            </w:r>
          </w:p>
        </w:tc>
        <w:tc>
          <w:tcPr>
            <w:tcW w:w="3034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>Describe epide</w:t>
            </w:r>
            <w:r>
              <w:rPr>
                <w:sz w:val="20"/>
                <w:szCs w:val="20"/>
              </w:rPr>
              <w:t>miology and clinical basis of recurrent wheeze in early childhood</w:t>
            </w:r>
            <w:r w:rsidRPr="00216893">
              <w:rPr>
                <w:sz w:val="20"/>
                <w:szCs w:val="20"/>
              </w:rPr>
              <w:t xml:space="preserve"> and asthma.</w:t>
            </w:r>
            <w:r>
              <w:rPr>
                <w:sz w:val="20"/>
                <w:szCs w:val="20"/>
              </w:rPr>
              <w:t xml:space="preserve"> Distinguish from acute wheeze with RSV.</w:t>
            </w:r>
            <w:r w:rsidRPr="00216893">
              <w:rPr>
                <w:sz w:val="20"/>
                <w:szCs w:val="20"/>
              </w:rPr>
              <w:t xml:space="preserve"> Describe potential mechanisms for causative association with RSV illness.</w:t>
            </w:r>
            <w:r>
              <w:rPr>
                <w:sz w:val="20"/>
                <w:szCs w:val="20"/>
              </w:rPr>
              <w:t xml:space="preserve">  Describe genetic predisposition for severe RSV disease and asthma.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 xml:space="preserve">Measures of </w:t>
            </w:r>
            <w:r>
              <w:rPr>
                <w:sz w:val="20"/>
                <w:szCs w:val="20"/>
              </w:rPr>
              <w:t>wheeze</w:t>
            </w:r>
            <w:r w:rsidRPr="00216893">
              <w:rPr>
                <w:sz w:val="20"/>
                <w:szCs w:val="20"/>
              </w:rPr>
              <w:t xml:space="preserve"> and asthma in </w:t>
            </w:r>
            <w:r>
              <w:rPr>
                <w:sz w:val="20"/>
                <w:szCs w:val="20"/>
              </w:rPr>
              <w:t>vaccine clinical trials</w:t>
            </w:r>
            <w:r w:rsidRPr="002168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 xml:space="preserve">Heather </w:t>
            </w:r>
            <w:r>
              <w:rPr>
                <w:sz w:val="20"/>
                <w:szCs w:val="20"/>
              </w:rPr>
              <w:t>Zar</w:t>
            </w:r>
          </w:p>
        </w:tc>
        <w:tc>
          <w:tcPr>
            <w:tcW w:w="3034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measures of asthma and recurrent wheeze in early childhood.</w:t>
            </w:r>
            <w:r w:rsidRPr="00216893">
              <w:rPr>
                <w:sz w:val="20"/>
                <w:szCs w:val="20"/>
              </w:rPr>
              <w:t xml:space="preserve"> Discuss </w:t>
            </w:r>
            <w:proofErr w:type="spellStart"/>
            <w:r w:rsidRPr="00216893">
              <w:rPr>
                <w:sz w:val="20"/>
                <w:szCs w:val="20"/>
              </w:rPr>
              <w:t>sens</w:t>
            </w:r>
            <w:proofErr w:type="spellEnd"/>
            <w:r w:rsidRPr="00216893">
              <w:rPr>
                <w:sz w:val="20"/>
                <w:szCs w:val="20"/>
              </w:rPr>
              <w:t>/spec of different clinic</w:t>
            </w:r>
            <w:r>
              <w:rPr>
                <w:sz w:val="20"/>
                <w:szCs w:val="20"/>
              </w:rPr>
              <w:t>al trial endpoints. Basi</w:t>
            </w:r>
            <w:r w:rsidRPr="00216893">
              <w:rPr>
                <w:sz w:val="20"/>
                <w:szCs w:val="20"/>
              </w:rPr>
              <w:t xml:space="preserve">s for </w:t>
            </w:r>
            <w:r>
              <w:rPr>
                <w:sz w:val="20"/>
                <w:szCs w:val="20"/>
              </w:rPr>
              <w:t xml:space="preserve">discussion of </w:t>
            </w:r>
            <w:r w:rsidRPr="00216893">
              <w:rPr>
                <w:sz w:val="20"/>
                <w:szCs w:val="20"/>
              </w:rPr>
              <w:t>outcome definitions</w:t>
            </w:r>
          </w:p>
        </w:tc>
      </w:tr>
      <w:tr w:rsidR="00695E8B" w:rsidRPr="00216893" w:rsidTr="00E25CFB">
        <w:trPr>
          <w:trHeight w:val="350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695E8B" w:rsidRPr="00DA6A93" w:rsidRDefault="00695E8B" w:rsidP="00695E8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A6A93">
              <w:rPr>
                <w:b/>
                <w:sz w:val="20"/>
                <w:szCs w:val="20"/>
              </w:rPr>
              <w:t xml:space="preserve">Evidence for/against causal association between RSV and recurrent wheeze/asthma? 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>Observational studies: Long-term respiratory morbidity associated with RSV in early childhood</w:t>
            </w:r>
          </w:p>
        </w:tc>
        <w:tc>
          <w:tcPr>
            <w:tcW w:w="743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Eric Simoes </w:t>
            </w:r>
          </w:p>
        </w:tc>
        <w:tc>
          <w:tcPr>
            <w:tcW w:w="3034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overview of the REGAL systematic review; highlight seminal longitudinal cohort studies.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>RCTs I: Palivizumab (Dutch MAKI trial)</w:t>
            </w:r>
            <w:r>
              <w:rPr>
                <w:sz w:val="20"/>
                <w:szCs w:val="20"/>
              </w:rPr>
              <w:t xml:space="preserve"> and </w:t>
            </w:r>
            <w:r w:rsidRPr="00216893">
              <w:rPr>
                <w:sz w:val="20"/>
                <w:szCs w:val="20"/>
              </w:rPr>
              <w:t>II: Motavizumab in healthy Native American Infants</w:t>
            </w:r>
          </w:p>
        </w:tc>
        <w:tc>
          <w:tcPr>
            <w:tcW w:w="743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>Nienke Scheltema</w:t>
            </w:r>
            <w:r>
              <w:rPr>
                <w:sz w:val="20"/>
                <w:szCs w:val="20"/>
              </w:rPr>
              <w:t xml:space="preserve"> &amp; Laura Hammitt</w:t>
            </w:r>
          </w:p>
          <w:p w:rsidR="00695E8B" w:rsidRPr="00216893" w:rsidRDefault="00695E8B" w:rsidP="00E25CFB">
            <w:pPr>
              <w:rPr>
                <w:sz w:val="20"/>
                <w:szCs w:val="20"/>
              </w:rPr>
            </w:pPr>
          </w:p>
        </w:tc>
        <w:tc>
          <w:tcPr>
            <w:tcW w:w="3034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findings from these two RCTs and describe ongoing motavizumab participant follow up.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a</w:t>
            </w:r>
            <w:r w:rsidRPr="00DA488D">
              <w:rPr>
                <w:sz w:val="20"/>
                <w:szCs w:val="20"/>
              </w:rPr>
              <w:t>dministrative data</w:t>
            </w:r>
            <w:r>
              <w:rPr>
                <w:sz w:val="20"/>
                <w:szCs w:val="20"/>
              </w:rPr>
              <w:t xml:space="preserve">sets </w:t>
            </w:r>
          </w:p>
        </w:tc>
        <w:tc>
          <w:tcPr>
            <w:tcW w:w="743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DA488D">
              <w:rPr>
                <w:sz w:val="20"/>
                <w:szCs w:val="20"/>
              </w:rPr>
              <w:t>Deshayne Fell</w:t>
            </w:r>
          </w:p>
        </w:tc>
        <w:tc>
          <w:tcPr>
            <w:tcW w:w="3034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administrative databases to evaluate the RSV - RWEC/Asthma association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BMGF Perspective  </w:t>
            </w:r>
          </w:p>
        </w:tc>
        <w:tc>
          <w:tcPr>
            <w:tcW w:w="743" w:type="pct"/>
            <w:shd w:val="clear" w:color="auto" w:fill="auto"/>
          </w:tcPr>
          <w:p w:rsidR="00695E8B" w:rsidRPr="001B2540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Prachi Vora</w:t>
            </w:r>
          </w:p>
        </w:tc>
        <w:tc>
          <w:tcPr>
            <w:tcW w:w="3034" w:type="pct"/>
            <w:shd w:val="clear" w:color="auto" w:fill="auto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BMGF perspective on importance of understanding RSV/RWEC/asthma association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Critical Review of Evidence and Applied Methodology</w:t>
            </w:r>
          </w:p>
        </w:tc>
        <w:tc>
          <w:tcPr>
            <w:tcW w:w="743" w:type="pct"/>
            <w:shd w:val="clear" w:color="auto" w:fill="auto"/>
          </w:tcPr>
          <w:p w:rsidR="00695E8B" w:rsidRPr="001B2540" w:rsidRDefault="00695E8B" w:rsidP="00E25CFB">
            <w:pPr>
              <w:rPr>
                <w:sz w:val="20"/>
                <w:szCs w:val="20"/>
              </w:rPr>
            </w:pPr>
            <w:r w:rsidRPr="001B25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C0465">
              <w:rPr>
                <w:rFonts w:ascii="Calibri" w:eastAsia="Times New Roman" w:hAnsi="Calibri" w:cs="Times New Roman"/>
                <w:sz w:val="20"/>
                <w:szCs w:val="20"/>
              </w:rPr>
              <w:t>Steven Brunwasser</w:t>
            </w:r>
          </w:p>
        </w:tc>
        <w:tc>
          <w:tcPr>
            <w:tcW w:w="3034" w:type="pct"/>
            <w:shd w:val="clear" w:color="auto" w:fill="auto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present results of the RSV/RWEC/Asthma critical review</w:t>
            </w:r>
          </w:p>
        </w:tc>
      </w:tr>
      <w:tr w:rsidR="00695E8B" w:rsidRPr="00216893" w:rsidTr="00E25CFB">
        <w:trPr>
          <w:trHeight w:val="290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695E8B" w:rsidRPr="00B94D0A" w:rsidRDefault="00695E8B" w:rsidP="00695E8B">
            <w:pPr>
              <w:pStyle w:val="ListParagraph"/>
              <w:numPr>
                <w:ilvl w:val="0"/>
                <w:numId w:val="23"/>
              </w:numPr>
              <w:ind w:left="376" w:hanging="2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D0A">
              <w:rPr>
                <w:b/>
                <w:sz w:val="20"/>
                <w:szCs w:val="20"/>
              </w:rPr>
              <w:t>Methodological Issues</w:t>
            </w:r>
          </w:p>
          <w:p w:rsidR="00695E8B" w:rsidRDefault="00695E8B" w:rsidP="00E25CFB">
            <w:pPr>
              <w:rPr>
                <w:sz w:val="20"/>
                <w:szCs w:val="20"/>
              </w:rPr>
            </w:pPr>
            <w:r w:rsidRPr="00AB69B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 xml:space="preserve">Potential biases in observational studies </w:t>
            </w:r>
          </w:p>
        </w:tc>
        <w:tc>
          <w:tcPr>
            <w:tcW w:w="743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 w:rsidRPr="00216893">
              <w:rPr>
                <w:sz w:val="20"/>
                <w:szCs w:val="20"/>
              </w:rPr>
              <w:t>David Savitz</w:t>
            </w:r>
          </w:p>
        </w:tc>
        <w:tc>
          <w:tcPr>
            <w:tcW w:w="3034" w:type="pct"/>
          </w:tcPr>
          <w:p w:rsidR="00695E8B" w:rsidRPr="00AC3194" w:rsidRDefault="00695E8B" w:rsidP="00E25CFB">
            <w:r>
              <w:rPr>
                <w:rFonts w:ascii="Calibri" w:hAnsi="Calibri" w:cs="Calibri"/>
                <w:color w:val="212121"/>
                <w:sz w:val="20"/>
                <w:szCs w:val="20"/>
                <w:shd w:val="clear" w:color="auto" w:fill="FFFFFF"/>
              </w:rPr>
              <w:t xml:space="preserve">Discuss biases in observational studies  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</w:t>
            </w:r>
            <w:r w:rsidRPr="002168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ample size analysis RCTs of maternal RSV vaccines </w:t>
            </w:r>
          </w:p>
        </w:tc>
        <w:tc>
          <w:tcPr>
            <w:tcW w:w="743" w:type="pct"/>
          </w:tcPr>
          <w:p w:rsidR="00695E8B" w:rsidRPr="00BC0465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04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Ortiz</w:t>
            </w:r>
          </w:p>
          <w:p w:rsidR="00695E8B" w:rsidRPr="00216893" w:rsidRDefault="00695E8B" w:rsidP="00E25CFB">
            <w:pPr>
              <w:rPr>
                <w:sz w:val="20"/>
                <w:szCs w:val="20"/>
              </w:rPr>
            </w:pPr>
          </w:p>
        </w:tc>
        <w:tc>
          <w:tcPr>
            <w:tcW w:w="3034" w:type="pct"/>
          </w:tcPr>
          <w:p w:rsidR="00695E8B" w:rsidRPr="00216893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Results of modelling exercise of sample size needed to detect true association of RSV and RWEC/asthma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introduction Study Design Considerations</w:t>
            </w:r>
          </w:p>
        </w:tc>
        <w:tc>
          <w:tcPr>
            <w:tcW w:w="743" w:type="pct"/>
          </w:tcPr>
          <w:p w:rsidR="00695E8B" w:rsidRPr="00DA488D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Mulholland</w:t>
            </w:r>
          </w:p>
        </w:tc>
        <w:tc>
          <w:tcPr>
            <w:tcW w:w="3034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 w:rsidRPr="00DA488D">
              <w:rPr>
                <w:sz w:val="20"/>
                <w:szCs w:val="20"/>
              </w:rPr>
              <w:t xml:space="preserve">Present </w:t>
            </w:r>
            <w:r>
              <w:rPr>
                <w:sz w:val="20"/>
                <w:szCs w:val="20"/>
              </w:rPr>
              <w:t>different study design options to</w:t>
            </w:r>
            <w:r w:rsidRPr="00DA488D">
              <w:rPr>
                <w:sz w:val="20"/>
                <w:szCs w:val="20"/>
              </w:rPr>
              <w:t xml:space="preserve"> assess long-term outcomes post in</w:t>
            </w:r>
            <w:r>
              <w:rPr>
                <w:sz w:val="20"/>
                <w:szCs w:val="20"/>
              </w:rPr>
              <w:t>troduction RSV vaccine/</w:t>
            </w:r>
            <w:proofErr w:type="spellStart"/>
            <w:r>
              <w:rPr>
                <w:sz w:val="20"/>
                <w:szCs w:val="20"/>
              </w:rPr>
              <w:t>mAb</w:t>
            </w:r>
            <w:proofErr w:type="spellEnd"/>
            <w:r>
              <w:rPr>
                <w:sz w:val="20"/>
                <w:szCs w:val="20"/>
              </w:rPr>
              <w:t xml:space="preserve"> (phase IV)</w:t>
            </w:r>
          </w:p>
        </w:tc>
      </w:tr>
      <w:tr w:rsidR="00695E8B" w:rsidRPr="00216893" w:rsidTr="00E25CFB">
        <w:trPr>
          <w:trHeight w:val="290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695E8B" w:rsidRPr="00263DBE" w:rsidRDefault="00695E8B" w:rsidP="00695E8B">
            <w:pPr>
              <w:pStyle w:val="ListParagraph"/>
              <w:numPr>
                <w:ilvl w:val="0"/>
                <w:numId w:val="23"/>
              </w:numPr>
              <w:ind w:left="332" w:hanging="270"/>
              <w:rPr>
                <w:b/>
                <w:sz w:val="20"/>
                <w:szCs w:val="20"/>
              </w:rPr>
            </w:pPr>
            <w:r w:rsidRPr="00263DBE">
              <w:rPr>
                <w:b/>
                <w:sz w:val="20"/>
                <w:szCs w:val="20"/>
              </w:rPr>
              <w:t>Questions for Recommendation – Part 1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  <w:shd w:val="clear" w:color="auto" w:fill="FFFFFF" w:themeFill="background1"/>
          </w:tcPr>
          <w:p w:rsidR="00695E8B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Strategic questions for recommendation</w:t>
            </w:r>
          </w:p>
        </w:tc>
        <w:tc>
          <w:tcPr>
            <w:tcW w:w="743" w:type="pct"/>
            <w:shd w:val="clear" w:color="auto" w:fill="FFFFFF" w:themeFill="background1"/>
          </w:tcPr>
          <w:p w:rsidR="00695E8B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Feikin</w:t>
            </w:r>
          </w:p>
        </w:tc>
        <w:tc>
          <w:tcPr>
            <w:tcW w:w="3034" w:type="pct"/>
            <w:shd w:val="clear" w:color="auto" w:fill="FFFFFF" w:themeFill="background1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Describe process for tackling strategic questions</w:t>
            </w:r>
          </w:p>
        </w:tc>
      </w:tr>
      <w:tr w:rsidR="00695E8B" w:rsidRPr="00216893" w:rsidTr="00E25CFB">
        <w:trPr>
          <w:trHeight w:val="290"/>
        </w:trPr>
        <w:tc>
          <w:tcPr>
            <w:tcW w:w="1222" w:type="pct"/>
            <w:shd w:val="clear" w:color="auto" w:fill="FFFFFF" w:themeFill="background1"/>
          </w:tcPr>
          <w:p w:rsidR="00695E8B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group break-out sessions</w:t>
            </w:r>
          </w:p>
        </w:tc>
        <w:tc>
          <w:tcPr>
            <w:tcW w:w="743" w:type="pct"/>
            <w:shd w:val="clear" w:color="auto" w:fill="FFFFFF" w:themeFill="background1"/>
          </w:tcPr>
          <w:p w:rsidR="00695E8B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3034" w:type="pct"/>
            <w:shd w:val="clear" w:color="auto" w:fill="FFFFFF" w:themeFill="background1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 to break out to discuss assigned questions</w:t>
            </w:r>
          </w:p>
        </w:tc>
      </w:tr>
    </w:tbl>
    <w:p w:rsidR="00695E8B" w:rsidRDefault="00695E8B" w:rsidP="00695E8B">
      <w:pPr>
        <w:spacing w:after="0" w:line="240" w:lineRule="auto"/>
      </w:pPr>
    </w:p>
    <w:p w:rsidR="00695E8B" w:rsidRDefault="00695E8B" w:rsidP="00695E8B">
      <w:pPr>
        <w:spacing w:after="0" w:line="240" w:lineRule="auto"/>
      </w:pPr>
    </w:p>
    <w:p w:rsidR="00695E8B" w:rsidRPr="00E36B75" w:rsidRDefault="00695E8B" w:rsidP="00695E8B">
      <w:pPr>
        <w:spacing w:after="0" w:line="240" w:lineRule="auto"/>
      </w:pPr>
      <w:r w:rsidRPr="00E36B75">
        <w:rPr>
          <w:rFonts w:ascii="Calibri" w:eastAsia="Times New Roman" w:hAnsi="Calibri" w:cs="Times New Roman"/>
          <w:b/>
          <w:color w:val="000000"/>
        </w:rPr>
        <w:t>Day 2</w:t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Pr="00E36B75">
        <w:t xml:space="preserve"> </w:t>
      </w:r>
    </w:p>
    <w:p w:rsidR="00695E8B" w:rsidRDefault="00695E8B" w:rsidP="00695E8B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83"/>
        <w:gridCol w:w="2240"/>
        <w:gridCol w:w="2993"/>
      </w:tblGrid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Pr="00216893" w:rsidRDefault="00695E8B" w:rsidP="00E25CFB">
            <w:pPr>
              <w:rPr>
                <w:b/>
                <w:sz w:val="20"/>
                <w:szCs w:val="20"/>
              </w:rPr>
            </w:pPr>
            <w:r w:rsidRPr="00216893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242" w:type="pct"/>
          </w:tcPr>
          <w:p w:rsidR="00695E8B" w:rsidRPr="00216893" w:rsidRDefault="00695E8B" w:rsidP="00E25CFB">
            <w:pPr>
              <w:rPr>
                <w:b/>
                <w:sz w:val="20"/>
                <w:szCs w:val="20"/>
              </w:rPr>
            </w:pPr>
            <w:r w:rsidRPr="00216893"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1660" w:type="pct"/>
          </w:tcPr>
          <w:p w:rsidR="00695E8B" w:rsidRPr="00216893" w:rsidRDefault="00695E8B" w:rsidP="00E25CFB">
            <w:pPr>
              <w:rPr>
                <w:b/>
                <w:sz w:val="20"/>
                <w:szCs w:val="20"/>
              </w:rPr>
            </w:pPr>
            <w:r w:rsidRPr="00216893">
              <w:rPr>
                <w:b/>
                <w:sz w:val="20"/>
                <w:szCs w:val="20"/>
              </w:rPr>
              <w:t>Objectives</w:t>
            </w:r>
          </w:p>
        </w:tc>
      </w:tr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Pr="00DA488D" w:rsidRDefault="00695E8B" w:rsidP="00E25CFB">
            <w:pPr>
              <w:rPr>
                <w:sz w:val="20"/>
                <w:szCs w:val="20"/>
              </w:rPr>
            </w:pPr>
            <w:r w:rsidRPr="00DA488D">
              <w:rPr>
                <w:sz w:val="20"/>
                <w:szCs w:val="20"/>
              </w:rPr>
              <w:t>Recap of Day 1, Objectives for Day 2</w:t>
            </w:r>
          </w:p>
        </w:tc>
        <w:tc>
          <w:tcPr>
            <w:tcW w:w="1242" w:type="pct"/>
          </w:tcPr>
          <w:p w:rsidR="00695E8B" w:rsidRPr="00BC0465" w:rsidRDefault="00695E8B" w:rsidP="00E25CFB">
            <w:pPr>
              <w:rPr>
                <w:sz w:val="20"/>
                <w:szCs w:val="20"/>
              </w:rPr>
            </w:pPr>
            <w:r w:rsidRPr="00BC0465">
              <w:rPr>
                <w:sz w:val="20"/>
                <w:szCs w:val="20"/>
              </w:rPr>
              <w:t>Daniel Feikin</w:t>
            </w:r>
          </w:p>
        </w:tc>
        <w:tc>
          <w:tcPr>
            <w:tcW w:w="1660" w:type="pct"/>
          </w:tcPr>
          <w:p w:rsidR="00695E8B" w:rsidRPr="00216893" w:rsidRDefault="00695E8B" w:rsidP="00E25CFB">
            <w:pPr>
              <w:rPr>
                <w:b/>
                <w:sz w:val="20"/>
                <w:szCs w:val="20"/>
              </w:rPr>
            </w:pPr>
          </w:p>
        </w:tc>
      </w:tr>
      <w:tr w:rsidR="00695E8B" w:rsidRPr="00216893" w:rsidTr="00E25CFB">
        <w:trPr>
          <w:trHeight w:val="297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695E8B" w:rsidRPr="00DA488D" w:rsidRDefault="00695E8B" w:rsidP="00695E8B">
            <w:pPr>
              <w:pStyle w:val="ListParagraph"/>
              <w:numPr>
                <w:ilvl w:val="0"/>
                <w:numId w:val="23"/>
              </w:numPr>
              <w:ind w:left="316" w:hanging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Potential policy Implications of the RSV/ERCW/Asthma association</w:t>
            </w:r>
          </w:p>
        </w:tc>
      </w:tr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 Committee Perspective – A panel discussion</w:t>
            </w:r>
          </w:p>
        </w:tc>
        <w:tc>
          <w:tcPr>
            <w:tcW w:w="1242" w:type="pct"/>
          </w:tcPr>
          <w:p w:rsidR="00695E8B" w:rsidRPr="00DA488D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 Karron, Fred Were, Kate O’Brien</w:t>
            </w:r>
          </w:p>
        </w:tc>
        <w:tc>
          <w:tcPr>
            <w:tcW w:w="1660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how RWEC/asthma could relate to advisory group deliberations on RSV vaccines  </w:t>
            </w:r>
          </w:p>
        </w:tc>
      </w:tr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Pr="00DA488D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Long-term follow-up of </w:t>
            </w:r>
            <w:proofErr w:type="spellStart"/>
            <w:r>
              <w:rPr>
                <w:sz w:val="20"/>
                <w:szCs w:val="20"/>
              </w:rPr>
              <w:t>Novavax</w:t>
            </w:r>
            <w:proofErr w:type="spellEnd"/>
            <w:r>
              <w:rPr>
                <w:sz w:val="20"/>
                <w:szCs w:val="20"/>
              </w:rPr>
              <w:t xml:space="preserve"> vaccine</w:t>
            </w:r>
          </w:p>
        </w:tc>
        <w:tc>
          <w:tcPr>
            <w:tcW w:w="1242" w:type="pct"/>
          </w:tcPr>
          <w:p w:rsidR="00695E8B" w:rsidRPr="00DA488D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Zar</w:t>
            </w:r>
          </w:p>
        </w:tc>
        <w:tc>
          <w:tcPr>
            <w:tcW w:w="1660" w:type="pct"/>
          </w:tcPr>
          <w:p w:rsidR="00695E8B" w:rsidRPr="00DA488D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Plans for long term follow-up of </w:t>
            </w:r>
            <w:proofErr w:type="spellStart"/>
            <w:r>
              <w:rPr>
                <w:sz w:val="20"/>
                <w:szCs w:val="20"/>
              </w:rPr>
              <w:t>Novavax</w:t>
            </w:r>
            <w:proofErr w:type="spellEnd"/>
            <w:r>
              <w:rPr>
                <w:sz w:val="20"/>
                <w:szCs w:val="20"/>
              </w:rPr>
              <w:t xml:space="preserve"> trial participants</w:t>
            </w:r>
          </w:p>
        </w:tc>
      </w:tr>
      <w:tr w:rsidR="00695E8B" w:rsidRPr="00216893" w:rsidTr="00E25CFB">
        <w:trPr>
          <w:trHeight w:val="297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695E8B" w:rsidRPr="00AB69BA" w:rsidRDefault="00695E8B" w:rsidP="00695E8B">
            <w:pPr>
              <w:pStyle w:val="ListParagraph"/>
              <w:numPr>
                <w:ilvl w:val="0"/>
                <w:numId w:val="23"/>
              </w:numPr>
              <w:ind w:left="271"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 for recommendation – Part 2</w:t>
            </w:r>
          </w:p>
        </w:tc>
      </w:tr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groups reconvene</w:t>
            </w:r>
          </w:p>
        </w:tc>
        <w:tc>
          <w:tcPr>
            <w:tcW w:w="1242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Finalize recommendations</w:t>
            </w:r>
          </w:p>
        </w:tc>
      </w:tr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groups presentation (1-2)  </w:t>
            </w:r>
          </w:p>
        </w:tc>
        <w:tc>
          <w:tcPr>
            <w:tcW w:w="1242" w:type="pct"/>
          </w:tcPr>
          <w:p w:rsidR="00695E8B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660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groups present conclusions </w:t>
            </w:r>
          </w:p>
        </w:tc>
      </w:tr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groups – continued (3-4)</w:t>
            </w:r>
          </w:p>
        </w:tc>
        <w:tc>
          <w:tcPr>
            <w:tcW w:w="1242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660" w:type="pct"/>
          </w:tcPr>
          <w:p w:rsidR="00695E8B" w:rsidRPr="00AB69BA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groups present conclusions </w:t>
            </w:r>
          </w:p>
        </w:tc>
      </w:tr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Editorial review of evidence presented – how to think about causation?</w:t>
            </w:r>
          </w:p>
        </w:tc>
        <w:tc>
          <w:tcPr>
            <w:tcW w:w="1242" w:type="pct"/>
          </w:tcPr>
          <w:p w:rsidR="00695E8B" w:rsidRPr="00AB69BA" w:rsidRDefault="00695E8B" w:rsidP="00E25CFB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Smith</w:t>
            </w:r>
          </w:p>
        </w:tc>
        <w:tc>
          <w:tcPr>
            <w:tcW w:w="1660" w:type="pct"/>
          </w:tcPr>
          <w:p w:rsidR="00695E8B" w:rsidRPr="00AB69BA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framework for determining causation</w:t>
            </w:r>
          </w:p>
        </w:tc>
      </w:tr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group discussion –study design</w:t>
            </w:r>
          </w:p>
          <w:p w:rsidR="00695E8B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2" w:type="pct"/>
          </w:tcPr>
          <w:p w:rsidR="00695E8B" w:rsidRDefault="00695E8B" w:rsidP="00E25C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660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to discuss and weigh what the best practice study designs </w:t>
            </w:r>
          </w:p>
        </w:tc>
      </w:tr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Statement on state of the evidence</w:t>
            </w:r>
          </w:p>
        </w:tc>
        <w:tc>
          <w:tcPr>
            <w:tcW w:w="1242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660" w:type="pct"/>
          </w:tcPr>
          <w:p w:rsidR="00695E8B" w:rsidRPr="00AB69BA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to develop a statement assessing the state of the evidence that RSV is causally related to RWEC/asthma</w:t>
            </w:r>
          </w:p>
        </w:tc>
      </w:tr>
      <w:tr w:rsidR="00695E8B" w:rsidRPr="00216893" w:rsidTr="00E25CFB">
        <w:trPr>
          <w:trHeight w:val="297"/>
        </w:trPr>
        <w:tc>
          <w:tcPr>
            <w:tcW w:w="2098" w:type="pct"/>
          </w:tcPr>
          <w:p w:rsidR="00695E8B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remarks</w:t>
            </w:r>
          </w:p>
        </w:tc>
        <w:tc>
          <w:tcPr>
            <w:tcW w:w="1242" w:type="pct"/>
          </w:tcPr>
          <w:p w:rsidR="00695E8B" w:rsidRPr="00AB69BA" w:rsidRDefault="00695E8B" w:rsidP="00E2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Feikin</w:t>
            </w:r>
          </w:p>
        </w:tc>
        <w:tc>
          <w:tcPr>
            <w:tcW w:w="1660" w:type="pct"/>
          </w:tcPr>
          <w:p w:rsidR="00695E8B" w:rsidRPr="00AB69BA" w:rsidRDefault="00695E8B" w:rsidP="00E25CFB">
            <w:pPr>
              <w:rPr>
                <w:sz w:val="20"/>
                <w:szCs w:val="20"/>
              </w:rPr>
            </w:pPr>
          </w:p>
        </w:tc>
      </w:tr>
    </w:tbl>
    <w:p w:rsidR="00695E8B" w:rsidRDefault="00695E8B" w:rsidP="00695E8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95E8B" w:rsidRDefault="00695E8B" w:rsidP="00695E8B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95E8B" w:rsidRDefault="00695E8B" w:rsidP="00695E8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95E8B" w:rsidRDefault="00695E8B" w:rsidP="00695E8B">
      <w:pPr>
        <w:rPr>
          <w:b/>
        </w:rPr>
      </w:pPr>
    </w:p>
    <w:p w:rsidR="00695E8B" w:rsidRPr="00DB0C96" w:rsidRDefault="00695E8B" w:rsidP="00695E8B">
      <w:p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b/>
        </w:rPr>
        <w:br w:type="page"/>
      </w:r>
    </w:p>
    <w:p w:rsidR="00695E8B" w:rsidRDefault="00695E8B" w:rsidP="00695E8B">
      <w:pPr>
        <w:jc w:val="center"/>
        <w:rPr>
          <w:b/>
          <w:bCs/>
        </w:rPr>
      </w:pPr>
      <w:r>
        <w:rPr>
          <w:b/>
          <w:bCs/>
        </w:rPr>
        <w:lastRenderedPageBreak/>
        <w:t>PARTICIPANTS</w:t>
      </w: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Syed Hasan Arshad</w:t>
      </w:r>
      <w:r>
        <w:rPr>
          <w:rFonts w:eastAsia="Times New Roman" w:cstheme="minorHAnsi"/>
          <w:color w:val="000000"/>
        </w:rPr>
        <w:t xml:space="preserve">, </w:t>
      </w:r>
      <w:r>
        <w:rPr>
          <w:rFonts w:cstheme="minorHAnsi"/>
          <w:spacing w:val="-3"/>
          <w:shd w:val="clear" w:color="auto" w:fill="FFFFFF"/>
        </w:rPr>
        <w:t>David Hide Asthma and Allergy Centre and</w:t>
      </w:r>
      <w:r>
        <w:rPr>
          <w:rFonts w:eastAsia="Times New Roman" w:cstheme="minorHAnsi"/>
          <w:color w:val="000000"/>
        </w:rPr>
        <w:t xml:space="preserve"> University of Southampton, UK</w:t>
      </w:r>
      <w:r>
        <w:t xml:space="preserve"> </w:t>
      </w:r>
      <w:r>
        <w:rPr>
          <w:rFonts w:eastAsia="Times New Roman" w:cstheme="minorHAnsi"/>
          <w:color w:val="000000"/>
        </w:rPr>
        <w:t>&lt;S.H.Arshad@soton.ac.uk&gt;</w:t>
      </w:r>
    </w:p>
    <w:p w:rsidR="00695E8B" w:rsidRDefault="00695E8B" w:rsidP="00695E8B">
      <w:pPr>
        <w:pStyle w:val="ListParagraph"/>
        <w:shd w:val="clear" w:color="auto" w:fill="FFFFFF"/>
        <w:ind w:left="360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Louis Bont</w:t>
      </w:r>
      <w:r>
        <w:rPr>
          <w:rFonts w:eastAsia="Times New Roman" w:cstheme="minorHAnsi"/>
          <w:color w:val="000000"/>
        </w:rPr>
        <w:t>, University Medical Centre Utrecht, the Netherlands &lt;L.Bont@umcutrecht.nl&gt;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Steven Brunwasser</w:t>
      </w:r>
      <w:r>
        <w:rPr>
          <w:rFonts w:eastAsia="Times New Roman" w:cstheme="minorHAnsi"/>
          <w:color w:val="000000"/>
        </w:rPr>
        <w:t xml:space="preserve">, Department of Medicine, Vanderbilt University School of Medicine, Nashville, USA   </w:t>
      </w:r>
      <w:r w:rsidRPr="005E7329">
        <w:rPr>
          <w:rFonts w:eastAsia="Times New Roman" w:cstheme="minorHAnsi"/>
        </w:rPr>
        <w:t>Steven.brunwasser@vumc.org</w:t>
      </w:r>
    </w:p>
    <w:p w:rsidR="00695E8B" w:rsidRDefault="00695E8B" w:rsidP="00695E8B">
      <w:pPr>
        <w:pStyle w:val="ListParagraph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Thomas Cherian</w:t>
      </w:r>
      <w:r>
        <w:rPr>
          <w:rFonts w:eastAsia="Times New Roman" w:cstheme="minorHAnsi"/>
          <w:color w:val="000000"/>
        </w:rPr>
        <w:t>, Independent, Chairman IVR Technical Advisory Group on RSV Vaccines, Geneva, Switzerland.  &lt;cheriant@mmglobalhealth.org&gt;</w:t>
      </w:r>
    </w:p>
    <w:p w:rsidR="00695E8B" w:rsidRDefault="00695E8B" w:rsidP="00695E8B">
      <w:pPr>
        <w:pStyle w:val="ListParagraph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Amanda Driscoll</w:t>
      </w:r>
      <w:r>
        <w:rPr>
          <w:rFonts w:eastAsia="Times New Roman" w:cstheme="minorHAnsi"/>
          <w:color w:val="000000"/>
        </w:rPr>
        <w:t>, Center for Vaccine Development and Global Health, University of Maryland School of Medicine, Baltimore, USA   &lt;ADriscoll@som.umaryland.edu&gt;</w:t>
      </w:r>
    </w:p>
    <w:p w:rsidR="00695E8B" w:rsidRDefault="00695E8B" w:rsidP="00695E8B">
      <w:pPr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Jan Englund</w:t>
      </w:r>
      <w:r>
        <w:rPr>
          <w:rFonts w:eastAsia="Times New Roman" w:cstheme="minorHAnsi"/>
          <w:color w:val="000000"/>
        </w:rPr>
        <w:t xml:space="preserve">, Department of Pediatrics, University of Washington School of Medicine, Seattle, USA   </w:t>
      </w:r>
      <w:r w:rsidRPr="005E7329">
        <w:rPr>
          <w:rFonts w:eastAsia="Times New Roman" w:cstheme="minorHAnsi"/>
        </w:rPr>
        <w:t>janet.englund@seattlechildrens.org</w:t>
      </w:r>
    </w:p>
    <w:p w:rsidR="00695E8B" w:rsidRDefault="00695E8B" w:rsidP="00695E8B">
      <w:pPr>
        <w:pStyle w:val="ListParagraph"/>
        <w:rPr>
          <w:rFonts w:eastAsia="Times New Roman" w:cstheme="minorHAnsi"/>
          <w:color w:val="000000"/>
        </w:rPr>
      </w:pPr>
    </w:p>
    <w:p w:rsidR="00695E8B" w:rsidRPr="00297809" w:rsidRDefault="00695E8B" w:rsidP="00695E8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4B325F">
        <w:rPr>
          <w:rFonts w:eastAsia="Times New Roman" w:cstheme="minorHAnsi"/>
          <w:b/>
          <w:color w:val="000000" w:themeColor="text1"/>
        </w:rPr>
        <w:t>Deshayne Fell</w:t>
      </w:r>
      <w:r>
        <w:rPr>
          <w:rFonts w:eastAsia="Times New Roman" w:cstheme="minorHAnsi"/>
          <w:color w:val="000000" w:themeColor="text1"/>
        </w:rPr>
        <w:t xml:space="preserve">, </w:t>
      </w:r>
      <w:r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School of Epidemiology and Public Health, University of Ottawa, Ottawa, Canada </w:t>
      </w:r>
      <w:r w:rsidRPr="005E7329">
        <w:rPr>
          <w:rFonts w:ascii="Calibri" w:eastAsia="Times New Roman" w:hAnsi="Calibri" w:cs="Calibri"/>
          <w:shd w:val="clear" w:color="auto" w:fill="FFFFFF"/>
        </w:rPr>
        <w:t>DFell@cheo.on.ca</w:t>
      </w:r>
    </w:p>
    <w:p w:rsidR="00695E8B" w:rsidRPr="00297809" w:rsidRDefault="00695E8B" w:rsidP="00695E8B">
      <w:pPr>
        <w:pStyle w:val="ListParagraph"/>
        <w:rPr>
          <w:rFonts w:eastAsia="Times New Roman" w:cstheme="minorHAnsi"/>
          <w:color w:val="000000" w:themeColor="text1"/>
        </w:rPr>
      </w:pPr>
    </w:p>
    <w:p w:rsidR="00695E8B" w:rsidRPr="00297809" w:rsidRDefault="00695E8B" w:rsidP="00695E8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297809">
        <w:rPr>
          <w:rFonts w:eastAsia="Times New Roman" w:cstheme="minorHAnsi"/>
          <w:b/>
          <w:color w:val="000000" w:themeColor="text1"/>
        </w:rPr>
        <w:t>Daniel Feikin</w:t>
      </w:r>
      <w:r>
        <w:rPr>
          <w:rFonts w:eastAsia="Times New Roman" w:cstheme="minorHAnsi"/>
          <w:color w:val="000000" w:themeColor="text1"/>
        </w:rPr>
        <w:t>, Initiative for Vaccine Research, World Health Organization feikind@who.int</w:t>
      </w:r>
    </w:p>
    <w:p w:rsidR="00695E8B" w:rsidRDefault="00695E8B" w:rsidP="00695E8B">
      <w:pPr>
        <w:rPr>
          <w:rFonts w:eastAsia="Times New Roman" w:cstheme="minorHAnsi"/>
          <w:color w:val="000000" w:themeColor="text1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Tina Hartert</w:t>
      </w:r>
      <w:r>
        <w:rPr>
          <w:rFonts w:eastAsia="Times New Roman" w:cstheme="minorHAnsi"/>
          <w:color w:val="000000"/>
        </w:rPr>
        <w:t>, Center for Asthma Research, Department of Medicine, Vanderbilt Institute for Medicine &amp; Public Health, Vanderbilt University Medical Center, Nashville, USA &lt;tina.hartert@vumc.org&gt;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Bruce Innis</w:t>
      </w:r>
      <w:r>
        <w:rPr>
          <w:rFonts w:eastAsia="Times New Roman" w:cstheme="minorHAnsi"/>
          <w:color w:val="000000"/>
        </w:rPr>
        <w:t>, PATH, Respiratory Infections and Maternal Immunizations, PATH Center for Vaccine Innovation and Access, Washington DC, USA &lt;binnis@path.org&gt;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Ruth Karron</w:t>
      </w:r>
      <w:r>
        <w:rPr>
          <w:rFonts w:eastAsia="Times New Roman" w:cstheme="minorHAnsi"/>
          <w:color w:val="000000"/>
        </w:rPr>
        <w:t xml:space="preserve">, Center for Immunization Research, Johns Hopkins Vaccine Initiative, Bloomberg School of Public Health, Johns Hopkins University, Baltimore, USA </w:t>
      </w:r>
      <w:r w:rsidRPr="005E7329">
        <w:rPr>
          <w:rFonts w:eastAsia="Times New Roman" w:cstheme="minorHAnsi"/>
        </w:rPr>
        <w:t>rkarron@jhu.edu</w:t>
      </w:r>
    </w:p>
    <w:p w:rsidR="00695E8B" w:rsidRDefault="00695E8B" w:rsidP="00695E8B">
      <w:pPr>
        <w:pStyle w:val="ListParagraph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Gayle Langley</w:t>
      </w:r>
      <w:r>
        <w:rPr>
          <w:rFonts w:eastAsia="Times New Roman" w:cstheme="minorHAnsi"/>
          <w:color w:val="000000"/>
        </w:rPr>
        <w:t>, Division of Viral Diseases, Respiratory Viruses Branch, Centers for Disease Control and Prevention, Atlanta, USA</w:t>
      </w:r>
      <w:r>
        <w:t xml:space="preserve"> </w:t>
      </w:r>
      <w:r>
        <w:rPr>
          <w:rFonts w:eastAsia="Times New Roman" w:cstheme="minorHAnsi"/>
          <w:color w:val="000000"/>
        </w:rPr>
        <w:t>&lt;fez7@cdc.gov&gt;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FF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Kim Mulholland</w:t>
      </w:r>
      <w:r>
        <w:rPr>
          <w:rFonts w:eastAsia="Times New Roman" w:cstheme="minorHAnsi"/>
          <w:color w:val="000000"/>
        </w:rPr>
        <w:t xml:space="preserve">, Murdoch </w:t>
      </w:r>
      <w:proofErr w:type="spellStart"/>
      <w:r>
        <w:rPr>
          <w:rFonts w:eastAsia="Times New Roman" w:cstheme="minorHAnsi"/>
          <w:color w:val="000000"/>
        </w:rPr>
        <w:t>Childrens</w:t>
      </w:r>
      <w:proofErr w:type="spellEnd"/>
      <w:r>
        <w:rPr>
          <w:rFonts w:eastAsia="Times New Roman" w:cstheme="minorHAnsi"/>
          <w:color w:val="000000"/>
        </w:rPr>
        <w:t>’ Research Institute, Melbourne, Australia &lt;Kim.Mulholland@lshtm.ac.uk&gt;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Harish Nair</w:t>
      </w:r>
      <w:r>
        <w:rPr>
          <w:rFonts w:cstheme="minorHAnsi"/>
          <w:bCs/>
          <w:iCs/>
          <w:color w:val="000000" w:themeColor="text1"/>
        </w:rPr>
        <w:t xml:space="preserve">, </w:t>
      </w:r>
      <w:proofErr w:type="spellStart"/>
      <w:r>
        <w:rPr>
          <w:rFonts w:cstheme="minorHAnsi"/>
          <w:bCs/>
          <w:iCs/>
          <w:color w:val="000000" w:themeColor="text1"/>
        </w:rPr>
        <w:t>Paediatric</w:t>
      </w:r>
      <w:proofErr w:type="spellEnd"/>
      <w:r>
        <w:rPr>
          <w:rFonts w:cstheme="minorHAnsi"/>
          <w:bCs/>
          <w:iCs/>
          <w:color w:val="000000" w:themeColor="text1"/>
        </w:rPr>
        <w:t xml:space="preserve"> Infectious Diseases and Global Health, Centre for Global Health Research, University of Edinburgh, Edinburgh, UK &lt;Harish.Nair@ed.ac.uk&gt;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lastRenderedPageBreak/>
        <w:t>Patrick Munywoki</w:t>
      </w:r>
      <w:r>
        <w:rPr>
          <w:rFonts w:eastAsia="Times New Roman" w:cstheme="minorHAnsi"/>
          <w:color w:val="000000"/>
        </w:rPr>
        <w:t xml:space="preserve">, CDC-Kenya, Nairobi, Kenya </w:t>
      </w:r>
      <w:r w:rsidRPr="005E7329">
        <w:rPr>
          <w:rFonts w:eastAsia="Times New Roman" w:cstheme="minorHAnsi"/>
        </w:rPr>
        <w:t>oha6@cdc.gov</w:t>
      </w:r>
    </w:p>
    <w:p w:rsidR="00695E8B" w:rsidRPr="004B325F" w:rsidRDefault="00695E8B" w:rsidP="00695E8B">
      <w:pPr>
        <w:pStyle w:val="ListParagraph"/>
        <w:rPr>
          <w:rFonts w:eastAsia="Times New Roman" w:cstheme="minorHAnsi"/>
          <w:color w:val="000000"/>
        </w:rPr>
      </w:pPr>
    </w:p>
    <w:p w:rsidR="00695E8B" w:rsidRPr="004B325F" w:rsidRDefault="00695E8B" w:rsidP="00695E8B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:rsidR="00695E8B" w:rsidRPr="007A17EC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Style w:val="Hyperlink"/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Laura Hammitt</w:t>
      </w:r>
      <w:r>
        <w:rPr>
          <w:rFonts w:eastAsia="Times New Roman" w:cstheme="minorHAnsi"/>
          <w:color w:val="000000"/>
        </w:rPr>
        <w:t xml:space="preserve">, International Vaccine Access Center, Johns Hopkins Vaccine Initiative, Bloomberg School of Public Health, Johns Hopkins University, Baltimore, USA </w:t>
      </w:r>
      <w:r w:rsidRPr="005E7329">
        <w:rPr>
          <w:rFonts w:eastAsia="Times New Roman" w:cstheme="minorHAnsi"/>
        </w:rPr>
        <w:t>lhammitt@jhu.edu</w:t>
      </w:r>
    </w:p>
    <w:p w:rsidR="00695E8B" w:rsidRPr="007A17EC" w:rsidRDefault="00695E8B" w:rsidP="00695E8B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Justin Ortiz</w:t>
      </w:r>
      <w:r>
        <w:rPr>
          <w:rFonts w:eastAsia="Times New Roman" w:cstheme="minorHAnsi"/>
          <w:color w:val="000000"/>
        </w:rPr>
        <w:t>, Center for Vaccine Development, University of Maryland School of Medicine, Baltimore, USA</w:t>
      </w:r>
      <w:r>
        <w:rPr>
          <w:rFonts w:eastAsia="Times New Roman" w:cstheme="minorHAnsi"/>
        </w:rPr>
        <w:t xml:space="preserve"> &lt;JOrtiz@som.umaryland.edu&gt;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 w:themeColor="text1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David Savitz</w:t>
      </w:r>
      <w:r>
        <w:rPr>
          <w:rFonts w:eastAsia="Times New Roman" w:cstheme="minorHAnsi"/>
          <w:color w:val="000000"/>
        </w:rPr>
        <w:t>, Brown University, Providence, Rhode Island, USA &lt;david_savitz@brown.edu&gt;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Nienke Scheltema</w:t>
      </w:r>
      <w:r>
        <w:rPr>
          <w:rFonts w:eastAsia="Times New Roman" w:cstheme="minorHAnsi"/>
          <w:color w:val="000000"/>
        </w:rPr>
        <w:t>, University Medical Centre Utrecht, The Netherlands &lt;n.m.scheltema@umcutrecht.nl&gt;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Eric Simoes</w:t>
      </w:r>
      <w:r>
        <w:rPr>
          <w:rFonts w:eastAsia="Times New Roman" w:cstheme="minorHAnsi"/>
          <w:color w:val="000000"/>
        </w:rPr>
        <w:t>, University of Colorado, Denver, USA &lt;Eric.Simoes@ucdenver.edu&gt;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Peter Smith</w:t>
      </w:r>
      <w:r>
        <w:rPr>
          <w:rFonts w:eastAsia="Times New Roman" w:cstheme="minorHAnsi"/>
          <w:color w:val="000000"/>
        </w:rPr>
        <w:t xml:space="preserve">, London School of Hygiene and Tropical Medicine, London, </w:t>
      </w:r>
      <w:proofErr w:type="gramStart"/>
      <w:r>
        <w:rPr>
          <w:rFonts w:eastAsia="Times New Roman" w:cstheme="minorHAnsi"/>
          <w:color w:val="000000"/>
        </w:rPr>
        <w:t xml:space="preserve">UK  </w:t>
      </w:r>
      <w:r w:rsidRPr="005E7329">
        <w:rPr>
          <w:rFonts w:eastAsia="Times New Roman" w:cstheme="minorHAnsi"/>
        </w:rPr>
        <w:t>peter.smith@lshtm.ac.uk</w:t>
      </w:r>
      <w:proofErr w:type="gramEnd"/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pacing w:after="0" w:line="276" w:lineRule="auto"/>
        <w:rPr>
          <w:rFonts w:cstheme="minorHAnsi"/>
          <w:bCs/>
          <w:iCs/>
          <w:color w:val="000000" w:themeColor="text1"/>
        </w:rPr>
      </w:pPr>
      <w:r w:rsidRPr="004B325F">
        <w:rPr>
          <w:rFonts w:eastAsia="Times New Roman" w:cstheme="minorHAnsi"/>
          <w:b/>
          <w:color w:val="000000"/>
        </w:rPr>
        <w:t>Fred Were</w:t>
      </w:r>
      <w:r>
        <w:rPr>
          <w:rFonts w:eastAsia="Times New Roman" w:cstheme="minorHAnsi"/>
          <w:color w:val="000000"/>
        </w:rPr>
        <w:t xml:space="preserve">, </w:t>
      </w:r>
      <w:r>
        <w:rPr>
          <w:rFonts w:cstheme="minorHAnsi"/>
          <w:bCs/>
          <w:iCs/>
          <w:color w:val="000000" w:themeColor="text1"/>
        </w:rPr>
        <w:t>School of Medicine, University of Nairobi, Kenya &lt;frednwere@gmail.com&gt;</w:t>
      </w:r>
      <w:r>
        <w:t xml:space="preserve"> 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Heather Zar</w:t>
      </w:r>
      <w:r>
        <w:rPr>
          <w:rFonts w:eastAsia="Times New Roman" w:cstheme="minorHAnsi"/>
          <w:color w:val="000000"/>
        </w:rPr>
        <w:t xml:space="preserve">, Department of </w:t>
      </w:r>
      <w:proofErr w:type="spellStart"/>
      <w:r>
        <w:rPr>
          <w:rFonts w:eastAsia="Times New Roman" w:cstheme="minorHAnsi"/>
          <w:color w:val="000000"/>
        </w:rPr>
        <w:t>Paediatrics</w:t>
      </w:r>
      <w:proofErr w:type="spellEnd"/>
      <w:r>
        <w:rPr>
          <w:rFonts w:eastAsia="Times New Roman" w:cstheme="minorHAnsi"/>
          <w:color w:val="000000"/>
        </w:rPr>
        <w:t xml:space="preserve"> and Child Health, University of Cape Town, South Africa &lt;Heather.Zar@uct.ac.za&gt;</w:t>
      </w:r>
    </w:p>
    <w:p w:rsidR="00695E8B" w:rsidRDefault="00695E8B" w:rsidP="00695E8B">
      <w:pPr>
        <w:shd w:val="clear" w:color="auto" w:fill="FFFFFF"/>
        <w:rPr>
          <w:rFonts w:eastAsia="Times New Roman" w:cstheme="minorHAnsi"/>
          <w:color w:val="000000"/>
        </w:rPr>
      </w:pPr>
    </w:p>
    <w:p w:rsidR="00695E8B" w:rsidRDefault="00695E8B" w:rsidP="00695E8B">
      <w:pPr>
        <w:jc w:val="center"/>
        <w:rPr>
          <w:b/>
          <w:bCs/>
        </w:rPr>
      </w:pPr>
      <w:r>
        <w:rPr>
          <w:b/>
          <w:bCs/>
        </w:rPr>
        <w:t>OBSERVERS</w:t>
      </w:r>
    </w:p>
    <w:p w:rsidR="00695E8B" w:rsidRPr="007A17EC" w:rsidRDefault="00695E8B" w:rsidP="00695E8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Prachi Vora</w:t>
      </w:r>
      <w:r>
        <w:rPr>
          <w:rFonts w:eastAsia="Times New Roman" w:cstheme="minorHAnsi"/>
          <w:color w:val="000000"/>
        </w:rPr>
        <w:t xml:space="preserve">, Associate Program Officer, Global Health, Bill and Melinda Gates Foundation, Seattle, USA </w:t>
      </w:r>
      <w:r w:rsidRPr="005E7329">
        <w:rPr>
          <w:rFonts w:cstheme="minorHAnsi"/>
          <w:bCs/>
          <w:iCs/>
        </w:rPr>
        <w:t>Prachi.Vora@gatesfoundation.org</w:t>
      </w:r>
    </w:p>
    <w:p w:rsidR="00695E8B" w:rsidRPr="007A17EC" w:rsidRDefault="00695E8B" w:rsidP="00695E8B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:rsidR="00695E8B" w:rsidRDefault="00695E8B" w:rsidP="00695E8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4B325F">
        <w:rPr>
          <w:rFonts w:eastAsia="Times New Roman" w:cstheme="minorHAnsi"/>
          <w:b/>
          <w:color w:val="000000"/>
        </w:rPr>
        <w:t>Deborah Higgins</w:t>
      </w:r>
      <w:r>
        <w:rPr>
          <w:rFonts w:eastAsia="Times New Roman" w:cstheme="minorHAnsi"/>
          <w:color w:val="000000"/>
        </w:rPr>
        <w:t>, Director, RSV Vaccine Project, PATH, Seattle, USA</w:t>
      </w:r>
      <w:r>
        <w:t xml:space="preserve"> </w:t>
      </w:r>
      <w:r>
        <w:rPr>
          <w:rFonts w:eastAsia="Times New Roman" w:cstheme="minorHAnsi"/>
          <w:color w:val="000000"/>
        </w:rPr>
        <w:t>&lt;dhiggins@path.org&gt;</w:t>
      </w:r>
    </w:p>
    <w:p w:rsidR="00695E8B" w:rsidRDefault="00695E8B" w:rsidP="00695E8B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:rsidR="00695E8B" w:rsidRPr="00065FE8" w:rsidRDefault="00695E8B" w:rsidP="00695E8B">
      <w:pPr>
        <w:jc w:val="center"/>
        <w:rPr>
          <w:b/>
          <w:sz w:val="20"/>
          <w:szCs w:val="20"/>
        </w:rPr>
      </w:pPr>
    </w:p>
    <w:p w:rsidR="00695E8B" w:rsidRPr="00065FE8" w:rsidRDefault="00695E8B" w:rsidP="00695E8B">
      <w:pPr>
        <w:spacing w:line="240" w:lineRule="auto"/>
        <w:rPr>
          <w:sz w:val="20"/>
          <w:szCs w:val="20"/>
        </w:rPr>
      </w:pPr>
    </w:p>
    <w:p w:rsidR="00695E8B" w:rsidRPr="0073541F" w:rsidRDefault="00695E8B" w:rsidP="00695E8B">
      <w:pPr>
        <w:spacing w:after="0" w:line="240" w:lineRule="auto"/>
      </w:pPr>
    </w:p>
    <w:p w:rsidR="00695E8B" w:rsidRDefault="00695E8B" w:rsidP="00695E8B">
      <w:pPr>
        <w:spacing w:line="360" w:lineRule="auto"/>
      </w:pPr>
    </w:p>
    <w:p w:rsidR="00695E8B" w:rsidRDefault="00695E8B"/>
    <w:p w:rsidR="009350B0" w:rsidRDefault="009350B0"/>
    <w:sectPr w:rsidR="009350B0" w:rsidSect="00E25CFB">
      <w:headerReference w:type="default" r:id="rId7"/>
      <w:footerReference w:type="default" r:id="rId8"/>
      <w:pgSz w:w="11906" w:h="16838"/>
      <w:pgMar w:top="1440" w:right="1440" w:bottom="993" w:left="144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AB5" w:rsidRDefault="00C53AB5">
      <w:pPr>
        <w:spacing w:after="0" w:line="240" w:lineRule="auto"/>
      </w:pPr>
      <w:r>
        <w:separator/>
      </w:r>
    </w:p>
  </w:endnote>
  <w:endnote w:type="continuationSeparator" w:id="0">
    <w:p w:rsidR="00C53AB5" w:rsidRDefault="00C5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988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EA1" w:rsidRDefault="00914E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4EA1" w:rsidRDefault="00914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AB5" w:rsidRDefault="00C53AB5">
      <w:pPr>
        <w:spacing w:after="0" w:line="240" w:lineRule="auto"/>
      </w:pPr>
      <w:r>
        <w:separator/>
      </w:r>
    </w:p>
  </w:footnote>
  <w:footnote w:type="continuationSeparator" w:id="0">
    <w:p w:rsidR="00C53AB5" w:rsidRDefault="00C5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EA1" w:rsidRDefault="00914EA1">
    <w:r w:rsidRPr="000E62C7">
      <w:rPr>
        <w:rFonts w:eastAsia="Times New Roman"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FD4BF1C" wp14:editId="6FB44FEA">
          <wp:simplePos x="0" y="0"/>
          <wp:positionH relativeFrom="column">
            <wp:posOffset>2292350</wp:posOffset>
          </wp:positionH>
          <wp:positionV relativeFrom="paragraph">
            <wp:posOffset>-80645</wp:posOffset>
          </wp:positionV>
          <wp:extent cx="1030605" cy="3257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Look w:val="04A0" w:firstRow="1" w:lastRow="0" w:firstColumn="1" w:lastColumn="0" w:noHBand="0" w:noVBand="1"/>
    </w:tblPr>
    <w:tblGrid>
      <w:gridCol w:w="9026"/>
    </w:tblGrid>
    <w:tr w:rsidR="00914EA1" w:rsidRPr="009F5C00" w:rsidTr="00E25CFB">
      <w:trPr>
        <w:trHeight w:val="315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914EA1" w:rsidRPr="00AF6D8F" w:rsidRDefault="00914EA1" w:rsidP="00E25CFB">
          <w:pPr>
            <w:spacing w:after="0" w:line="240" w:lineRule="auto"/>
            <w:jc w:val="center"/>
            <w:rPr>
              <w:rFonts w:eastAsia="Times New Roman" w:cstheme="minorHAnsi"/>
              <w:sz w:val="24"/>
              <w:szCs w:val="24"/>
            </w:rPr>
          </w:pPr>
          <w:bookmarkStart w:id="1" w:name="_Hlk526327450"/>
          <w:r w:rsidRPr="00AF6D8F">
            <w:rPr>
              <w:rFonts w:eastAsia="Times New Roman" w:cstheme="minorHAnsi"/>
              <w:sz w:val="24"/>
              <w:szCs w:val="24"/>
            </w:rPr>
            <w:t xml:space="preserve">Consultation on methodological considerations and measurement of </w:t>
          </w:r>
        </w:p>
        <w:p w:rsidR="00914EA1" w:rsidRPr="000E62C7" w:rsidRDefault="00914EA1" w:rsidP="00E25CFB">
          <w:pPr>
            <w:spacing w:after="0" w:line="240" w:lineRule="auto"/>
            <w:jc w:val="center"/>
            <w:rPr>
              <w:rFonts w:eastAsia="Times New Roman" w:cstheme="minorHAnsi"/>
              <w:sz w:val="24"/>
              <w:szCs w:val="24"/>
            </w:rPr>
          </w:pPr>
          <w:r w:rsidRPr="00AF6D8F">
            <w:rPr>
              <w:rFonts w:eastAsia="Times New Roman" w:cstheme="minorHAnsi"/>
              <w:sz w:val="24"/>
              <w:szCs w:val="24"/>
            </w:rPr>
            <w:t>respiratory sequelae associated with RSV infection</w:t>
          </w:r>
        </w:p>
      </w:tc>
    </w:tr>
    <w:bookmarkEnd w:id="1"/>
    <w:tr w:rsidR="00914EA1" w:rsidRPr="009F5C00" w:rsidTr="00E25CFB">
      <w:trPr>
        <w:trHeight w:val="315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914EA1" w:rsidRDefault="00914EA1" w:rsidP="00E25CFB">
          <w:pPr>
            <w:spacing w:after="0" w:line="240" w:lineRule="auto"/>
            <w:jc w:val="center"/>
            <w:rPr>
              <w:rFonts w:eastAsia="Times New Roman" w:cstheme="minorHAnsi"/>
              <w:i/>
              <w:iCs/>
              <w:sz w:val="24"/>
              <w:szCs w:val="24"/>
            </w:rPr>
          </w:pPr>
          <w:r>
            <w:rPr>
              <w:rFonts w:eastAsia="Times New Roman" w:cstheme="minorHAnsi"/>
              <w:i/>
              <w:iCs/>
              <w:sz w:val="24"/>
              <w:szCs w:val="24"/>
            </w:rPr>
            <w:t>12-13 February 2019,</w:t>
          </w:r>
        </w:p>
        <w:p w:rsidR="00914EA1" w:rsidRPr="000E62C7" w:rsidRDefault="00914EA1" w:rsidP="00E25CFB">
          <w:pPr>
            <w:spacing w:after="0" w:line="240" w:lineRule="auto"/>
            <w:jc w:val="center"/>
            <w:rPr>
              <w:rFonts w:eastAsia="Times New Roman" w:cstheme="minorHAnsi"/>
              <w:i/>
              <w:iCs/>
              <w:sz w:val="24"/>
              <w:szCs w:val="24"/>
            </w:rPr>
          </w:pPr>
          <w:r w:rsidRPr="000E62C7">
            <w:rPr>
              <w:rFonts w:eastAsia="Times New Roman" w:cstheme="minorHAnsi"/>
              <w:i/>
              <w:iCs/>
              <w:sz w:val="24"/>
              <w:szCs w:val="24"/>
            </w:rPr>
            <w:t xml:space="preserve"> </w:t>
          </w:r>
          <w:r>
            <w:rPr>
              <w:rFonts w:eastAsia="Times New Roman" w:cstheme="minorHAnsi"/>
              <w:i/>
              <w:iCs/>
              <w:sz w:val="24"/>
              <w:szCs w:val="24"/>
            </w:rPr>
            <w:t>Geneva, Switzerland</w:t>
          </w:r>
        </w:p>
      </w:tc>
    </w:tr>
  </w:tbl>
  <w:p w:rsidR="00914EA1" w:rsidRDefault="00914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9F8"/>
    <w:multiLevelType w:val="hybridMultilevel"/>
    <w:tmpl w:val="3BA24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0E8"/>
    <w:multiLevelType w:val="hybridMultilevel"/>
    <w:tmpl w:val="332A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054"/>
    <w:multiLevelType w:val="hybridMultilevel"/>
    <w:tmpl w:val="5D1C6CD6"/>
    <w:lvl w:ilvl="0" w:tplc="E8A20C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075"/>
    <w:multiLevelType w:val="hybridMultilevel"/>
    <w:tmpl w:val="38CE84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D2F"/>
    <w:multiLevelType w:val="hybridMultilevel"/>
    <w:tmpl w:val="64045746"/>
    <w:lvl w:ilvl="0" w:tplc="03508D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09BC"/>
    <w:multiLevelType w:val="hybridMultilevel"/>
    <w:tmpl w:val="6A523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0C6F"/>
    <w:multiLevelType w:val="hybridMultilevel"/>
    <w:tmpl w:val="FE5EE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90F90"/>
    <w:multiLevelType w:val="hybridMultilevel"/>
    <w:tmpl w:val="5BB828E0"/>
    <w:lvl w:ilvl="0" w:tplc="947280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7377D58"/>
    <w:multiLevelType w:val="hybridMultilevel"/>
    <w:tmpl w:val="31DE6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50B40"/>
    <w:multiLevelType w:val="hybridMultilevel"/>
    <w:tmpl w:val="0FE2D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74669"/>
    <w:multiLevelType w:val="hybridMultilevel"/>
    <w:tmpl w:val="DB3E6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234BF"/>
    <w:multiLevelType w:val="hybridMultilevel"/>
    <w:tmpl w:val="B2AAA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1E7B"/>
    <w:multiLevelType w:val="hybridMultilevel"/>
    <w:tmpl w:val="CA42E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B0563"/>
    <w:multiLevelType w:val="hybridMultilevel"/>
    <w:tmpl w:val="BF664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90B56"/>
    <w:multiLevelType w:val="hybridMultilevel"/>
    <w:tmpl w:val="3ED4A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85382"/>
    <w:multiLevelType w:val="hybridMultilevel"/>
    <w:tmpl w:val="5BB828E0"/>
    <w:lvl w:ilvl="0" w:tplc="947280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5CB6030F"/>
    <w:multiLevelType w:val="hybridMultilevel"/>
    <w:tmpl w:val="F1D65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05F2"/>
    <w:multiLevelType w:val="hybridMultilevel"/>
    <w:tmpl w:val="5D1C6CD6"/>
    <w:lvl w:ilvl="0" w:tplc="E8A20C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C49C6"/>
    <w:multiLevelType w:val="hybridMultilevel"/>
    <w:tmpl w:val="0E2A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B3A44"/>
    <w:multiLevelType w:val="hybridMultilevel"/>
    <w:tmpl w:val="0D20D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02972"/>
    <w:multiLevelType w:val="hybridMultilevel"/>
    <w:tmpl w:val="C6DA2E78"/>
    <w:lvl w:ilvl="0" w:tplc="0B005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E41EC"/>
    <w:multiLevelType w:val="multilevel"/>
    <w:tmpl w:val="835C0A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DD796B"/>
    <w:multiLevelType w:val="hybridMultilevel"/>
    <w:tmpl w:val="7862A3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105EC3"/>
    <w:multiLevelType w:val="hybridMultilevel"/>
    <w:tmpl w:val="508805C0"/>
    <w:lvl w:ilvl="0" w:tplc="DD187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60C2"/>
    <w:multiLevelType w:val="hybridMultilevel"/>
    <w:tmpl w:val="0C068A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2"/>
  </w:num>
  <w:num w:numId="5">
    <w:abstractNumId w:val="18"/>
  </w:num>
  <w:num w:numId="6">
    <w:abstractNumId w:val="12"/>
  </w:num>
  <w:num w:numId="7">
    <w:abstractNumId w:val="4"/>
  </w:num>
  <w:num w:numId="8">
    <w:abstractNumId w:val="21"/>
  </w:num>
  <w:num w:numId="9">
    <w:abstractNumId w:val="11"/>
  </w:num>
  <w:num w:numId="10">
    <w:abstractNumId w:val="22"/>
  </w:num>
  <w:num w:numId="11">
    <w:abstractNumId w:val="13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4"/>
  </w:num>
  <w:num w:numId="17">
    <w:abstractNumId w:val="24"/>
  </w:num>
  <w:num w:numId="18">
    <w:abstractNumId w:val="0"/>
  </w:num>
  <w:num w:numId="19">
    <w:abstractNumId w:val="10"/>
  </w:num>
  <w:num w:numId="20">
    <w:abstractNumId w:val="9"/>
  </w:num>
  <w:num w:numId="21">
    <w:abstractNumId w:val="19"/>
  </w:num>
  <w:num w:numId="22">
    <w:abstractNumId w:val="1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ccine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fteef5u2tzdiewp53pt09rz0zwprwwxppt&quot;&gt;My EndNote Library&lt;record-ids&gt;&lt;item&gt;1&lt;/item&gt;&lt;item&gt;43&lt;/item&gt;&lt;item&gt;121&lt;/item&gt;&lt;item&gt;178&lt;/item&gt;&lt;item&gt;181&lt;/item&gt;&lt;item&gt;182&lt;/item&gt;&lt;item&gt;183&lt;/item&gt;&lt;item&gt;184&lt;/item&gt;&lt;item&gt;188&lt;/item&gt;&lt;item&gt;190&lt;/item&gt;&lt;item&gt;191&lt;/item&gt;&lt;item&gt;193&lt;/item&gt;&lt;item&gt;194&lt;/item&gt;&lt;item&gt;195&lt;/item&gt;&lt;item&gt;196&lt;/item&gt;&lt;item&gt;198&lt;/item&gt;&lt;item&gt;199&lt;/item&gt;&lt;item&gt;200&lt;/item&gt;&lt;item&gt;201&lt;/item&gt;&lt;item&gt;205&lt;/item&gt;&lt;item&gt;209&lt;/item&gt;&lt;item&gt;210&lt;/item&gt;&lt;item&gt;215&lt;/item&gt;&lt;item&gt;218&lt;/item&gt;&lt;item&gt;219&lt;/item&gt;&lt;item&gt;221&lt;/item&gt;&lt;item&gt;222&lt;/item&gt;&lt;item&gt;223&lt;/item&gt;&lt;item&gt;228&lt;/item&gt;&lt;item&gt;229&lt;/item&gt;&lt;item&gt;231&lt;/item&gt;&lt;item&gt;239&lt;/item&gt;&lt;item&gt;250&lt;/item&gt;&lt;item&gt;251&lt;/item&gt;&lt;item&gt;252&lt;/item&gt;&lt;item&gt;254&lt;/item&gt;&lt;item&gt;255&lt;/item&gt;&lt;item&gt;260&lt;/item&gt;&lt;item&gt;261&lt;/item&gt;&lt;item&gt;264&lt;/item&gt;&lt;item&gt;265&lt;/item&gt;&lt;item&gt;266&lt;/item&gt;&lt;item&gt;267&lt;/item&gt;&lt;item&gt;275&lt;/item&gt;&lt;item&gt;278&lt;/item&gt;&lt;item&gt;283&lt;/item&gt;&lt;item&gt;285&lt;/item&gt;&lt;item&gt;286&lt;/item&gt;&lt;item&gt;287&lt;/item&gt;&lt;item&gt;288&lt;/item&gt;&lt;item&gt;289&lt;/item&gt;&lt;item&gt;290&lt;/item&gt;&lt;item&gt;292&lt;/item&gt;&lt;item&gt;293&lt;/item&gt;&lt;item&gt;294&lt;/item&gt;&lt;item&gt;296&lt;/item&gt;&lt;item&gt;298&lt;/item&gt;&lt;item&gt;299&lt;/item&gt;&lt;item&gt;300&lt;/item&gt;&lt;item&gt;301&lt;/item&gt;&lt;item&gt;302&lt;/item&gt;&lt;item&gt;303&lt;/item&gt;&lt;item&gt;304&lt;/item&gt;&lt;item&gt;305&lt;/item&gt;&lt;item&gt;306&lt;/item&gt;&lt;item&gt;307&lt;/item&gt;&lt;item&gt;308&lt;/item&gt;&lt;item&gt;309&lt;/item&gt;&lt;item&gt;310&lt;/item&gt;&lt;item&gt;311&lt;/item&gt;&lt;item&gt;312&lt;/item&gt;&lt;item&gt;313&lt;/item&gt;&lt;item&gt;314&lt;/item&gt;&lt;item&gt;315&lt;/item&gt;&lt;item&gt;316&lt;/item&gt;&lt;item&gt;317&lt;/item&gt;&lt;item&gt;318&lt;/item&gt;&lt;item&gt;319&lt;/item&gt;&lt;item&gt;320&lt;/item&gt;&lt;item&gt;321&lt;/item&gt;&lt;item&gt;322&lt;/item&gt;&lt;item&gt;323&lt;/item&gt;&lt;item&gt;324&lt;/item&gt;&lt;item&gt;325&lt;/item&gt;&lt;item&gt;326&lt;/item&gt;&lt;item&gt;327&lt;/item&gt;&lt;item&gt;329&lt;/item&gt;&lt;item&gt;331&lt;/item&gt;&lt;item&gt;332&lt;/item&gt;&lt;item&gt;333&lt;/item&gt;&lt;item&gt;334&lt;/item&gt;&lt;item&gt;335&lt;/item&gt;&lt;item&gt;336&lt;/item&gt;&lt;item&gt;337&lt;/item&gt;&lt;item&gt;338&lt;/item&gt;&lt;item&gt;339&lt;/item&gt;&lt;item&gt;340&lt;/item&gt;&lt;item&gt;341&lt;/item&gt;&lt;item&gt;342&lt;/item&gt;&lt;item&gt;343&lt;/item&gt;&lt;item&gt;344&lt;/item&gt;&lt;item&gt;345&lt;/item&gt;&lt;item&gt;346&lt;/item&gt;&lt;item&gt;347&lt;/item&gt;&lt;item&gt;348&lt;/item&gt;&lt;item&gt;350&lt;/item&gt;&lt;item&gt;351&lt;/item&gt;&lt;item&gt;353&lt;/item&gt;&lt;item&gt;354&lt;/item&gt;&lt;item&gt;357&lt;/item&gt;&lt;item&gt;359&lt;/item&gt;&lt;item&gt;361&lt;/item&gt;&lt;item&gt;362&lt;/item&gt;&lt;item&gt;363&lt;/item&gt;&lt;item&gt;418&lt;/item&gt;&lt;item&gt;419&lt;/item&gt;&lt;item&gt;420&lt;/item&gt;&lt;item&gt;421&lt;/item&gt;&lt;item&gt;422&lt;/item&gt;&lt;item&gt;423&lt;/item&gt;&lt;item&gt;424&lt;/item&gt;&lt;item&gt;425&lt;/item&gt;&lt;item&gt;428&lt;/item&gt;&lt;item&gt;442&lt;/item&gt;&lt;item&gt;450&lt;/item&gt;&lt;item&gt;455&lt;/item&gt;&lt;item&gt;456&lt;/item&gt;&lt;item&gt;458&lt;/item&gt;&lt;/record-ids&gt;&lt;/item&gt;&lt;/Libraries&gt;"/>
  </w:docVars>
  <w:rsids>
    <w:rsidRoot w:val="00695E8B"/>
    <w:rsid w:val="001342C1"/>
    <w:rsid w:val="003320FE"/>
    <w:rsid w:val="004F3E37"/>
    <w:rsid w:val="005060BB"/>
    <w:rsid w:val="00695E8B"/>
    <w:rsid w:val="007D159A"/>
    <w:rsid w:val="00914EA1"/>
    <w:rsid w:val="009350B0"/>
    <w:rsid w:val="00B329B9"/>
    <w:rsid w:val="00C53AB5"/>
    <w:rsid w:val="00CA4DB6"/>
    <w:rsid w:val="00D915E9"/>
    <w:rsid w:val="00DC0A99"/>
    <w:rsid w:val="00E25CFB"/>
    <w:rsid w:val="00E97DEF"/>
    <w:rsid w:val="00F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E950"/>
  <w15:chartTrackingRefBased/>
  <w15:docId w15:val="{CA54A8D6-D246-4E35-A13F-9B757722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E8B"/>
  </w:style>
  <w:style w:type="paragraph" w:styleId="Heading1">
    <w:name w:val="heading 1"/>
    <w:basedOn w:val="Normal"/>
    <w:link w:val="Heading1Char"/>
    <w:uiPriority w:val="9"/>
    <w:qFormat/>
    <w:rsid w:val="00695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E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E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5E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E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5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E8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8B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E8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E8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95E8B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95E8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95E8B"/>
  </w:style>
  <w:style w:type="paragraph" w:customStyle="1" w:styleId="EndNoteBibliographyTitle">
    <w:name w:val="EndNote Bibliography Title"/>
    <w:basedOn w:val="Normal"/>
    <w:link w:val="EndNoteBibliographyTitleChar"/>
    <w:rsid w:val="00695E8B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95E8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95E8B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95E8B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695E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E8B"/>
  </w:style>
  <w:style w:type="paragraph" w:styleId="Footer">
    <w:name w:val="footer"/>
    <w:basedOn w:val="Normal"/>
    <w:link w:val="FooterChar"/>
    <w:uiPriority w:val="99"/>
    <w:unhideWhenUsed/>
    <w:rsid w:val="0069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E8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5E8B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5E8B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695E8B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E8B"/>
    <w:rPr>
      <w:color w:val="605E5C"/>
      <w:shd w:val="clear" w:color="auto" w:fill="E1DFDD"/>
    </w:rPr>
  </w:style>
  <w:style w:type="character" w:customStyle="1" w:styleId="ref-journal">
    <w:name w:val="ref-journal"/>
    <w:basedOn w:val="DefaultParagraphFont"/>
    <w:rsid w:val="00695E8B"/>
  </w:style>
  <w:style w:type="character" w:customStyle="1" w:styleId="ref-vol">
    <w:name w:val="ref-vol"/>
    <w:basedOn w:val="DefaultParagraphFont"/>
    <w:rsid w:val="00695E8B"/>
  </w:style>
  <w:style w:type="paragraph" w:customStyle="1" w:styleId="desc">
    <w:name w:val="desc"/>
    <w:basedOn w:val="Normal"/>
    <w:rsid w:val="00695E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5E8B"/>
  </w:style>
  <w:style w:type="paragraph" w:customStyle="1" w:styleId="details">
    <w:name w:val="details"/>
    <w:basedOn w:val="Normal"/>
    <w:rsid w:val="00695E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695E8B"/>
  </w:style>
  <w:style w:type="character" w:styleId="UnresolvedMention">
    <w:name w:val="Unresolved Mention"/>
    <w:basedOn w:val="DefaultParagraphFont"/>
    <w:uiPriority w:val="99"/>
    <w:rsid w:val="00695E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5E8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5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5E8B"/>
    <w:rPr>
      <w:vertAlign w:val="superscript"/>
    </w:rPr>
  </w:style>
  <w:style w:type="table" w:styleId="TableGrid">
    <w:name w:val="Table Grid"/>
    <w:basedOn w:val="TableNormal"/>
    <w:uiPriority w:val="59"/>
    <w:rsid w:val="0069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95E8B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95E8B"/>
  </w:style>
  <w:style w:type="paragraph" w:customStyle="1" w:styleId="xmsonormal">
    <w:name w:val="x_msonormal"/>
    <w:basedOn w:val="Normal"/>
    <w:rsid w:val="00B329B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Amanda</dc:creator>
  <cp:keywords/>
  <dc:description/>
  <cp:lastModifiedBy>Driscoll, Amanda</cp:lastModifiedBy>
  <cp:revision>2</cp:revision>
  <dcterms:created xsi:type="dcterms:W3CDTF">2019-09-24T22:56:00Z</dcterms:created>
  <dcterms:modified xsi:type="dcterms:W3CDTF">2019-09-24T22:56:00Z</dcterms:modified>
</cp:coreProperties>
</file>