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A91" w:rsidRPr="001E35B0" w:rsidRDefault="007A4A91" w:rsidP="007A4A91">
      <w:pPr>
        <w:spacing w:line="360" w:lineRule="auto"/>
        <w:jc w:val="both"/>
        <w:outlineLvl w:val="0"/>
        <w:rPr>
          <w:rFonts w:ascii="Book Antiqua" w:hAnsi="Book Antiqua"/>
          <w:b/>
        </w:rPr>
      </w:pPr>
      <w:bookmarkStart w:id="0" w:name="_GoBack"/>
      <w:bookmarkEnd w:id="0"/>
      <w:r w:rsidRPr="001E35B0">
        <w:rPr>
          <w:rFonts w:ascii="Book Antiqua" w:hAnsi="Book Antiqua"/>
          <w:b/>
        </w:rPr>
        <w:t>APPENDIX 1: SUPPLEMENTARY TABLES</w:t>
      </w: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  <w:r w:rsidRPr="00ED3F9A">
        <w:rPr>
          <w:rFonts w:ascii="Book Antiqua" w:hAnsi="Book Antiqua"/>
          <w:b/>
        </w:rPr>
        <w:t>Supplementary</w:t>
      </w:r>
      <w:r>
        <w:rPr>
          <w:rFonts w:ascii="Book Antiqua" w:hAnsi="Book Antiqua"/>
        </w:rPr>
        <w:t xml:space="preserve"> T</w:t>
      </w:r>
      <w:r w:rsidRPr="001E35B0">
        <w:rPr>
          <w:rFonts w:ascii="Book Antiqua" w:hAnsi="Book Antiqua"/>
          <w:b/>
        </w:rPr>
        <w:t>able</w:t>
      </w:r>
      <w:r w:rsidR="00AA512F">
        <w:rPr>
          <w:rFonts w:ascii="Book Antiqua" w:hAnsi="Book Antiqua"/>
          <w:b/>
        </w:rPr>
        <w:t xml:space="preserve"> </w:t>
      </w:r>
      <w:r w:rsidRPr="001E35B0">
        <w:rPr>
          <w:rFonts w:ascii="Book Antiqua" w:hAnsi="Book Antiqua"/>
          <w:b/>
        </w:rPr>
        <w:t xml:space="preserve">1: Nurses and </w:t>
      </w:r>
      <w:r w:rsidR="00AA512F">
        <w:rPr>
          <w:rFonts w:ascii="Book Antiqua" w:hAnsi="Book Antiqua"/>
          <w:b/>
        </w:rPr>
        <w:t>d</w:t>
      </w:r>
      <w:r w:rsidR="00AA512F" w:rsidRPr="001E35B0">
        <w:rPr>
          <w:rFonts w:ascii="Book Antiqua" w:hAnsi="Book Antiqua"/>
          <w:b/>
        </w:rPr>
        <w:t xml:space="preserve">octors </w:t>
      </w:r>
      <w:r w:rsidRPr="001E35B0">
        <w:rPr>
          <w:rFonts w:ascii="Book Antiqua" w:hAnsi="Book Antiqua"/>
          <w:b/>
        </w:rPr>
        <w:t>strike dates that affected ward operations at the paediatric ward</w:t>
      </w:r>
      <w:r>
        <w:rPr>
          <w:rFonts w:ascii="Book Antiqua" w:hAnsi="Book Antiqua"/>
          <w:b/>
        </w:rPr>
        <w:t>s</w:t>
      </w:r>
      <w:r w:rsidRPr="001E35B0">
        <w:rPr>
          <w:rFonts w:ascii="Book Antiqua" w:hAnsi="Book Antiqua"/>
          <w:b/>
        </w:rPr>
        <w:t xml:space="preserve"> o</w:t>
      </w:r>
      <w:r>
        <w:rPr>
          <w:rFonts w:ascii="Book Antiqua" w:hAnsi="Book Antiqua"/>
          <w:b/>
        </w:rPr>
        <w:t>f Kilifi county hospital and Siaya county referral hospital</w:t>
      </w:r>
      <w:r w:rsidRPr="001E35B0">
        <w:rPr>
          <w:rFonts w:ascii="Book Antiqua" w:hAnsi="Book Antiqua"/>
          <w:b/>
        </w:rPr>
        <w:t>.</w:t>
      </w: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</w:rPr>
      </w:pPr>
    </w:p>
    <w:tbl>
      <w:tblPr>
        <w:tblW w:w="88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89"/>
        <w:gridCol w:w="2830"/>
        <w:gridCol w:w="2408"/>
      </w:tblGrid>
      <w:tr w:rsidR="007A4A91" w:rsidRPr="00DA7D0F" w:rsidTr="00B315C7">
        <w:trPr>
          <w:trHeight w:val="376"/>
        </w:trPr>
        <w:tc>
          <w:tcPr>
            <w:tcW w:w="3589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</w:p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Strike start date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</w:p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Strike end date</w:t>
            </w:r>
          </w:p>
        </w:tc>
        <w:tc>
          <w:tcPr>
            <w:tcW w:w="240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  <w:sz w:val="22"/>
                <w:szCs w:val="22"/>
              </w:rPr>
              <w:t>Personnel</w:t>
            </w:r>
          </w:p>
        </w:tc>
      </w:tr>
      <w:tr w:rsidR="007A4A91" w:rsidRPr="00DA7D0F" w:rsidTr="00B315C7">
        <w:trPr>
          <w:trHeight w:val="172"/>
        </w:trPr>
        <w:tc>
          <w:tcPr>
            <w:tcW w:w="35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5-Dec-2011</w:t>
            </w:r>
          </w:p>
        </w:tc>
        <w:tc>
          <w:tcPr>
            <w:tcW w:w="283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13-Dec-2011</w:t>
            </w:r>
          </w:p>
        </w:tc>
        <w:tc>
          <w:tcPr>
            <w:tcW w:w="2408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Doctors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1-Mar-2012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16-Mar-2012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13-Sep-2012</w:t>
            </w:r>
          </w:p>
        </w:tc>
        <w:tc>
          <w:tcPr>
            <w:tcW w:w="2830" w:type="dxa"/>
            <w:shd w:val="clear" w:color="auto" w:fill="auto"/>
            <w:noWrap/>
            <w:vAlign w:val="bottom"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5-Oct-2012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Doctors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13-Dec-2012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13-Jan-2013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16-Jan-2013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9-Feb-2013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10-Dec-2013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23-Dec-2013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10-Dec-2013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21-Dec-2013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Doctors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5-Dec-2016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23-Dec-2016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5-Dec-2016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15-Dec-2016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Doctors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19-Dec-2016</w:t>
            </w:r>
          </w:p>
        </w:tc>
        <w:tc>
          <w:tcPr>
            <w:tcW w:w="2830" w:type="dxa"/>
            <w:shd w:val="clear" w:color="auto" w:fill="auto"/>
            <w:noWrap/>
            <w:vAlign w:val="bottom"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14-Mar-2017</w:t>
            </w:r>
          </w:p>
        </w:tc>
        <w:tc>
          <w:tcPr>
            <w:tcW w:w="2408" w:type="dxa"/>
            <w:shd w:val="clear" w:color="auto" w:fill="auto"/>
            <w:noWrap/>
            <w:vAlign w:val="bottom"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Doctors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2-Feb-2017</w:t>
            </w:r>
          </w:p>
        </w:tc>
        <w:tc>
          <w:tcPr>
            <w:tcW w:w="2830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23-Feb-2017</w:t>
            </w:r>
          </w:p>
        </w:tc>
        <w:tc>
          <w:tcPr>
            <w:tcW w:w="2408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  <w:tr w:rsidR="007A4A91" w:rsidRPr="00DA7D0F" w:rsidTr="00B315C7">
        <w:trPr>
          <w:trHeight w:val="319"/>
        </w:trPr>
        <w:tc>
          <w:tcPr>
            <w:tcW w:w="358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5-Jun-2017</w:t>
            </w:r>
          </w:p>
        </w:tc>
        <w:tc>
          <w:tcPr>
            <w:tcW w:w="283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3-Nov-2017</w:t>
            </w:r>
          </w:p>
        </w:tc>
        <w:tc>
          <w:tcPr>
            <w:tcW w:w="2408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1E35B0">
              <w:rPr>
                <w:rFonts w:ascii="Book Antiqua" w:hAnsi="Book Antiqua"/>
                <w:color w:val="000000"/>
                <w:sz w:val="22"/>
                <w:szCs w:val="22"/>
              </w:rPr>
              <w:t>Nurses</w:t>
            </w:r>
          </w:p>
        </w:tc>
      </w:tr>
    </w:tbl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</w:rPr>
      </w:pP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</w:rPr>
      </w:pPr>
    </w:p>
    <w:p w:rsidR="007A4A91" w:rsidRDefault="007A4A91" w:rsidP="007A4A91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  <w:r w:rsidRPr="006475D5">
        <w:rPr>
          <w:rFonts w:ascii="Book Antiqua" w:hAnsi="Book Antiqua"/>
          <w:b/>
        </w:rPr>
        <w:lastRenderedPageBreak/>
        <w:t>Supplementary Table</w:t>
      </w:r>
      <w:r>
        <w:rPr>
          <w:rFonts w:ascii="Book Antiqua" w:hAnsi="Book Antiqua"/>
          <w:b/>
        </w:rPr>
        <w:t xml:space="preserve"> </w:t>
      </w:r>
      <w:r w:rsidRPr="001E35B0">
        <w:rPr>
          <w:rFonts w:ascii="Book Antiqua" w:hAnsi="Book Antiqua"/>
          <w:b/>
        </w:rPr>
        <w:t>2: Weight assigned to each control condition/disease in synthetic RVA series by site</w:t>
      </w:r>
    </w:p>
    <w:tbl>
      <w:tblPr>
        <w:tblW w:w="75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3"/>
        <w:gridCol w:w="2352"/>
        <w:gridCol w:w="2519"/>
      </w:tblGrid>
      <w:tr w:rsidR="007A4A91" w:rsidRPr="00DA7D0F" w:rsidTr="00B315C7">
        <w:trPr>
          <w:trHeight w:val="447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</w:rPr>
              <w:t>Kilifi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</w:rPr>
              <w:t>Siaya</w:t>
            </w:r>
          </w:p>
        </w:tc>
      </w:tr>
      <w:tr w:rsidR="007A4A91" w:rsidRPr="00DA7D0F" w:rsidTr="00B315C7">
        <w:trPr>
          <w:trHeight w:val="475"/>
        </w:trPr>
        <w:tc>
          <w:tcPr>
            <w:tcW w:w="27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35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  <w:tc>
          <w:tcPr>
            <w:tcW w:w="251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</w:p>
        </w:tc>
      </w:tr>
      <w:tr w:rsidR="007A4A91" w:rsidRPr="00DA7D0F" w:rsidTr="00B315C7">
        <w:trPr>
          <w:trHeight w:val="447"/>
        </w:trPr>
        <w:tc>
          <w:tcPr>
            <w:tcW w:w="2703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</w:rPr>
              <w:t>Rotavirus Negative</w:t>
            </w:r>
          </w:p>
        </w:tc>
        <w:tc>
          <w:tcPr>
            <w:tcW w:w="2352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  <w:r w:rsidRPr="001E35B0">
              <w:rPr>
                <w:rFonts w:ascii="Book Antiqua" w:hAnsi="Book Antiqua"/>
                <w:color w:val="000000"/>
              </w:rPr>
              <w:t>0.470</w:t>
            </w:r>
          </w:p>
        </w:tc>
        <w:tc>
          <w:tcPr>
            <w:tcW w:w="2519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  <w:r w:rsidRPr="001E35B0">
              <w:rPr>
                <w:rFonts w:ascii="Book Antiqua" w:hAnsi="Book Antiqua"/>
                <w:color w:val="000000"/>
              </w:rPr>
              <w:t>0.224</w:t>
            </w:r>
          </w:p>
        </w:tc>
      </w:tr>
      <w:tr w:rsidR="007A4A91" w:rsidRPr="00DA7D0F" w:rsidTr="00B315C7">
        <w:trPr>
          <w:trHeight w:val="447"/>
        </w:trPr>
        <w:tc>
          <w:tcPr>
            <w:tcW w:w="2703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</w:rPr>
              <w:t>Malaria</w:t>
            </w:r>
          </w:p>
        </w:tc>
        <w:tc>
          <w:tcPr>
            <w:tcW w:w="2352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  <w:r w:rsidRPr="001E35B0">
              <w:rPr>
                <w:rFonts w:ascii="Book Antiqua" w:hAnsi="Book Antiqua"/>
                <w:color w:val="000000"/>
              </w:rPr>
              <w:t>0.427</w:t>
            </w:r>
          </w:p>
        </w:tc>
        <w:tc>
          <w:tcPr>
            <w:tcW w:w="2519" w:type="dxa"/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  <w:r w:rsidRPr="001E35B0">
              <w:rPr>
                <w:rFonts w:ascii="Book Antiqua" w:hAnsi="Book Antiqua"/>
                <w:color w:val="000000"/>
              </w:rPr>
              <w:t>0.776</w:t>
            </w:r>
          </w:p>
        </w:tc>
      </w:tr>
      <w:tr w:rsidR="007A4A91" w:rsidRPr="00DA7D0F" w:rsidTr="00B315C7">
        <w:trPr>
          <w:trHeight w:val="447"/>
        </w:trPr>
        <w:tc>
          <w:tcPr>
            <w:tcW w:w="2703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b/>
                <w:bCs/>
                <w:color w:val="000000"/>
              </w:rPr>
            </w:pPr>
            <w:r w:rsidRPr="001E35B0">
              <w:rPr>
                <w:rFonts w:ascii="Book Antiqua" w:hAnsi="Book Antiqua"/>
                <w:b/>
                <w:bCs/>
                <w:color w:val="000000"/>
              </w:rPr>
              <w:t>Pneumonia</w:t>
            </w:r>
          </w:p>
        </w:tc>
        <w:tc>
          <w:tcPr>
            <w:tcW w:w="235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  <w:r w:rsidRPr="001E35B0">
              <w:rPr>
                <w:rFonts w:ascii="Book Antiqua" w:hAnsi="Book Antiqua"/>
                <w:color w:val="000000"/>
              </w:rPr>
              <w:t>0.103</w:t>
            </w:r>
          </w:p>
        </w:tc>
        <w:tc>
          <w:tcPr>
            <w:tcW w:w="2519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7A4A91" w:rsidRPr="001E35B0" w:rsidRDefault="007A4A91" w:rsidP="00B315C7">
            <w:pPr>
              <w:jc w:val="center"/>
              <w:rPr>
                <w:rFonts w:ascii="Book Antiqua" w:hAnsi="Book Antiqua"/>
                <w:color w:val="000000"/>
              </w:rPr>
            </w:pPr>
            <w:r w:rsidRPr="001E35B0">
              <w:rPr>
                <w:rFonts w:ascii="Book Antiqua" w:hAnsi="Book Antiqua"/>
                <w:color w:val="000000"/>
              </w:rPr>
              <w:t>0.000</w:t>
            </w:r>
          </w:p>
        </w:tc>
      </w:tr>
    </w:tbl>
    <w:p w:rsidR="007A4A91" w:rsidRPr="001E35B0" w:rsidRDefault="007A4A91" w:rsidP="007A4A91">
      <w:pPr>
        <w:spacing w:line="360" w:lineRule="auto"/>
        <w:jc w:val="center"/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  <w:r w:rsidRPr="006475D5">
        <w:rPr>
          <w:rFonts w:ascii="Book Antiqua" w:hAnsi="Book Antiqua"/>
          <w:b/>
        </w:rPr>
        <w:lastRenderedPageBreak/>
        <w:t>Supplementary Table</w:t>
      </w:r>
      <w:r>
        <w:rPr>
          <w:rFonts w:ascii="Book Antiqua" w:hAnsi="Book Antiqua"/>
          <w:b/>
        </w:rPr>
        <w:t xml:space="preserve"> </w:t>
      </w:r>
      <w:r w:rsidRPr="001E35B0">
        <w:rPr>
          <w:rFonts w:ascii="Book Antiqua" w:hAnsi="Book Antiqua"/>
          <w:b/>
        </w:rPr>
        <w:t>3: Incidence rate ratios</w:t>
      </w:r>
      <w:r w:rsidR="00AA512F">
        <w:rPr>
          <w:rFonts w:ascii="Book Antiqua" w:hAnsi="Book Antiqua"/>
          <w:b/>
        </w:rPr>
        <w:t xml:space="preserve"> (IRR)</w:t>
      </w:r>
      <w:r w:rsidRPr="001E35B0">
        <w:rPr>
          <w:rFonts w:ascii="Book Antiqua" w:hAnsi="Book Antiqua"/>
          <w:b/>
        </w:rPr>
        <w:t xml:space="preserve"> comparing RVA incidence pre and post vaccine introduction using synthetic controls. </w:t>
      </w:r>
    </w:p>
    <w:p w:rsidR="007A4A91" w:rsidRPr="001E35B0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</w:p>
    <w:tbl>
      <w:tblPr>
        <w:tblW w:w="7060" w:type="dxa"/>
        <w:tblInd w:w="93" w:type="dxa"/>
        <w:tblLook w:val="04A0" w:firstRow="1" w:lastRow="0" w:firstColumn="1" w:lastColumn="0" w:noHBand="0" w:noVBand="1"/>
      </w:tblPr>
      <w:tblGrid>
        <w:gridCol w:w="1300"/>
        <w:gridCol w:w="1860"/>
        <w:gridCol w:w="1300"/>
        <w:gridCol w:w="1300"/>
        <w:gridCol w:w="1300"/>
      </w:tblGrid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IRR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95% CI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p-value</w:t>
            </w:r>
          </w:p>
        </w:tc>
      </w:tr>
      <w:tr w:rsidR="007A4A91" w:rsidRPr="00DA7D0F" w:rsidTr="00B315C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Kilifi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Jul14- Jun15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0.15-0.73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0.007</w:t>
            </w: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Jul15- Jun16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0.06-0.36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&lt;0.001</w:t>
            </w: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Jul16- Jun17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0.31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0.17-0.55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&lt;0.001</w:t>
            </w: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Siaya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Jul14- Jun15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0.3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0.1</w:t>
            </w:r>
            <w:r>
              <w:rPr>
                <w:rFonts w:ascii="Calibri" w:hAnsi="Calibri"/>
                <w:color w:val="000000"/>
              </w:rPr>
              <w:t>6</w:t>
            </w:r>
            <w:r w:rsidRPr="007B5735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0.00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Jul15- Jun16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0.04-0.3</w:t>
            </w: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&lt;0.001</w:t>
            </w:r>
          </w:p>
        </w:tc>
      </w:tr>
      <w:tr w:rsidR="007A4A91" w:rsidRPr="00DA7D0F" w:rsidTr="00B315C7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b/>
                <w:bCs/>
                <w:color w:val="000000"/>
              </w:rPr>
            </w:pPr>
            <w:r w:rsidRPr="007B5735">
              <w:rPr>
                <w:rFonts w:ascii="Calibri" w:hAnsi="Calibri"/>
                <w:b/>
                <w:bCs/>
                <w:color w:val="000000"/>
              </w:rPr>
              <w:t>Jul16- Jun17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0.1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0.0</w:t>
            </w:r>
            <w:r>
              <w:rPr>
                <w:rFonts w:ascii="Calibri" w:hAnsi="Calibri"/>
                <w:color w:val="000000"/>
              </w:rPr>
              <w:t>4</w:t>
            </w:r>
            <w:r w:rsidRPr="007B5735">
              <w:rPr>
                <w:rFonts w:ascii="Calibri" w:hAnsi="Calibri"/>
                <w:color w:val="000000"/>
              </w:rPr>
              <w:t>-0.</w:t>
            </w: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jc w:val="center"/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0.03</w:t>
            </w:r>
            <w:r>
              <w:rPr>
                <w:rFonts w:ascii="Calibri" w:hAnsi="Calibri"/>
                <w:color w:val="000000"/>
              </w:rPr>
              <w:t>8</w:t>
            </w:r>
          </w:p>
        </w:tc>
      </w:tr>
      <w:tr w:rsidR="007A4A91" w:rsidRPr="00DA7D0F" w:rsidTr="00B315C7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4A91" w:rsidRPr="007B5735" w:rsidRDefault="007A4A91" w:rsidP="00B315C7">
            <w:pPr>
              <w:rPr>
                <w:rFonts w:ascii="Calibri" w:hAnsi="Calibri"/>
                <w:color w:val="000000"/>
              </w:rPr>
            </w:pPr>
            <w:r w:rsidRPr="007B5735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7A4A91" w:rsidRDefault="007A4A91" w:rsidP="007A4A91">
      <w:pPr>
        <w:spacing w:line="360" w:lineRule="auto"/>
        <w:jc w:val="both"/>
        <w:rPr>
          <w:rFonts w:ascii="Book Antiqua" w:hAnsi="Book Antiqua"/>
        </w:rPr>
        <w:sectPr w:rsidR="007A4A91" w:rsidSect="004834F6">
          <w:pgSz w:w="11900" w:h="16840"/>
          <w:pgMar w:top="1440" w:right="1797" w:bottom="1440" w:left="1797" w:header="709" w:footer="709" w:gutter="0"/>
          <w:cols w:space="708"/>
          <w:docGrid w:linePitch="360"/>
        </w:sect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  <w:b/>
        </w:rPr>
      </w:pPr>
      <w:r w:rsidRPr="00B537B2">
        <w:rPr>
          <w:rFonts w:ascii="Book Antiqua" w:hAnsi="Book Antiqua"/>
          <w:b/>
        </w:rPr>
        <w:lastRenderedPageBreak/>
        <w:t>APPENDIX 2:  SUPPLEMENTARY FIGURES</w:t>
      </w: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4834F6">
      <w:pPr>
        <w:spacing w:line="360" w:lineRule="auto"/>
        <w:jc w:val="both"/>
        <w:rPr>
          <w:rFonts w:ascii="Book Antiqua" w:hAnsi="Book Antiqua"/>
          <w:b/>
        </w:rPr>
      </w:pPr>
      <w:r w:rsidRPr="006231DE">
        <w:rPr>
          <w:rFonts w:ascii="Book Antiqua" w:hAnsi="Book Antiqua"/>
          <w:b/>
        </w:rPr>
        <w:t>Supplementary Figure</w:t>
      </w:r>
      <w:r>
        <w:rPr>
          <w:rFonts w:ascii="Book Antiqua" w:hAnsi="Book Antiqua"/>
          <w:b/>
        </w:rPr>
        <w:t xml:space="preserve"> 1: </w:t>
      </w:r>
      <w:r w:rsidRPr="00474C14">
        <w:rPr>
          <w:rFonts w:ascii="Book Antiqua" w:hAnsi="Book Antiqua"/>
        </w:rPr>
        <w:t>A map showing the geographical boundaries of the Kilifi Health and Demographic Surveillance System (KHDSS)</w:t>
      </w:r>
      <w:r>
        <w:rPr>
          <w:rFonts w:ascii="Book Antiqua" w:hAnsi="Book Antiqua"/>
        </w:rPr>
        <w:t xml:space="preserve"> </w:t>
      </w:r>
      <w:r w:rsidRPr="00474C14">
        <w:rPr>
          <w:rFonts w:ascii="Book Antiqua" w:hAnsi="Book Antiqua"/>
        </w:rPr>
        <w:t xml:space="preserve">and the health facilities </w:t>
      </w:r>
      <w:r>
        <w:rPr>
          <w:rFonts w:ascii="Book Antiqua" w:hAnsi="Book Antiqua"/>
        </w:rPr>
        <w:t xml:space="preserve">participating in the </w:t>
      </w:r>
      <w:r w:rsidRPr="00474C14">
        <w:rPr>
          <w:rFonts w:ascii="Book Antiqua" w:hAnsi="Book Antiqua"/>
        </w:rPr>
        <w:t>vaccine monitoring system.</w:t>
      </w:r>
    </w:p>
    <w:p w:rsidR="004834F6" w:rsidRDefault="004834F6" w:rsidP="004834F6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4834F6">
      <w:pPr>
        <w:spacing w:line="360" w:lineRule="auto"/>
        <w:jc w:val="both"/>
        <w:rPr>
          <w:rFonts w:ascii="Book Antiqua" w:hAnsi="Book Antiqua"/>
          <w:b/>
        </w:rPr>
      </w:pPr>
      <w:r w:rsidRPr="006231DE">
        <w:rPr>
          <w:rFonts w:ascii="Book Antiqua" w:hAnsi="Book Antiqua"/>
          <w:b/>
        </w:rPr>
        <w:t>Supplementary Figure</w:t>
      </w:r>
      <w:r>
        <w:rPr>
          <w:rFonts w:ascii="Book Antiqua" w:hAnsi="Book Antiqua"/>
          <w:b/>
        </w:rPr>
        <w:t xml:space="preserve"> 2: </w:t>
      </w:r>
      <w:r w:rsidRPr="00474C14">
        <w:rPr>
          <w:rFonts w:ascii="Book Antiqua" w:hAnsi="Book Antiqua"/>
        </w:rPr>
        <w:t xml:space="preserve">A map showing the geographical boundaries of the </w:t>
      </w:r>
      <w:r>
        <w:rPr>
          <w:rFonts w:ascii="Book Antiqua" w:hAnsi="Book Antiqua"/>
          <w:lang w:val="en-US"/>
        </w:rPr>
        <w:t>Siaya</w:t>
      </w:r>
      <w:r w:rsidRPr="001E35B0">
        <w:rPr>
          <w:rFonts w:ascii="Book Antiqua" w:hAnsi="Book Antiqua"/>
          <w:lang w:val="en-US"/>
        </w:rPr>
        <w:t xml:space="preserve"> health and demographic surveillance system</w:t>
      </w:r>
      <w:r>
        <w:rPr>
          <w:rFonts w:ascii="Book Antiqua" w:hAnsi="Book Antiqua"/>
        </w:rPr>
        <w:t xml:space="preserve"> (SHDSS) in western Kenya </w:t>
      </w:r>
      <w:r w:rsidRPr="00474C14">
        <w:rPr>
          <w:rFonts w:ascii="Book Antiqua" w:hAnsi="Book Antiqua"/>
        </w:rPr>
        <w:t xml:space="preserve">and health facilities that administer </w:t>
      </w:r>
      <w:r>
        <w:rPr>
          <w:rFonts w:ascii="Book Antiqua" w:hAnsi="Book Antiqua"/>
        </w:rPr>
        <w:t xml:space="preserve">rotavirus </w:t>
      </w:r>
      <w:r w:rsidRPr="00474C14">
        <w:rPr>
          <w:rFonts w:ascii="Book Antiqua" w:hAnsi="Book Antiqua"/>
        </w:rPr>
        <w:t>vaccine</w:t>
      </w:r>
      <w:r>
        <w:rPr>
          <w:rFonts w:ascii="Book Antiqua" w:hAnsi="Book Antiqua"/>
        </w:rPr>
        <w:t xml:space="preserve">. </w:t>
      </w:r>
      <w:r w:rsidRPr="00474C14">
        <w:rPr>
          <w:rFonts w:ascii="Book Antiqua" w:hAnsi="Book Antiqua"/>
        </w:rPr>
        <w:t xml:space="preserve"> </w:t>
      </w:r>
    </w:p>
    <w:p w:rsidR="004834F6" w:rsidRPr="00121D68" w:rsidRDefault="004834F6" w:rsidP="004834F6">
      <w:pPr>
        <w:spacing w:line="360" w:lineRule="auto"/>
        <w:jc w:val="both"/>
        <w:rPr>
          <w:rFonts w:ascii="Book Antiqua" w:hAnsi="Book Antiqua"/>
        </w:rPr>
      </w:pPr>
    </w:p>
    <w:p w:rsidR="004834F6" w:rsidRDefault="004834F6" w:rsidP="004834F6">
      <w:pPr>
        <w:spacing w:line="360" w:lineRule="auto"/>
        <w:jc w:val="both"/>
        <w:rPr>
          <w:rFonts w:ascii="Book Antiqua" w:hAnsi="Book Antiqua"/>
        </w:rPr>
      </w:pPr>
      <w:r w:rsidRPr="006231DE">
        <w:rPr>
          <w:rFonts w:ascii="Book Antiqua" w:hAnsi="Book Antiqua"/>
          <w:b/>
        </w:rPr>
        <w:t>Supplementary Figure 3</w:t>
      </w:r>
      <w:r w:rsidRPr="00121D68">
        <w:rPr>
          <w:rFonts w:ascii="Book Antiqua" w:hAnsi="Book Antiqua"/>
        </w:rPr>
        <w:t>: Relative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reduction of rotavirus</w:t>
      </w:r>
      <w:r w:rsidRPr="00474C14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and all-cause diarrhoea hospitalisations</w:t>
      </w:r>
      <w:r w:rsidRPr="00433636">
        <w:rPr>
          <w:rFonts w:ascii="Book Antiqua" w:hAnsi="Book Antiqua"/>
        </w:rPr>
        <w:t xml:space="preserve">. Graphs (a, c &amp; e) are </w:t>
      </w:r>
      <w:r>
        <w:rPr>
          <w:rFonts w:ascii="Book Antiqua" w:hAnsi="Book Antiqua"/>
        </w:rPr>
        <w:t>impact</w:t>
      </w:r>
      <w:r w:rsidRPr="00433636">
        <w:rPr>
          <w:rFonts w:ascii="Book Antiqua" w:hAnsi="Book Antiqua"/>
        </w:rPr>
        <w:t xml:space="preserve"> estimates from Kilifi and graphs (b, d &amp;</w:t>
      </w:r>
      <w:r>
        <w:rPr>
          <w:rFonts w:ascii="Book Antiqua" w:hAnsi="Book Antiqua"/>
        </w:rPr>
        <w:t xml:space="preserve"> </w:t>
      </w:r>
      <w:r w:rsidRPr="00433636">
        <w:rPr>
          <w:rFonts w:ascii="Book Antiqua" w:hAnsi="Book Antiqua"/>
        </w:rPr>
        <w:t>f) are estimates</w:t>
      </w:r>
      <w:r>
        <w:rPr>
          <w:rFonts w:ascii="Book Antiqua" w:hAnsi="Book Antiqua"/>
        </w:rPr>
        <w:t xml:space="preserve"> from Siaya</w:t>
      </w:r>
      <w:r w:rsidRPr="00433636">
        <w:rPr>
          <w:rFonts w:ascii="Book Antiqua" w:hAnsi="Book Antiqua"/>
        </w:rPr>
        <w:t xml:space="preserve">. Graphs (a) and (b) show </w:t>
      </w:r>
      <w:r>
        <w:rPr>
          <w:rFonts w:ascii="Book Antiqua" w:hAnsi="Book Antiqua"/>
        </w:rPr>
        <w:t>impact</w:t>
      </w:r>
      <w:r w:rsidRPr="00433636">
        <w:rPr>
          <w:rFonts w:ascii="Book Antiqua" w:hAnsi="Book Antiqua"/>
        </w:rPr>
        <w:t xml:space="preserve"> estimates of the vaccine on RV</w:t>
      </w:r>
      <w:r>
        <w:rPr>
          <w:rFonts w:ascii="Book Antiqua" w:hAnsi="Book Antiqua"/>
        </w:rPr>
        <w:t>H</w:t>
      </w:r>
      <w:r w:rsidRPr="00433636">
        <w:rPr>
          <w:rFonts w:ascii="Book Antiqua" w:hAnsi="Book Antiqua"/>
        </w:rPr>
        <w:t xml:space="preserve"> using </w:t>
      </w:r>
      <w:r>
        <w:rPr>
          <w:rFonts w:ascii="Book Antiqua" w:hAnsi="Book Antiqua"/>
        </w:rPr>
        <w:t>rotavirus</w:t>
      </w:r>
      <w:r w:rsidRPr="00474C14">
        <w:rPr>
          <w:rFonts w:ascii="Book Antiqua" w:hAnsi="Book Antiqua"/>
        </w:rPr>
        <w:t xml:space="preserve"> </w:t>
      </w:r>
      <w:r w:rsidRPr="00433636">
        <w:rPr>
          <w:rFonts w:ascii="Book Antiqua" w:hAnsi="Book Antiqua"/>
        </w:rPr>
        <w:t xml:space="preserve">negative control series while graphs (c) and (d) display </w:t>
      </w:r>
      <w:r>
        <w:rPr>
          <w:rFonts w:ascii="Book Antiqua" w:hAnsi="Book Antiqua"/>
        </w:rPr>
        <w:t>impact</w:t>
      </w:r>
      <w:r w:rsidRPr="00433636">
        <w:rPr>
          <w:rFonts w:ascii="Book Antiqua" w:hAnsi="Book Antiqua"/>
        </w:rPr>
        <w:t xml:space="preserve"> estimates obtained using synthetic controls. Graphs (e &amp; f) display </w:t>
      </w:r>
      <w:r>
        <w:rPr>
          <w:rFonts w:ascii="Book Antiqua" w:hAnsi="Book Antiqua"/>
        </w:rPr>
        <w:t>impact</w:t>
      </w:r>
      <w:r w:rsidRPr="00433636">
        <w:rPr>
          <w:rFonts w:ascii="Book Antiqua" w:hAnsi="Book Antiqua"/>
        </w:rPr>
        <w:t xml:space="preserve"> </w:t>
      </w:r>
      <w:proofErr w:type="spellStart"/>
      <w:r w:rsidRPr="00433636">
        <w:rPr>
          <w:rFonts w:ascii="Book Antiqua" w:hAnsi="Book Antiqua"/>
        </w:rPr>
        <w:t>impact</w:t>
      </w:r>
      <w:proofErr w:type="spellEnd"/>
      <w:r w:rsidRPr="00433636">
        <w:rPr>
          <w:rFonts w:ascii="Book Antiqua" w:hAnsi="Book Antiqua"/>
        </w:rPr>
        <w:t xml:space="preserve"> on all-cause diarrhoea using all </w:t>
      </w:r>
      <w:r>
        <w:rPr>
          <w:rFonts w:ascii="Book Antiqua" w:hAnsi="Book Antiqua"/>
        </w:rPr>
        <w:t>non-diarrhoea hospitalisations</w:t>
      </w:r>
      <w:r w:rsidRPr="00433636">
        <w:rPr>
          <w:rFonts w:ascii="Book Antiqua" w:hAnsi="Book Antiqua"/>
        </w:rPr>
        <w:t xml:space="preserve"> as the control series.</w:t>
      </w: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4834F6" w:rsidRPr="00B537B2" w:rsidRDefault="004834F6" w:rsidP="007A4A91">
      <w:pPr>
        <w:spacing w:line="360" w:lineRule="auto"/>
        <w:jc w:val="both"/>
        <w:rPr>
          <w:rFonts w:ascii="Book Antiqua" w:hAnsi="Book Antiqua"/>
          <w:b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jc w:val="both"/>
        <w:rPr>
          <w:noProof/>
          <w:lang w:val="en-US"/>
        </w:rPr>
        <w:sectPr w:rsidR="007A4A91" w:rsidSect="004834F6">
          <w:pgSz w:w="11900" w:h="16840"/>
          <w:pgMar w:top="1440" w:right="1440" w:bottom="1440" w:left="1440" w:header="709" w:footer="709" w:gutter="0"/>
          <w:cols w:space="708"/>
          <w:docGrid w:linePitch="360"/>
        </w:sectPr>
      </w:pPr>
    </w:p>
    <w:p w:rsidR="007A4A91" w:rsidRPr="001E35B0" w:rsidRDefault="007A4A91" w:rsidP="007A4A91">
      <w:pPr>
        <w:outlineLvl w:val="0"/>
        <w:rPr>
          <w:rFonts w:ascii="Book Antiqua" w:hAnsi="Book Antiqua"/>
          <w:b/>
        </w:rPr>
      </w:pPr>
      <w:r w:rsidRPr="001E35B0">
        <w:rPr>
          <w:rFonts w:ascii="Book Antiqua" w:hAnsi="Book Antiqua"/>
          <w:b/>
        </w:rPr>
        <w:lastRenderedPageBreak/>
        <w:t xml:space="preserve">APPENDIX </w:t>
      </w:r>
      <w:r>
        <w:rPr>
          <w:rFonts w:ascii="Book Antiqua" w:hAnsi="Book Antiqua"/>
          <w:b/>
        </w:rPr>
        <w:t>3</w:t>
      </w:r>
      <w:r w:rsidRPr="001E35B0">
        <w:rPr>
          <w:rFonts w:ascii="Book Antiqua" w:hAnsi="Book Antiqua"/>
          <w:b/>
        </w:rPr>
        <w:t xml:space="preserve">:  Model fitting </w:t>
      </w:r>
    </w:p>
    <w:p w:rsidR="007A4A91" w:rsidRPr="001E35B0" w:rsidRDefault="007A4A91" w:rsidP="007A4A91">
      <w:pPr>
        <w:spacing w:line="360" w:lineRule="auto"/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following model was fitted to data on the number of RVA cases per month: </w:t>
      </w:r>
    </w:p>
    <w:p w:rsidR="007A4A91" w:rsidRDefault="007A4A91" w:rsidP="007A4A91">
      <w:pPr>
        <w:spacing w:line="360" w:lineRule="auto"/>
        <w:jc w:val="both"/>
        <w:rPr>
          <w:rFonts w:ascii="Book Antiqua" w:hAnsi="Book Antiqua"/>
        </w:rPr>
      </w:pPr>
    </w:p>
    <w:p w:rsidR="007A4A91" w:rsidRDefault="00B46AFA" w:rsidP="007A4A91">
      <w:pPr>
        <w:spacing w:line="360" w:lineRule="auto"/>
        <w:jc w:val="both"/>
        <w:rPr>
          <w:rFonts w:ascii="Book Antiqua" w:hAnsi="Book Antiqu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log(</m:t>
            </m:r>
            <m:r>
              <w:rPr>
                <w:rFonts w:ascii="Cambria Math" w:hAnsi="Cambria Math"/>
              </w:rPr>
              <m:t>λ)</m:t>
            </m:r>
          </m:fName>
          <m:e>
            <m:r>
              <w:rPr>
                <w:rFonts w:ascii="Cambria Math" w:hAnsi="Cambria Math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</m:d>
              </m:e>
            </m:func>
            <m:r>
              <w:rPr>
                <w:rFonts w:ascii="Cambria Math" w:hAnsi="Cambria Math"/>
              </w:rPr>
              <m:t xml:space="preserve">+ α+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3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β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 xml:space="preserve">+ 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i=2</m:t>
                </m:r>
              </m:sub>
              <m:sup>
                <m:r>
                  <w:rPr>
                    <w:rFonts w:ascii="Cambria Math" w:hAnsi="Cambria Math"/>
                  </w:rPr>
                  <m:t>12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δ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>+</m:t>
            </m:r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i=1</m:t>
                </m:r>
              </m:sub>
              <m:sup>
                <m:r>
                  <w:rPr>
                    <w:rFonts w:ascii="Cambria Math" w:hAnsi="Cambria Math"/>
                  </w:rPr>
                  <m:t>7</m:t>
                </m:r>
              </m:sup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</w:rPr>
              <m:t xml:space="preserve">  </m:t>
            </m:r>
          </m:e>
        </m:func>
      </m:oMath>
      <w:r w:rsidR="007A4A91">
        <w:rPr>
          <w:rFonts w:ascii="Book Antiqua" w:hAnsi="Book Antiqua"/>
        </w:rPr>
        <w:t>,</w:t>
      </w:r>
    </w:p>
    <w:p w:rsidR="007A4A91" w:rsidRDefault="007A4A91" w:rsidP="007A4A91">
      <w:pPr>
        <w:rPr>
          <w:rFonts w:ascii="Book Antiqua" w:hAnsi="Book Antiqua"/>
        </w:rPr>
      </w:pPr>
    </w:p>
    <w:p w:rsidR="007A4A91" w:rsidRDefault="007A4A91" w:rsidP="007A4A91">
      <w:pPr>
        <w:rPr>
          <w:rFonts w:ascii="Book Antiqua" w:hAnsi="Book Antiqua"/>
        </w:rPr>
      </w:pPr>
      <w:r>
        <w:rPr>
          <w:rFonts w:ascii="Book Antiqua" w:hAnsi="Book Antiqua"/>
        </w:rPr>
        <w:t>where</w:t>
      </w:r>
    </w:p>
    <w:p w:rsidR="007A4A91" w:rsidRDefault="007A4A91" w:rsidP="007A4A91">
      <w:pPr>
        <w:rPr>
          <w:rFonts w:ascii="Book Antiqua" w:hAnsi="Book Antiqua"/>
        </w:rPr>
      </w:pPr>
    </w:p>
    <w:p w:rsidR="007A4A91" w:rsidRPr="007A4A91" w:rsidRDefault="007A4A91" w:rsidP="007A4A91">
      <w:pPr>
        <w:rPr>
          <w:rFonts w:ascii="Book Antiqua" w:hAnsi="Book Antiqu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λ=</m:t>
          </m:r>
          <m:r>
            <m:rPr>
              <m:sty m:val="p"/>
            </m:rPr>
            <w:rPr>
              <w:rFonts w:ascii="Cambria Math" w:hAnsi="Cambria Math"/>
            </w:rPr>
            <m:t xml:space="preserve">expected number of RVA positive cases </m:t>
          </m:r>
        </m:oMath>
      </m:oMathPara>
    </w:p>
    <w:p w:rsidR="007A4A91" w:rsidRDefault="007A4A91" w:rsidP="007A4A91">
      <w:pPr>
        <w:rPr>
          <w:rFonts w:ascii="Book Antiqua" w:hAnsi="Book Antiqua"/>
        </w:rPr>
      </w:pPr>
    </w:p>
    <w:p w:rsidR="007A4A91" w:rsidRPr="009309F0" w:rsidRDefault="007A4A91" w:rsidP="007A4A91">
      <w:pPr>
        <w:rPr>
          <w:rFonts w:ascii="Book Antiqua" w:hAnsi="Book Antiqua"/>
        </w:rPr>
      </w:pPr>
      <m:oMath>
        <m:r>
          <w:rPr>
            <w:rFonts w:ascii="Cambria Math" w:hAnsi="Cambria Math"/>
          </w:rPr>
          <m:t>C=</m:t>
        </m:r>
        <m:r>
          <m:rPr>
            <m:sty m:val="p"/>
          </m:rPr>
          <w:rPr>
            <w:rFonts w:ascii="Cambria Math" w:hAnsi="Cambria Math"/>
          </w:rPr>
          <m:t>number of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 xml:space="preserve">RVA negative cases </m:t>
        </m:r>
      </m:oMath>
      <w:r>
        <w:rPr>
          <w:rFonts w:ascii="Book Antiqua" w:hAnsi="Book Antiqua"/>
        </w:rPr>
        <w:t>(the control)</w:t>
      </w:r>
    </w:p>
    <w:p w:rsidR="007A4A91" w:rsidRPr="00F70E82" w:rsidRDefault="007A4A91" w:rsidP="007A4A91">
      <w:pPr>
        <w:rPr>
          <w:rFonts w:ascii="Book Antiqua" w:hAnsi="Book Antiqua"/>
        </w:rPr>
      </w:pPr>
    </w:p>
    <w:p w:rsidR="007A4A91" w:rsidRPr="007A4A91" w:rsidRDefault="00B46AFA" w:rsidP="007A4A91">
      <w:pPr>
        <w:rPr>
          <w:rFonts w:ascii="Book Antiqua" w:hAnsi="Book Antiq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X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 xml:space="preserve"> indicator ith post vaccine period  </m:t>
          </m:r>
          <m:r>
            <w:rPr>
              <w:rFonts w:ascii="Cambria Math" w:hAnsi="Cambria Math"/>
            </w:rPr>
            <m:t xml:space="preserve"> </m:t>
          </m:r>
        </m:oMath>
      </m:oMathPara>
    </w:p>
    <w:p w:rsidR="007A4A91" w:rsidRDefault="007A4A91" w:rsidP="007A4A9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A4A91" w:rsidRPr="00C96547" w:rsidRDefault="00B46AFA" w:rsidP="007A4A91">
      <w:pPr>
        <w:rPr>
          <w:rFonts w:ascii="Book Antiqua" w:hAnsi="Book Antiqu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indicator ith calender month</m:t>
        </m:r>
      </m:oMath>
      <w:r w:rsidR="007A4A91" w:rsidRPr="00144AE4">
        <w:rPr>
          <w:rFonts w:ascii="Book Antiqua" w:hAnsi="Book Antiqua"/>
        </w:rPr>
        <w:t xml:space="preserve"> </w:t>
      </w:r>
    </w:p>
    <w:p w:rsidR="007A4A91" w:rsidRDefault="007A4A91" w:rsidP="007A4A91">
      <w:pPr>
        <w:jc w:val="center"/>
        <w:rPr>
          <w:rFonts w:ascii="Book Antiqua" w:hAnsi="Book Antiqua"/>
        </w:rPr>
      </w:pPr>
    </w:p>
    <w:p w:rsidR="007A4A91" w:rsidRPr="007A4A91" w:rsidRDefault="00B46AFA" w:rsidP="007A4A91">
      <w:pPr>
        <w:rPr>
          <w:rFonts w:ascii="Book Antiqua" w:hAnsi="Book Antiq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>=</m:t>
          </m:r>
          <m:r>
            <m:rPr>
              <m:sty m:val="p"/>
            </m:rPr>
            <w:rPr>
              <w:rFonts w:ascii="Cambria Math" w:hAnsi="Cambria Math"/>
            </w:rPr>
            <m:t>indicator ith  industrial action</m:t>
          </m:r>
        </m:oMath>
      </m:oMathPara>
    </w:p>
    <w:p w:rsidR="007A4A91" w:rsidRDefault="007A4A91" w:rsidP="007A4A91">
      <w:pPr>
        <w:jc w:val="center"/>
        <w:rPr>
          <w:rFonts w:ascii="Book Antiqua" w:hAnsi="Book Antiqua"/>
        </w:rPr>
      </w:pPr>
    </w:p>
    <w:p w:rsidR="007A4A91" w:rsidRDefault="007A4A91" w:rsidP="007A4A91">
      <w:pPr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Note 1: The model was fitted using negative binomial regression, i.e., we assumed the number of RVA cases per month follows a negative binomial distribution. </w:t>
      </w:r>
    </w:p>
    <w:p w:rsidR="007A4A91" w:rsidRDefault="007A4A91" w:rsidP="007A4A91">
      <w:pPr>
        <w:spacing w:line="360" w:lineRule="auto"/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Note 2: Newey-West standard errors were used to account for lag-1 autocorrelation.</w:t>
      </w:r>
    </w:p>
    <w:p w:rsidR="007A4A91" w:rsidRDefault="007A4A91" w:rsidP="007A4A91">
      <w:pPr>
        <w:spacing w:line="360" w:lineRule="auto"/>
        <w:rPr>
          <w:rFonts w:ascii="Book Antiqua" w:hAnsi="Book Antiqua"/>
        </w:rPr>
      </w:pPr>
    </w:p>
    <w:p w:rsidR="007A4A91" w:rsidRDefault="007A4A91" w:rsidP="007A4A91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Note 3: The estimates of vaccine impact,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β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ascii="Book Antiqua" w:hAnsi="Book Antiqua"/>
        </w:rPr>
        <w:t xml:space="preserve">, from this model are unbiased if, in the absence of an intervention, the RVA positive cases </w:t>
      </w:r>
      <w:proofErr w:type="gramStart"/>
      <w:r>
        <w:rPr>
          <w:rFonts w:ascii="Book Antiqua" w:hAnsi="Book Antiqua"/>
        </w:rPr>
        <w:t>and  RVA</w:t>
      </w:r>
      <w:proofErr w:type="gramEnd"/>
      <w:r>
        <w:rPr>
          <w:rFonts w:ascii="Book Antiqua" w:hAnsi="Book Antiqua"/>
        </w:rPr>
        <w:t xml:space="preserve"> negative cases share a common trend. </w:t>
      </w:r>
    </w:p>
    <w:p w:rsidR="00C828B2" w:rsidRDefault="00B46AFA"/>
    <w:sectPr w:rsidR="00C828B2" w:rsidSect="004834F6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A91"/>
    <w:rsid w:val="00001F64"/>
    <w:rsid w:val="003C2051"/>
    <w:rsid w:val="004834F6"/>
    <w:rsid w:val="00512DD0"/>
    <w:rsid w:val="007A4A91"/>
    <w:rsid w:val="00AA512F"/>
    <w:rsid w:val="00B4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2B575-5467-4E3A-B1E0-5EF14A91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2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D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GPOtieno</dc:creator>
  <cp:keywords/>
  <dc:description/>
  <cp:lastModifiedBy>GPOtieno</cp:lastModifiedBy>
  <cp:revision>4</cp:revision>
  <dcterms:created xsi:type="dcterms:W3CDTF">2019-07-20T16:36:00Z</dcterms:created>
  <dcterms:modified xsi:type="dcterms:W3CDTF">2019-07-20T19:58:00Z</dcterms:modified>
</cp:coreProperties>
</file>