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59" w:rsidRPr="00570575" w:rsidRDefault="00FE3959" w:rsidP="006844C8">
      <w:pPr>
        <w:spacing w:line="240" w:lineRule="auto"/>
        <w:contextualSpacing/>
        <w:rPr>
          <w:rFonts w:cstheme="minorHAnsi"/>
          <w:b/>
        </w:rPr>
      </w:pPr>
      <w:r w:rsidRPr="00570575">
        <w:rPr>
          <w:rFonts w:cstheme="minorHAnsi"/>
          <w:b/>
        </w:rPr>
        <w:t xml:space="preserve">Data 1. </w:t>
      </w:r>
      <w:r w:rsidR="00184736">
        <w:rPr>
          <w:rFonts w:cstheme="minorHAnsi"/>
          <w:b/>
        </w:rPr>
        <w:t>P</w:t>
      </w:r>
      <w:r w:rsidRPr="00570575">
        <w:rPr>
          <w:rFonts w:cstheme="minorHAnsi"/>
          <w:b/>
        </w:rPr>
        <w:t xml:space="preserve">atients with invasive non-typhoidal </w:t>
      </w:r>
      <w:r w:rsidRPr="00570575">
        <w:rPr>
          <w:rFonts w:cstheme="minorHAnsi"/>
          <w:b/>
          <w:i/>
        </w:rPr>
        <w:t>Salmonella</w:t>
      </w:r>
      <w:r w:rsidRPr="00570575">
        <w:rPr>
          <w:rFonts w:cstheme="minorHAnsi"/>
          <w:b/>
        </w:rPr>
        <w:t xml:space="preserve"> infections among malaria vaccine trial participants during 2009–2013, Siaya county, Kenya.</w:t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37"/>
        <w:gridCol w:w="1440"/>
        <w:gridCol w:w="1080"/>
        <w:gridCol w:w="1890"/>
      </w:tblGrid>
      <w:tr w:rsidR="00570575" w:rsidRPr="00570575" w:rsidTr="00570575">
        <w:trPr>
          <w:trHeight w:val="610"/>
        </w:trPr>
        <w:tc>
          <w:tcPr>
            <w:tcW w:w="2808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570575" w:rsidRPr="00570575" w:rsidRDefault="00184736" w:rsidP="006844C8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Variable</w:t>
            </w:r>
          </w:p>
        </w:tc>
        <w:tc>
          <w:tcPr>
            <w:tcW w:w="5647" w:type="dxa"/>
            <w:gridSpan w:val="4"/>
            <w:shd w:val="clear" w:color="000000" w:fill="BFBFB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70575">
              <w:rPr>
                <w:rFonts w:eastAsia="Times New Roman" w:cstheme="minorHAnsi"/>
                <w:b/>
                <w:color w:val="000000"/>
              </w:rPr>
              <w:t xml:space="preserve">Invasive non-typhoidal </w:t>
            </w:r>
            <w:r w:rsidRPr="00570575">
              <w:rPr>
                <w:rFonts w:eastAsia="Times New Roman" w:cstheme="minorHAnsi"/>
                <w:b/>
                <w:i/>
                <w:iCs/>
                <w:color w:val="000000"/>
              </w:rPr>
              <w:t>Salmonella</w:t>
            </w:r>
          </w:p>
        </w:tc>
      </w:tr>
      <w:tr w:rsidR="00570575" w:rsidRPr="00570575" w:rsidTr="00570575">
        <w:trPr>
          <w:trHeight w:val="1116"/>
        </w:trPr>
        <w:tc>
          <w:tcPr>
            <w:tcW w:w="2808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77" w:type="dxa"/>
            <w:gridSpan w:val="2"/>
            <w:shd w:val="clear" w:color="000000" w:fill="BFBFB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70575">
              <w:rPr>
                <w:rFonts w:eastAsia="Times New Roman" w:cstheme="minorHAnsi"/>
                <w:b/>
                <w:color w:val="000000"/>
              </w:rPr>
              <w:t>Ceftriaxone-resistant</w:t>
            </w:r>
          </w:p>
          <w:p w:rsidR="00570575" w:rsidRPr="00570575" w:rsidRDefault="00570575" w:rsidP="006844C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70575">
              <w:rPr>
                <w:rFonts w:eastAsia="Times New Roman" w:cstheme="minorHAnsi"/>
                <w:b/>
                <w:bCs/>
              </w:rPr>
              <w:t>N=</w:t>
            </w:r>
            <w:r w:rsidRPr="00570575">
              <w:rPr>
                <w:rFonts w:eastAsia="Times New Roman" w:cstheme="minorHAnsi"/>
                <w:b/>
                <w:color w:val="000000"/>
              </w:rPr>
              <w:t>16</w:t>
            </w:r>
          </w:p>
        </w:tc>
        <w:tc>
          <w:tcPr>
            <w:tcW w:w="2970" w:type="dxa"/>
            <w:gridSpan w:val="2"/>
            <w:shd w:val="clear" w:color="000000" w:fill="BFBFB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70575">
              <w:rPr>
                <w:rFonts w:eastAsia="Times New Roman" w:cstheme="minorHAnsi"/>
                <w:b/>
                <w:color w:val="000000"/>
              </w:rPr>
              <w:t>Ceftriaxone-susceptible</w:t>
            </w:r>
          </w:p>
          <w:p w:rsidR="00570575" w:rsidRPr="00570575" w:rsidRDefault="00570575" w:rsidP="006844C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70575">
              <w:rPr>
                <w:rFonts w:eastAsia="Times New Roman" w:cstheme="minorHAnsi"/>
                <w:b/>
                <w:bCs/>
              </w:rPr>
              <w:t>N=</w:t>
            </w:r>
            <w:r w:rsidRPr="00570575">
              <w:rPr>
                <w:rFonts w:eastAsia="Times New Roman" w:cstheme="minorHAnsi"/>
                <w:b/>
                <w:color w:val="000000"/>
              </w:rPr>
              <w:t>74</w:t>
            </w:r>
          </w:p>
        </w:tc>
      </w:tr>
      <w:tr w:rsidR="00570575" w:rsidRPr="00570575" w:rsidTr="00570575">
        <w:trPr>
          <w:trHeight w:val="372"/>
        </w:trPr>
        <w:tc>
          <w:tcPr>
            <w:tcW w:w="2808" w:type="dxa"/>
            <w:shd w:val="clear" w:color="auto" w:fill="auto"/>
            <w:vAlign w:val="center"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</w:rPr>
            </w:pPr>
            <w:r w:rsidRPr="00570575">
              <w:rPr>
                <w:rFonts w:eastAsia="Times New Roman" w:cstheme="minorHAnsi"/>
                <w:bCs/>
                <w:color w:val="000000"/>
              </w:rPr>
              <w:t>Age in months median (range)</w:t>
            </w:r>
            <w:r w:rsidRPr="00570575">
              <w:rPr>
                <w:rFonts w:eastAsia="Times New Roman" w:cstheme="minorHAnsi"/>
                <w:bCs/>
                <w:color w:val="000000"/>
                <w:vertAlign w:val="superscript"/>
              </w:rPr>
              <w:t>ⱡ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(4–53)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(2–47)</w:t>
            </w:r>
          </w:p>
        </w:tc>
      </w:tr>
      <w:tr w:rsidR="00570575" w:rsidRPr="00570575" w:rsidTr="00570575">
        <w:trPr>
          <w:trHeight w:val="372"/>
        </w:trPr>
        <w:tc>
          <w:tcPr>
            <w:tcW w:w="2808" w:type="dxa"/>
            <w:shd w:val="clear" w:color="auto" w:fill="auto"/>
            <w:vAlign w:val="center"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</w:rPr>
            </w:pPr>
            <w:r w:rsidRPr="00570575">
              <w:rPr>
                <w:rFonts w:eastAsia="Times New Roman" w:cstheme="minorHAnsi"/>
                <w:bCs/>
                <w:color w:val="000000"/>
              </w:rPr>
              <w:t>Male gender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(3</w:t>
            </w:r>
            <w:r w:rsidR="004E2FEE">
              <w:rPr>
                <w:rFonts w:eastAsia="Times New Roman" w:cstheme="minorHAnsi"/>
                <w:color w:val="000000"/>
              </w:rPr>
              <w:t>8</w:t>
            </w:r>
            <w:r w:rsidRPr="00570575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(47%)</w:t>
            </w:r>
          </w:p>
        </w:tc>
      </w:tr>
      <w:tr w:rsidR="00570575" w:rsidRPr="00570575" w:rsidTr="00570575">
        <w:trPr>
          <w:trHeight w:val="372"/>
        </w:trPr>
        <w:tc>
          <w:tcPr>
            <w:tcW w:w="2808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HIV positive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(1</w:t>
            </w:r>
            <w:r w:rsidR="004E2FEE">
              <w:rPr>
                <w:rFonts w:eastAsia="Times New Roman" w:cstheme="minorHAnsi"/>
                <w:color w:val="000000"/>
              </w:rPr>
              <w:t>3</w:t>
            </w:r>
            <w:r w:rsidRPr="00570575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(10%)</w:t>
            </w:r>
          </w:p>
        </w:tc>
      </w:tr>
      <w:tr w:rsidR="00570575" w:rsidRPr="00570575" w:rsidTr="00570575">
        <w:trPr>
          <w:trHeight w:val="372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Has HIV-positive mother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(56%)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(2</w:t>
            </w:r>
            <w:r w:rsidR="004E2FEE">
              <w:rPr>
                <w:rFonts w:eastAsia="Times New Roman" w:cstheme="minorHAnsi"/>
                <w:color w:val="000000"/>
              </w:rPr>
              <w:t>6</w:t>
            </w:r>
            <w:r w:rsidRPr="00570575">
              <w:rPr>
                <w:rFonts w:eastAsia="Times New Roman" w:cstheme="minorHAnsi"/>
                <w:color w:val="000000"/>
              </w:rPr>
              <w:t>%)</w:t>
            </w:r>
          </w:p>
        </w:tc>
      </w:tr>
      <w:tr w:rsidR="00570575" w:rsidRPr="00570575" w:rsidTr="00570575">
        <w:trPr>
          <w:trHeight w:val="372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Has malaria at the time of invasive non-typhoidal </w:t>
            </w:r>
            <w:r w:rsidRPr="00570575">
              <w:rPr>
                <w:rFonts w:eastAsia="Times New Roman" w:cstheme="minorHAnsi"/>
                <w:i/>
                <w:color w:val="000000"/>
              </w:rPr>
              <w:t>Salmonella</w:t>
            </w:r>
            <w:r w:rsidRPr="00570575">
              <w:rPr>
                <w:rFonts w:eastAsia="Times New Roman" w:cstheme="minorHAnsi"/>
                <w:color w:val="000000"/>
              </w:rPr>
              <w:t xml:space="preserve"> disease diagnosis</w:t>
            </w:r>
          </w:p>
        </w:tc>
        <w:tc>
          <w:tcPr>
            <w:tcW w:w="1237" w:type="dxa"/>
            <w:shd w:val="clear" w:color="000000" w:fill="FFFFFF" w:themeFill="background1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570575">
              <w:rPr>
                <w:rFonts w:eastAsia="Times New Roman" w:cstheme="minorHAnsi"/>
              </w:rPr>
              <w:t>8</w:t>
            </w:r>
          </w:p>
        </w:tc>
        <w:tc>
          <w:tcPr>
            <w:tcW w:w="1440" w:type="dxa"/>
            <w:shd w:val="clear" w:color="000000" w:fill="FFFFFF" w:themeFill="background1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570575">
              <w:rPr>
                <w:rFonts w:eastAsia="Times New Roman" w:cstheme="minorHAnsi"/>
              </w:rPr>
              <w:t>(50%)</w:t>
            </w:r>
          </w:p>
        </w:tc>
        <w:tc>
          <w:tcPr>
            <w:tcW w:w="1080" w:type="dxa"/>
            <w:shd w:val="clear" w:color="000000" w:fill="FFFFFF" w:themeFill="background1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570575">
              <w:rPr>
                <w:rFonts w:eastAsia="Times New Roman" w:cstheme="minorHAnsi"/>
              </w:rPr>
              <w:t>37</w:t>
            </w:r>
          </w:p>
        </w:tc>
        <w:tc>
          <w:tcPr>
            <w:tcW w:w="1890" w:type="dxa"/>
            <w:shd w:val="clear" w:color="000000" w:fill="FFFFFF" w:themeFill="background1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570575">
              <w:rPr>
                <w:rFonts w:eastAsia="Times New Roman" w:cstheme="minorHAnsi"/>
              </w:rPr>
              <w:t>(50%)</w:t>
            </w:r>
          </w:p>
        </w:tc>
      </w:tr>
      <w:tr w:rsidR="00570575" w:rsidRPr="00570575" w:rsidTr="00570575">
        <w:trPr>
          <w:trHeight w:val="372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Had malaria within 2 weeks before invasive NTS disease diagnosis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(6</w:t>
            </w:r>
            <w:r w:rsidR="004E2FEE">
              <w:rPr>
                <w:rFonts w:eastAsia="Times New Roman" w:cstheme="minorHAnsi"/>
                <w:color w:val="000000"/>
              </w:rPr>
              <w:t>3</w:t>
            </w:r>
            <w:r w:rsidRPr="00570575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(62%)</w:t>
            </w:r>
          </w:p>
        </w:tc>
      </w:tr>
      <w:tr w:rsidR="00570575" w:rsidRPr="00570575" w:rsidTr="00570575">
        <w:trPr>
          <w:trHeight w:val="372"/>
        </w:trPr>
        <w:tc>
          <w:tcPr>
            <w:tcW w:w="2808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Died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(0%)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(4%)</w:t>
            </w:r>
          </w:p>
        </w:tc>
      </w:tr>
    </w:tbl>
    <w:p w:rsidR="00FE3959" w:rsidRPr="00570575" w:rsidRDefault="00FE3959" w:rsidP="006844C8">
      <w:pPr>
        <w:spacing w:after="0" w:line="240" w:lineRule="auto"/>
        <w:contextualSpacing/>
        <w:rPr>
          <w:rFonts w:cstheme="minorHAnsi"/>
        </w:rPr>
      </w:pPr>
      <w:r w:rsidRPr="00570575">
        <w:rPr>
          <w:rFonts w:eastAsia="Times New Roman" w:cstheme="minorHAnsi"/>
          <w:bCs/>
          <w:color w:val="000000"/>
          <w:vertAlign w:val="superscript"/>
        </w:rPr>
        <w:t>ⱡ</w:t>
      </w:r>
      <w:r w:rsidRPr="00570575">
        <w:rPr>
          <w:rFonts w:cstheme="minorHAnsi"/>
        </w:rPr>
        <w:t>The older age of ceftriaxone-resistant patients was related to the longitudinal nature of the study, and the emergence of resistance relatively late in the study</w:t>
      </w:r>
    </w:p>
    <w:p w:rsidR="00FE3959" w:rsidRPr="00570575" w:rsidRDefault="00FE3959" w:rsidP="006844C8">
      <w:pPr>
        <w:spacing w:after="0" w:line="240" w:lineRule="auto"/>
        <w:contextualSpacing/>
        <w:rPr>
          <w:rFonts w:cstheme="minorHAnsi"/>
        </w:rPr>
      </w:pPr>
      <w:r w:rsidRPr="00570575">
        <w:rPr>
          <w:rFonts w:cstheme="minorHAnsi"/>
          <w:vertAlign w:val="superscript"/>
        </w:rPr>
        <w:t>#</w:t>
      </w:r>
      <w:r w:rsidRPr="00570575">
        <w:rPr>
          <w:rFonts w:cstheme="minorHAnsi"/>
        </w:rPr>
        <w:t>Missing data were excluded from the analyses</w:t>
      </w:r>
    </w:p>
    <w:p w:rsidR="00FE3959" w:rsidRPr="00570575" w:rsidRDefault="00FE3959" w:rsidP="006844C8">
      <w:pPr>
        <w:spacing w:line="240" w:lineRule="auto"/>
        <w:contextualSpacing/>
        <w:rPr>
          <w:rFonts w:cstheme="minorHAnsi"/>
          <w:b/>
        </w:rPr>
      </w:pPr>
      <w:bookmarkStart w:id="0" w:name="_Hlk23448874"/>
    </w:p>
    <w:p w:rsidR="00FE3959" w:rsidRPr="00570575" w:rsidRDefault="00FE3959" w:rsidP="006844C8">
      <w:pPr>
        <w:spacing w:line="240" w:lineRule="auto"/>
        <w:contextualSpacing/>
        <w:rPr>
          <w:rFonts w:cstheme="minorHAnsi"/>
          <w:b/>
        </w:rPr>
      </w:pPr>
      <w:r w:rsidRPr="00570575">
        <w:rPr>
          <w:rFonts w:cstheme="minorHAnsi"/>
          <w:b/>
        </w:rPr>
        <w:t xml:space="preserve">Data 2. </w:t>
      </w:r>
      <w:r w:rsidR="00184736">
        <w:rPr>
          <w:rFonts w:cstheme="minorHAnsi"/>
          <w:b/>
        </w:rPr>
        <w:t>P</w:t>
      </w:r>
      <w:r w:rsidRPr="00570575">
        <w:rPr>
          <w:rFonts w:cstheme="minorHAnsi"/>
          <w:b/>
        </w:rPr>
        <w:t xml:space="preserve">atients with invasive non-typhoidal </w:t>
      </w:r>
      <w:r w:rsidRPr="00570575">
        <w:rPr>
          <w:rFonts w:cstheme="minorHAnsi"/>
          <w:b/>
          <w:i/>
        </w:rPr>
        <w:t>Salmonella</w:t>
      </w:r>
      <w:r w:rsidRPr="00570575">
        <w:rPr>
          <w:rFonts w:cstheme="minorHAnsi"/>
          <w:b/>
        </w:rPr>
        <w:t xml:space="preserve"> infections among central nervous system infection study participants during 2012–2013, Siaya county, Kenya.</w:t>
      </w:r>
      <w:bookmarkEnd w:id="0"/>
    </w:p>
    <w:tbl>
      <w:tblPr>
        <w:tblpPr w:leftFromText="180" w:rightFromText="180" w:vertAnchor="text" w:tblpY="1"/>
        <w:tblOverlap w:val="never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938"/>
        <w:gridCol w:w="1739"/>
        <w:gridCol w:w="1080"/>
        <w:gridCol w:w="2160"/>
      </w:tblGrid>
      <w:tr w:rsidR="00570575" w:rsidRPr="00570575" w:rsidTr="00570575">
        <w:trPr>
          <w:trHeight w:val="610"/>
        </w:trPr>
        <w:tc>
          <w:tcPr>
            <w:tcW w:w="2808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570575" w:rsidRPr="00570575" w:rsidRDefault="00184736" w:rsidP="006844C8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Variable</w:t>
            </w:r>
          </w:p>
        </w:tc>
        <w:tc>
          <w:tcPr>
            <w:tcW w:w="5917" w:type="dxa"/>
            <w:gridSpan w:val="4"/>
            <w:shd w:val="clear" w:color="000000" w:fill="BFBFB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70575">
              <w:rPr>
                <w:rFonts w:eastAsia="Times New Roman" w:cstheme="minorHAnsi"/>
                <w:b/>
                <w:color w:val="000000"/>
              </w:rPr>
              <w:t xml:space="preserve">Invasive non-typhoidal </w:t>
            </w:r>
            <w:r w:rsidRPr="00570575">
              <w:rPr>
                <w:rFonts w:eastAsia="Times New Roman" w:cstheme="minorHAnsi"/>
                <w:b/>
                <w:i/>
                <w:iCs/>
                <w:color w:val="000000"/>
              </w:rPr>
              <w:t>Salmonella</w:t>
            </w:r>
          </w:p>
        </w:tc>
      </w:tr>
      <w:tr w:rsidR="00570575" w:rsidRPr="00570575" w:rsidTr="00570575">
        <w:trPr>
          <w:trHeight w:val="1116"/>
        </w:trPr>
        <w:tc>
          <w:tcPr>
            <w:tcW w:w="2808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77" w:type="dxa"/>
            <w:gridSpan w:val="2"/>
            <w:shd w:val="clear" w:color="000000" w:fill="BFBFB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70575">
              <w:rPr>
                <w:rFonts w:eastAsia="Times New Roman" w:cstheme="minorHAnsi"/>
                <w:b/>
                <w:color w:val="000000"/>
              </w:rPr>
              <w:t>Ceftriaxone-resistant</w:t>
            </w:r>
          </w:p>
          <w:p w:rsidR="00570575" w:rsidRPr="00570575" w:rsidRDefault="00570575" w:rsidP="006844C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70575">
              <w:rPr>
                <w:rFonts w:eastAsia="Times New Roman" w:cstheme="minorHAnsi"/>
                <w:b/>
                <w:bCs/>
              </w:rPr>
              <w:t>N=</w:t>
            </w:r>
            <w:r w:rsidRPr="00570575">
              <w:rPr>
                <w:rFonts w:eastAsia="Times New Roman" w:cstheme="minorHAnsi"/>
                <w:b/>
                <w:color w:val="000000"/>
              </w:rPr>
              <w:t>16</w:t>
            </w:r>
          </w:p>
        </w:tc>
        <w:tc>
          <w:tcPr>
            <w:tcW w:w="3240" w:type="dxa"/>
            <w:gridSpan w:val="2"/>
            <w:shd w:val="clear" w:color="000000" w:fill="BFBFB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70575">
              <w:rPr>
                <w:rFonts w:eastAsia="Times New Roman" w:cstheme="minorHAnsi"/>
                <w:b/>
                <w:color w:val="000000"/>
              </w:rPr>
              <w:t>Ceftriaxone-susceptible</w:t>
            </w:r>
          </w:p>
          <w:p w:rsidR="00570575" w:rsidRPr="00570575" w:rsidRDefault="00570575" w:rsidP="006844C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70575">
              <w:rPr>
                <w:rFonts w:eastAsia="Times New Roman" w:cstheme="minorHAnsi"/>
                <w:b/>
                <w:bCs/>
              </w:rPr>
              <w:t>N=</w:t>
            </w:r>
            <w:r w:rsidRPr="00570575">
              <w:rPr>
                <w:rFonts w:eastAsia="Times New Roman" w:cstheme="minorHAnsi"/>
                <w:b/>
                <w:color w:val="000000"/>
              </w:rPr>
              <w:t>74</w:t>
            </w:r>
          </w:p>
        </w:tc>
      </w:tr>
      <w:tr w:rsidR="00570575" w:rsidRPr="00570575" w:rsidTr="00570575">
        <w:trPr>
          <w:trHeight w:val="372"/>
        </w:trPr>
        <w:tc>
          <w:tcPr>
            <w:tcW w:w="2808" w:type="dxa"/>
            <w:shd w:val="clear" w:color="auto" w:fill="auto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cstheme="minorHAnsi"/>
              </w:rPr>
              <w:t>Age in months, median (range)</w:t>
            </w:r>
          </w:p>
        </w:tc>
        <w:tc>
          <w:tcPr>
            <w:tcW w:w="938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739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cstheme="minorHAnsi"/>
                <w:color w:val="000000"/>
              </w:rPr>
              <w:t>(3-62)</w:t>
            </w:r>
          </w:p>
        </w:tc>
        <w:tc>
          <w:tcPr>
            <w:tcW w:w="1080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2160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(2–28)</w:t>
            </w:r>
          </w:p>
        </w:tc>
      </w:tr>
      <w:tr w:rsidR="00570575" w:rsidRPr="00570575" w:rsidTr="00570575">
        <w:trPr>
          <w:trHeight w:val="372"/>
        </w:trPr>
        <w:tc>
          <w:tcPr>
            <w:tcW w:w="2808" w:type="dxa"/>
            <w:shd w:val="clear" w:color="auto" w:fill="auto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cstheme="minorHAnsi"/>
              </w:rPr>
              <w:t>Male gender</w:t>
            </w:r>
          </w:p>
        </w:tc>
        <w:tc>
          <w:tcPr>
            <w:tcW w:w="938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739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cstheme="minorHAnsi"/>
                <w:color w:val="000000"/>
              </w:rPr>
              <w:t>(63</w:t>
            </w:r>
            <w:r>
              <w:rPr>
                <w:rFonts w:cstheme="minorHAnsi"/>
                <w:color w:val="000000"/>
              </w:rPr>
              <w:t>%</w:t>
            </w:r>
            <w:r w:rsidRPr="00570575">
              <w:rPr>
                <w:rFonts w:cstheme="minorHAnsi"/>
                <w:color w:val="000000"/>
              </w:rPr>
              <w:t>)</w:t>
            </w:r>
          </w:p>
        </w:tc>
        <w:tc>
          <w:tcPr>
            <w:tcW w:w="1080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0/2</w:t>
            </w:r>
          </w:p>
        </w:tc>
        <w:tc>
          <w:tcPr>
            <w:tcW w:w="2160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(0)</w:t>
            </w:r>
          </w:p>
        </w:tc>
      </w:tr>
      <w:tr w:rsidR="00570575" w:rsidRPr="00570575" w:rsidTr="00570575">
        <w:trPr>
          <w:trHeight w:val="372"/>
        </w:trPr>
        <w:tc>
          <w:tcPr>
            <w:tcW w:w="2808" w:type="dxa"/>
            <w:shd w:val="clear" w:color="auto" w:fill="auto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Seeking healthcare because child is sick</w:t>
            </w:r>
            <w:r w:rsidR="00184736">
              <w:rPr>
                <w:rFonts w:cstheme="minorHAnsi"/>
              </w:rPr>
              <w:t xml:space="preserve"> (vs. retuning for </w:t>
            </w:r>
            <w:proofErr w:type="spellStart"/>
            <w:r w:rsidR="00184736">
              <w:rPr>
                <w:rFonts w:cstheme="minorHAnsi"/>
              </w:rPr>
              <w:t>for</w:t>
            </w:r>
            <w:proofErr w:type="spellEnd"/>
            <w:r w:rsidR="00184736">
              <w:rPr>
                <w:rFonts w:cstheme="minorHAnsi"/>
              </w:rPr>
              <w:t xml:space="preserve"> Tx, immunization etc.)</w:t>
            </w:r>
          </w:p>
        </w:tc>
        <w:tc>
          <w:tcPr>
            <w:tcW w:w="938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739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(73%)</w:t>
            </w:r>
          </w:p>
        </w:tc>
        <w:tc>
          <w:tcPr>
            <w:tcW w:w="1080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1/2</w:t>
            </w:r>
          </w:p>
        </w:tc>
        <w:tc>
          <w:tcPr>
            <w:tcW w:w="2160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(50%)</w:t>
            </w:r>
          </w:p>
        </w:tc>
      </w:tr>
      <w:tr w:rsidR="00570575" w:rsidRPr="00570575" w:rsidTr="00570575">
        <w:trPr>
          <w:trHeight w:val="372"/>
        </w:trPr>
        <w:tc>
          <w:tcPr>
            <w:tcW w:w="2808" w:type="dxa"/>
            <w:shd w:val="clear" w:color="auto" w:fill="auto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bCs/>
                <w:color w:val="000000"/>
              </w:rPr>
              <w:t>Took antibiotics before arriving to hospital</w:t>
            </w:r>
            <w:r w:rsidRPr="00570575">
              <w:rPr>
                <w:rFonts w:eastAsia="Times New Roman" w:cstheme="minorHAnsi"/>
                <w:bCs/>
                <w:color w:val="000000"/>
                <w:vertAlign w:val="superscript"/>
              </w:rPr>
              <w:t>#</w:t>
            </w:r>
          </w:p>
        </w:tc>
        <w:tc>
          <w:tcPr>
            <w:tcW w:w="938" w:type="dxa"/>
            <w:shd w:val="clear" w:color="auto" w:fill="auto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570575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739" w:type="dxa"/>
            <w:shd w:val="clear" w:color="auto" w:fill="auto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</w:rPr>
            </w:pPr>
            <w:r w:rsidRPr="00570575">
              <w:rPr>
                <w:rFonts w:cstheme="minorHAnsi"/>
                <w:color w:val="000000"/>
              </w:rPr>
              <w:t>(56</w:t>
            </w:r>
            <w:r>
              <w:rPr>
                <w:rFonts w:cstheme="minorHAnsi"/>
                <w:color w:val="000000"/>
              </w:rPr>
              <w:t>%</w:t>
            </w:r>
            <w:r w:rsidRPr="00570575">
              <w:rPr>
                <w:rFonts w:cstheme="minorHAnsi"/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57057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160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</w:rPr>
            </w:pPr>
            <w:r w:rsidRPr="00570575">
              <w:rPr>
                <w:rFonts w:eastAsia="Times New Roman" w:cstheme="minorHAnsi"/>
                <w:color w:val="000000"/>
              </w:rPr>
              <w:t>(100</w:t>
            </w:r>
            <w:r>
              <w:rPr>
                <w:rFonts w:eastAsia="Times New Roman" w:cstheme="minorHAnsi"/>
                <w:color w:val="000000"/>
              </w:rPr>
              <w:t>%</w:t>
            </w:r>
            <w:r w:rsidRPr="00570575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570575" w:rsidRPr="00570575" w:rsidTr="00570575">
        <w:trPr>
          <w:trHeight w:val="372"/>
        </w:trPr>
        <w:tc>
          <w:tcPr>
            <w:tcW w:w="2808" w:type="dxa"/>
            <w:shd w:val="clear" w:color="auto" w:fill="auto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Sought healthcare before arriving to this hospital</w:t>
            </w:r>
          </w:p>
        </w:tc>
        <w:tc>
          <w:tcPr>
            <w:tcW w:w="938" w:type="dxa"/>
            <w:shd w:val="clear" w:color="auto" w:fill="auto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739" w:type="dxa"/>
            <w:shd w:val="clear" w:color="auto" w:fill="auto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(72%)</w:t>
            </w:r>
          </w:p>
        </w:tc>
        <w:tc>
          <w:tcPr>
            <w:tcW w:w="1080" w:type="dxa"/>
            <w:shd w:val="clear" w:color="auto" w:fill="auto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(100%)</w:t>
            </w:r>
          </w:p>
        </w:tc>
      </w:tr>
      <w:tr w:rsidR="00570575" w:rsidRPr="00570575" w:rsidTr="00570575">
        <w:trPr>
          <w:trHeight w:val="372"/>
        </w:trPr>
        <w:tc>
          <w:tcPr>
            <w:tcW w:w="2808" w:type="dxa"/>
            <w:shd w:val="clear" w:color="auto" w:fill="auto"/>
            <w:noWrap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bCs/>
                <w:color w:val="000000"/>
              </w:rPr>
              <w:t>Fever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938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739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cstheme="minorHAnsi"/>
                <w:color w:val="000000"/>
              </w:rPr>
              <w:t>(88</w:t>
            </w:r>
            <w:r>
              <w:rPr>
                <w:rFonts w:cstheme="minorHAnsi"/>
                <w:color w:val="000000"/>
              </w:rPr>
              <w:t>%</w:t>
            </w:r>
            <w:r w:rsidRPr="00570575">
              <w:rPr>
                <w:rFonts w:cstheme="minorHAnsi"/>
                <w:color w:val="000000"/>
              </w:rPr>
              <w:t>)</w:t>
            </w:r>
          </w:p>
        </w:tc>
        <w:tc>
          <w:tcPr>
            <w:tcW w:w="1080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(100</w:t>
            </w:r>
            <w:r>
              <w:rPr>
                <w:rFonts w:eastAsia="Times New Roman" w:cstheme="minorHAnsi"/>
                <w:color w:val="000000"/>
              </w:rPr>
              <w:t>%</w:t>
            </w:r>
            <w:r w:rsidRPr="00570575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570575" w:rsidRPr="00570575" w:rsidTr="00570575">
        <w:trPr>
          <w:trHeight w:val="372"/>
        </w:trPr>
        <w:tc>
          <w:tcPr>
            <w:tcW w:w="2808" w:type="dxa"/>
            <w:shd w:val="clear" w:color="auto" w:fill="auto"/>
            <w:noWrap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bCs/>
                <w:color w:val="000000"/>
              </w:rPr>
              <w:t>Temperature in Celsius, median (range)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 xml:space="preserve"> #</w:t>
            </w:r>
          </w:p>
        </w:tc>
        <w:tc>
          <w:tcPr>
            <w:tcW w:w="938" w:type="dxa"/>
            <w:shd w:val="clear" w:color="000000" w:fill="FFFFFF" w:themeFill="background1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1739" w:type="dxa"/>
            <w:shd w:val="clear" w:color="000000" w:fill="FFFFFF" w:themeFill="background1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cstheme="minorHAnsi"/>
                <w:color w:val="000000"/>
              </w:rPr>
              <w:t>(36–40)</w:t>
            </w:r>
          </w:p>
        </w:tc>
        <w:tc>
          <w:tcPr>
            <w:tcW w:w="1080" w:type="dxa"/>
            <w:shd w:val="clear" w:color="000000" w:fill="FFFFFF" w:themeFill="background1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2160" w:type="dxa"/>
            <w:shd w:val="clear" w:color="000000" w:fill="FFFFFF" w:themeFill="background1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(39–39)</w:t>
            </w:r>
          </w:p>
        </w:tc>
      </w:tr>
      <w:tr w:rsidR="00570575" w:rsidRPr="00570575" w:rsidTr="00570575">
        <w:trPr>
          <w:trHeight w:val="372"/>
        </w:trPr>
        <w:tc>
          <w:tcPr>
            <w:tcW w:w="2808" w:type="dxa"/>
            <w:shd w:val="clear" w:color="auto" w:fill="auto"/>
            <w:noWrap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bCs/>
                <w:color w:val="000000"/>
              </w:rPr>
              <w:t>Stiff neck</w:t>
            </w:r>
            <w:r w:rsidRPr="00570575">
              <w:rPr>
                <w:rFonts w:eastAsia="Times New Roman" w:cstheme="minorHAnsi"/>
                <w:bCs/>
                <w:color w:val="000000"/>
                <w:vertAlign w:val="superscript"/>
              </w:rPr>
              <w:t>#</w:t>
            </w:r>
          </w:p>
        </w:tc>
        <w:tc>
          <w:tcPr>
            <w:tcW w:w="938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739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cstheme="minorHAnsi"/>
                <w:color w:val="000000"/>
              </w:rPr>
              <w:t>(47</w:t>
            </w:r>
            <w:r>
              <w:rPr>
                <w:rFonts w:cstheme="minorHAnsi"/>
                <w:color w:val="000000"/>
              </w:rPr>
              <w:t>%</w:t>
            </w:r>
            <w:r w:rsidRPr="00570575">
              <w:rPr>
                <w:rFonts w:cstheme="minorHAnsi"/>
                <w:color w:val="000000"/>
              </w:rPr>
              <w:t>)</w:t>
            </w:r>
          </w:p>
        </w:tc>
        <w:tc>
          <w:tcPr>
            <w:tcW w:w="1080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160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(50</w:t>
            </w:r>
            <w:r>
              <w:rPr>
                <w:rFonts w:eastAsia="Times New Roman" w:cstheme="minorHAnsi"/>
                <w:color w:val="000000"/>
              </w:rPr>
              <w:t>%</w:t>
            </w:r>
            <w:r w:rsidRPr="00570575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570575" w:rsidRPr="00570575" w:rsidTr="00570575">
        <w:trPr>
          <w:trHeight w:val="372"/>
        </w:trPr>
        <w:tc>
          <w:tcPr>
            <w:tcW w:w="2808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bCs/>
                <w:color w:val="000000"/>
              </w:rPr>
              <w:lastRenderedPageBreak/>
              <w:t>Diarrhea</w:t>
            </w:r>
            <w:r w:rsidRPr="00570575">
              <w:rPr>
                <w:rFonts w:eastAsia="Times New Roman" w:cstheme="minorHAnsi"/>
                <w:bCs/>
                <w:color w:val="000000"/>
                <w:vertAlign w:val="superscript"/>
              </w:rPr>
              <w:t>#</w:t>
            </w:r>
          </w:p>
        </w:tc>
        <w:tc>
          <w:tcPr>
            <w:tcW w:w="938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739" w:type="dxa"/>
            <w:shd w:val="clear" w:color="auto" w:fill="auto"/>
            <w:noWrap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cstheme="minorHAnsi"/>
                <w:color w:val="000000"/>
              </w:rPr>
              <w:t>(43</w:t>
            </w:r>
            <w:r>
              <w:rPr>
                <w:rFonts w:cstheme="minorHAnsi"/>
                <w:color w:val="000000"/>
              </w:rPr>
              <w:t>%</w:t>
            </w:r>
            <w:r w:rsidRPr="00570575">
              <w:rPr>
                <w:rFonts w:cstheme="minorHAnsi"/>
                <w:color w:val="000000"/>
              </w:rPr>
              <w:t>)</w:t>
            </w:r>
          </w:p>
        </w:tc>
        <w:tc>
          <w:tcPr>
            <w:tcW w:w="1080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570575" w:rsidRPr="00570575" w:rsidRDefault="00570575" w:rsidP="006844C8">
            <w:pPr>
              <w:spacing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(100</w:t>
            </w:r>
            <w:r>
              <w:rPr>
                <w:rFonts w:eastAsia="Times New Roman" w:cstheme="minorHAnsi"/>
                <w:color w:val="000000"/>
              </w:rPr>
              <w:t>%</w:t>
            </w:r>
            <w:r w:rsidRPr="00570575">
              <w:rPr>
                <w:rFonts w:eastAsia="Times New Roman" w:cstheme="minorHAnsi"/>
                <w:color w:val="000000"/>
              </w:rPr>
              <w:t>)</w:t>
            </w:r>
          </w:p>
        </w:tc>
      </w:tr>
    </w:tbl>
    <w:p w:rsidR="00124D20" w:rsidRPr="00570575" w:rsidRDefault="00570575" w:rsidP="006844C8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vertAlign w:val="superscript"/>
        </w:rPr>
        <w:br w:type="textWrapping" w:clear="all"/>
      </w:r>
      <w:r w:rsidR="00124D20" w:rsidRPr="00570575">
        <w:rPr>
          <w:rFonts w:cstheme="minorHAnsi"/>
          <w:vertAlign w:val="superscript"/>
        </w:rPr>
        <w:t>#</w:t>
      </w:r>
      <w:r w:rsidR="00124D20" w:rsidRPr="00570575">
        <w:rPr>
          <w:rFonts w:cstheme="minorHAnsi"/>
        </w:rPr>
        <w:t>Missing data were excluded from the analyses</w:t>
      </w:r>
    </w:p>
    <w:p w:rsidR="00124D20" w:rsidRPr="00570575" w:rsidRDefault="00124D20" w:rsidP="006844C8">
      <w:pPr>
        <w:spacing w:line="240" w:lineRule="auto"/>
        <w:contextualSpacing/>
        <w:rPr>
          <w:rFonts w:cstheme="minorHAnsi"/>
          <w:b/>
        </w:rPr>
      </w:pPr>
    </w:p>
    <w:p w:rsidR="00FE3959" w:rsidRPr="00570575" w:rsidRDefault="00FE3959" w:rsidP="006844C8">
      <w:pPr>
        <w:spacing w:line="240" w:lineRule="auto"/>
        <w:contextualSpacing/>
        <w:rPr>
          <w:rFonts w:cstheme="minorHAnsi"/>
        </w:rPr>
      </w:pPr>
      <w:r w:rsidRPr="00570575">
        <w:rPr>
          <w:rFonts w:cstheme="minorHAnsi"/>
          <w:b/>
        </w:rPr>
        <w:t xml:space="preserve">Data 3. </w:t>
      </w:r>
      <w:r w:rsidR="00184736">
        <w:rPr>
          <w:rFonts w:cstheme="minorHAnsi"/>
          <w:b/>
        </w:rPr>
        <w:t>Data</w:t>
      </w:r>
      <w:r w:rsidRPr="00570575">
        <w:rPr>
          <w:rFonts w:cstheme="minorHAnsi"/>
          <w:b/>
        </w:rPr>
        <w:t xml:space="preserve"> of patients with invasive non-typhoidal </w:t>
      </w:r>
      <w:r w:rsidRPr="00570575">
        <w:rPr>
          <w:rFonts w:cstheme="minorHAnsi"/>
          <w:b/>
          <w:i/>
        </w:rPr>
        <w:t>Salmonella</w:t>
      </w:r>
      <w:r w:rsidRPr="00570575">
        <w:rPr>
          <w:rFonts w:cstheme="minorHAnsi"/>
          <w:b/>
        </w:rPr>
        <w:t xml:space="preserve"> infections among International Emerging Infections Program participants during 2009–2014, Siaya county, Kenya.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687"/>
        <w:gridCol w:w="1800"/>
        <w:gridCol w:w="810"/>
        <w:gridCol w:w="2520"/>
      </w:tblGrid>
      <w:tr w:rsidR="00570575" w:rsidRPr="00570575" w:rsidTr="00570575">
        <w:trPr>
          <w:trHeight w:val="610"/>
        </w:trPr>
        <w:tc>
          <w:tcPr>
            <w:tcW w:w="3168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570575" w:rsidRPr="00570575" w:rsidRDefault="00184736" w:rsidP="006844C8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</w:rPr>
            </w:pPr>
            <w:bookmarkStart w:id="1" w:name="OLE_LINK1"/>
            <w:r>
              <w:rPr>
                <w:rFonts w:eastAsia="Times New Roman" w:cstheme="minorHAnsi"/>
                <w:b/>
                <w:color w:val="000000"/>
              </w:rPr>
              <w:t>Varia</w:t>
            </w:r>
            <w:bookmarkStart w:id="2" w:name="_GoBack"/>
            <w:bookmarkEnd w:id="2"/>
            <w:r>
              <w:rPr>
                <w:rFonts w:eastAsia="Times New Roman" w:cstheme="minorHAnsi"/>
                <w:b/>
                <w:color w:val="000000"/>
              </w:rPr>
              <w:t>ble</w:t>
            </w:r>
          </w:p>
        </w:tc>
        <w:tc>
          <w:tcPr>
            <w:tcW w:w="6817" w:type="dxa"/>
            <w:gridSpan w:val="4"/>
            <w:shd w:val="clear" w:color="auto" w:fill="BFBFBF" w:themeFill="background1" w:themeFillShade="B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70575">
              <w:rPr>
                <w:rFonts w:eastAsia="Times New Roman" w:cstheme="minorHAnsi"/>
                <w:b/>
                <w:color w:val="000000"/>
              </w:rPr>
              <w:t xml:space="preserve">Invasive non-typhoidal </w:t>
            </w:r>
            <w:r w:rsidRPr="00570575">
              <w:rPr>
                <w:rFonts w:eastAsia="Times New Roman" w:cstheme="minorHAnsi"/>
                <w:b/>
                <w:i/>
                <w:iCs/>
                <w:color w:val="000000"/>
              </w:rPr>
              <w:t>Salmonella</w:t>
            </w:r>
          </w:p>
        </w:tc>
      </w:tr>
      <w:tr w:rsidR="00570575" w:rsidRPr="00570575" w:rsidTr="00570575">
        <w:trPr>
          <w:trHeight w:val="1116"/>
        </w:trPr>
        <w:tc>
          <w:tcPr>
            <w:tcW w:w="3168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87" w:type="dxa"/>
            <w:gridSpan w:val="2"/>
            <w:shd w:val="clear" w:color="000000" w:fill="BFBFB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70575">
              <w:rPr>
                <w:rFonts w:eastAsia="Times New Roman" w:cstheme="minorHAnsi"/>
                <w:b/>
                <w:color w:val="000000"/>
              </w:rPr>
              <w:t>Ceftriaxone-resistant</w:t>
            </w:r>
          </w:p>
          <w:p w:rsidR="00570575" w:rsidRPr="00570575" w:rsidRDefault="00570575" w:rsidP="006844C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70575">
              <w:rPr>
                <w:rFonts w:eastAsia="Times New Roman" w:cstheme="minorHAnsi"/>
                <w:b/>
                <w:color w:val="000000"/>
              </w:rPr>
              <w:t>N=11</w:t>
            </w:r>
          </w:p>
        </w:tc>
        <w:tc>
          <w:tcPr>
            <w:tcW w:w="3330" w:type="dxa"/>
            <w:gridSpan w:val="2"/>
            <w:shd w:val="clear" w:color="000000" w:fill="BFBFB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70575">
              <w:rPr>
                <w:rFonts w:eastAsia="Times New Roman" w:cstheme="minorHAnsi"/>
                <w:b/>
                <w:color w:val="000000"/>
              </w:rPr>
              <w:t>Ceftriaxone-susceptible</w:t>
            </w:r>
          </w:p>
          <w:p w:rsidR="00570575" w:rsidRPr="00570575" w:rsidRDefault="00570575" w:rsidP="006844C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70575">
              <w:rPr>
                <w:rFonts w:eastAsia="Times New Roman" w:cstheme="minorHAnsi"/>
                <w:b/>
                <w:color w:val="000000"/>
              </w:rPr>
              <w:t>N=185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Sought </w:t>
            </w:r>
            <w:proofErr w:type="gramStart"/>
            <w:r w:rsidRPr="00570575">
              <w:rPr>
                <w:rFonts w:eastAsia="Times New Roman" w:cstheme="minorHAnsi"/>
                <w:color w:val="000000"/>
              </w:rPr>
              <w:t>some kind of healthcare</w:t>
            </w:r>
            <w:proofErr w:type="gramEnd"/>
            <w:r w:rsidRPr="00570575">
              <w:rPr>
                <w:rFonts w:eastAsia="Times New Roman" w:cstheme="minorHAnsi"/>
                <w:color w:val="000000"/>
              </w:rPr>
              <w:t xml:space="preserve"> before presenting to</w:t>
            </w:r>
            <w:r>
              <w:rPr>
                <w:rFonts w:eastAsia="Times New Roman" w:cstheme="minorHAnsi"/>
                <w:color w:val="000000"/>
              </w:rPr>
              <w:t xml:space="preserve"> the</w:t>
            </w:r>
            <w:r w:rsidRPr="00570575">
              <w:rPr>
                <w:rFonts w:eastAsia="Times New Roman" w:cstheme="minorHAnsi"/>
                <w:color w:val="000000"/>
              </w:rPr>
              <w:t xml:space="preserve"> clinic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(4</w:t>
            </w:r>
            <w:r w:rsidR="001C4E2C">
              <w:rPr>
                <w:rFonts w:eastAsia="Times New Roman" w:cstheme="minorHAnsi"/>
                <w:color w:val="000000"/>
              </w:rPr>
              <w:t>6</w:t>
            </w:r>
            <w:r w:rsidRPr="00570575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95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(52%)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Taken a medication for this illness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(4</w:t>
            </w:r>
            <w:r w:rsidR="001C4E2C">
              <w:rPr>
                <w:rFonts w:eastAsia="Times New Roman" w:cstheme="minorHAnsi"/>
                <w:color w:val="000000"/>
              </w:rPr>
              <w:t>6</w:t>
            </w:r>
            <w:r w:rsidRPr="00570575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97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(52%)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proofErr w:type="spellStart"/>
            <w:r w:rsidRPr="00570575">
              <w:rPr>
                <w:rFonts w:eastAsia="Times New Roman" w:cstheme="minorHAnsi"/>
                <w:color w:val="000000"/>
              </w:rPr>
              <w:t>Sulfadoxine</w:t>
            </w:r>
            <w:proofErr w:type="spellEnd"/>
            <w:r w:rsidRPr="00570575">
              <w:rPr>
                <w:rFonts w:eastAsia="Times New Roman" w:cstheme="minorHAnsi"/>
                <w:color w:val="000000"/>
              </w:rPr>
              <w:t>/pyrimethamine</w:t>
            </w:r>
          </w:p>
        </w:tc>
        <w:tc>
          <w:tcPr>
            <w:tcW w:w="1687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(0%)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(1%)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proofErr w:type="spellStart"/>
            <w:r w:rsidRPr="00570575">
              <w:rPr>
                <w:rFonts w:eastAsia="Times New Roman" w:cstheme="minorHAnsi"/>
                <w:color w:val="000000"/>
              </w:rPr>
              <w:t>Septrin</w:t>
            </w:r>
            <w:proofErr w:type="spellEnd"/>
          </w:p>
        </w:tc>
        <w:tc>
          <w:tcPr>
            <w:tcW w:w="1687" w:type="dxa"/>
            <w:shd w:val="clear" w:color="000000" w:fill="FFFFFF" w:themeFill="background1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570575">
              <w:rPr>
                <w:rFonts w:eastAsia="Times New Roman" w:cstheme="minorHAnsi"/>
              </w:rPr>
              <w:t>2</w:t>
            </w:r>
          </w:p>
        </w:tc>
        <w:tc>
          <w:tcPr>
            <w:tcW w:w="1800" w:type="dxa"/>
            <w:shd w:val="clear" w:color="000000" w:fill="FFFFFF" w:themeFill="background1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570575">
              <w:rPr>
                <w:rFonts w:eastAsia="Times New Roman" w:cstheme="minorHAnsi"/>
              </w:rPr>
              <w:t>(18%)</w:t>
            </w:r>
          </w:p>
        </w:tc>
        <w:tc>
          <w:tcPr>
            <w:tcW w:w="810" w:type="dxa"/>
            <w:shd w:val="clear" w:color="000000" w:fill="FFFFFF" w:themeFill="background1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</w:rPr>
            </w:pPr>
            <w:r w:rsidRPr="00570575">
              <w:rPr>
                <w:rFonts w:eastAsia="Times New Roman" w:cstheme="minorHAnsi"/>
              </w:rPr>
              <w:t>7</w:t>
            </w:r>
          </w:p>
        </w:tc>
        <w:tc>
          <w:tcPr>
            <w:tcW w:w="2520" w:type="dxa"/>
            <w:shd w:val="clear" w:color="000000" w:fill="FFFFFF" w:themeFill="background1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570575">
              <w:rPr>
                <w:rFonts w:eastAsia="Times New Roman" w:cstheme="minorHAnsi"/>
              </w:rPr>
              <w:t>(</w:t>
            </w:r>
            <w:r w:rsidR="001C4E2C">
              <w:rPr>
                <w:rFonts w:eastAsia="Times New Roman" w:cstheme="minorHAnsi"/>
              </w:rPr>
              <w:t>4</w:t>
            </w:r>
            <w:r w:rsidRPr="00570575">
              <w:rPr>
                <w:rFonts w:eastAsia="Times New Roman" w:cstheme="minorHAnsi"/>
              </w:rPr>
              <w:t>%)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Penicillin</w:t>
            </w:r>
          </w:p>
        </w:tc>
        <w:tc>
          <w:tcPr>
            <w:tcW w:w="1687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(0%)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</w:t>
            </w:r>
            <w:r w:rsidR="001C4E2C">
              <w:rPr>
                <w:rFonts w:eastAsia="Times New Roman" w:cstheme="minorHAnsi"/>
                <w:color w:val="000000"/>
              </w:rPr>
              <w:t>5</w:t>
            </w:r>
            <w:r w:rsidRPr="00570575">
              <w:rPr>
                <w:rFonts w:eastAsia="Times New Roman" w:cstheme="minorHAnsi"/>
                <w:color w:val="000000"/>
              </w:rPr>
              <w:t>%)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Other antimicrobials</w:t>
            </w:r>
          </w:p>
        </w:tc>
        <w:tc>
          <w:tcPr>
            <w:tcW w:w="1687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(0%)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</w:t>
            </w:r>
            <w:r w:rsidR="001C4E2C">
              <w:rPr>
                <w:rFonts w:eastAsia="Times New Roman" w:cstheme="minorHAnsi"/>
                <w:color w:val="000000"/>
              </w:rPr>
              <w:t>2</w:t>
            </w:r>
            <w:r w:rsidRPr="00570575">
              <w:rPr>
                <w:rFonts w:eastAsia="Times New Roman" w:cstheme="minorHAnsi"/>
                <w:color w:val="000000"/>
              </w:rPr>
              <w:t>%)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Examination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70575" w:rsidRPr="00570575" w:rsidTr="00570575">
        <w:trPr>
          <w:trHeight w:val="360"/>
        </w:trPr>
        <w:tc>
          <w:tcPr>
            <w:tcW w:w="3168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    Temperature: median (range)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39.3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(36.7–40.4)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38.8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(35.0–41.0)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    Had fever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  <w:r w:rsidRPr="00570575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(100%)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175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(95%)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    Days with fever (median,    </w:t>
            </w:r>
          </w:p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    range)</w:t>
            </w:r>
          </w:p>
        </w:tc>
        <w:tc>
          <w:tcPr>
            <w:tcW w:w="3487" w:type="dxa"/>
            <w:gridSpan w:val="2"/>
            <w:shd w:val="clear" w:color="auto" w:fill="auto"/>
            <w:noWrap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3 (1–4)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   3 (0–61)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    Had diarrhea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(0%)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47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(2</w:t>
            </w:r>
            <w:r w:rsidR="001C4E2C">
              <w:rPr>
                <w:rFonts w:eastAsia="Times New Roman" w:cstheme="minorHAnsi"/>
                <w:color w:val="000000"/>
              </w:rPr>
              <w:t>6</w:t>
            </w:r>
            <w:r w:rsidRPr="00570575">
              <w:rPr>
                <w:rFonts w:eastAsia="Times New Roman" w:cstheme="minorHAnsi"/>
                <w:color w:val="000000"/>
              </w:rPr>
              <w:t>%)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    Vomited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(9%)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51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(2</w:t>
            </w:r>
            <w:r w:rsidR="001C4E2C">
              <w:rPr>
                <w:rFonts w:eastAsia="Times New Roman" w:cstheme="minorHAnsi"/>
                <w:color w:val="000000"/>
              </w:rPr>
              <w:t>8</w:t>
            </w:r>
            <w:r w:rsidRPr="00570575">
              <w:rPr>
                <w:rFonts w:eastAsia="Times New Roman" w:cstheme="minorHAnsi"/>
                <w:color w:val="000000"/>
              </w:rPr>
              <w:t>%)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    Initial diagnosis-pneumonia</w:t>
            </w:r>
            <w:r w:rsidR="001C4E2C"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(18%)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(9%)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    Initial diagnosis-diarrhea</w:t>
            </w:r>
            <w:r w:rsidR="001C4E2C"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(0.0%)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</w:t>
            </w:r>
            <w:r w:rsidR="001C4E2C">
              <w:rPr>
                <w:rFonts w:eastAsia="Times New Roman" w:cstheme="minorHAnsi"/>
                <w:color w:val="000000"/>
              </w:rPr>
              <w:t>20</w:t>
            </w:r>
            <w:r w:rsidRPr="00570575">
              <w:rPr>
                <w:rFonts w:eastAsia="Times New Roman" w:cstheme="minorHAnsi"/>
                <w:color w:val="000000"/>
              </w:rPr>
              <w:t>%)</w:t>
            </w:r>
          </w:p>
        </w:tc>
      </w:tr>
      <w:tr w:rsidR="009E22E3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9E22E3" w:rsidRDefault="009E22E3" w:rsidP="006844C8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Participant taken/given antibiotics on the day of interview </w:t>
            </w:r>
            <w:r w:rsidR="001C4E2C"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(45</w:t>
            </w:r>
            <w:r w:rsidR="001C4E2C">
              <w:rPr>
                <w:rFonts w:ascii="Calibri" w:hAnsi="Calibri" w:cs="Calibri"/>
                <w:color w:val="000000"/>
              </w:rPr>
              <w:t>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5%)</w:t>
            </w:r>
          </w:p>
        </w:tc>
      </w:tr>
      <w:tr w:rsidR="009E22E3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9E22E3" w:rsidRDefault="009E22E3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septrin</w:t>
            </w:r>
            <w:proofErr w:type="spellEnd"/>
            <w:r w:rsidR="001C4E2C"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2%)</w:t>
            </w:r>
          </w:p>
        </w:tc>
      </w:tr>
      <w:tr w:rsidR="009E22E3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9E22E3" w:rsidRDefault="009E22E3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gentamicin</w:t>
            </w:r>
            <w:r w:rsidR="001C4E2C"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9E22E3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9E22E3" w:rsidRDefault="009E22E3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ciprofloxacin</w:t>
            </w:r>
            <w:r w:rsidR="001C4E2C"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(9%)</w:t>
            </w:r>
          </w:p>
        </w:tc>
      </w:tr>
      <w:tr w:rsidR="009E22E3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9E22E3" w:rsidRDefault="009E22E3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erythromycin</w:t>
            </w:r>
            <w:r w:rsidR="001C4E2C"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9E22E3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9E22E3" w:rsidRDefault="009E22E3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chloramphenicol</w:t>
            </w:r>
            <w:r w:rsidR="001C4E2C"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9E22E3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9E22E3" w:rsidRDefault="009E22E3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amoxicillin/ampicillin</w:t>
            </w:r>
            <w:r w:rsidR="001C4E2C"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23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9E22E3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9E22E3" w:rsidRDefault="009E22E3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tetracycline</w:t>
            </w:r>
            <w:r w:rsidR="001C4E2C"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(2%)</w:t>
            </w:r>
          </w:p>
        </w:tc>
      </w:tr>
      <w:tr w:rsidR="009E22E3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9E22E3" w:rsidRDefault="009E22E3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penicillin</w:t>
            </w:r>
            <w:r w:rsidR="001C4E2C"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18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9E22E3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9E22E3" w:rsidRDefault="009E22E3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metronidazole</w:t>
            </w:r>
            <w:r w:rsidR="001C4E2C"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4%)</w:t>
            </w:r>
          </w:p>
        </w:tc>
      </w:tr>
      <w:tr w:rsidR="009E22E3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9E22E3" w:rsidRDefault="009E22E3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ceftriaxone</w:t>
            </w:r>
            <w:r w:rsidR="001C4E2C"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9E22E3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9E22E3" w:rsidRDefault="009E22E3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9E22E3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(6%)</w:t>
            </w:r>
          </w:p>
        </w:tc>
      </w:tr>
      <w:tr w:rsidR="001C4E2C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1C4E2C" w:rsidRDefault="001C4E2C" w:rsidP="006844C8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Antibiotic given during the   hospital course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(33%)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(98%)</w:t>
            </w:r>
          </w:p>
        </w:tc>
      </w:tr>
      <w:tr w:rsidR="001C4E2C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septrin</w:t>
            </w:r>
            <w:proofErr w:type="spellEnd"/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(26%)</w:t>
            </w:r>
          </w:p>
        </w:tc>
      </w:tr>
      <w:tr w:rsidR="001C4E2C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gentamicin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(100%)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(38%)</w:t>
            </w:r>
          </w:p>
        </w:tc>
      </w:tr>
      <w:tr w:rsidR="001C4E2C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ciprofloxacin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(4%)</w:t>
            </w:r>
          </w:p>
        </w:tc>
      </w:tr>
      <w:tr w:rsidR="001C4E2C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erythromycin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(11%)</w:t>
            </w:r>
          </w:p>
        </w:tc>
      </w:tr>
      <w:tr w:rsidR="001C4E2C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chloramphenicol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(2%)</w:t>
            </w:r>
          </w:p>
        </w:tc>
      </w:tr>
      <w:tr w:rsidR="001C4E2C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amoxicillin/ampicillin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(23%)</w:t>
            </w:r>
          </w:p>
        </w:tc>
      </w:tr>
      <w:tr w:rsidR="001C4E2C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tetracycline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(2%)</w:t>
            </w:r>
          </w:p>
        </w:tc>
      </w:tr>
      <w:tr w:rsidR="001C4E2C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nalidixic acid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(13%)</w:t>
            </w:r>
          </w:p>
        </w:tc>
      </w:tr>
      <w:tr w:rsidR="001C4E2C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penicillin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(100%)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(40%)</w:t>
            </w:r>
          </w:p>
        </w:tc>
      </w:tr>
      <w:tr w:rsidR="001C4E2C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metronidazole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(23%)</w:t>
            </w:r>
          </w:p>
        </w:tc>
      </w:tr>
      <w:tr w:rsidR="001C4E2C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ceftriaxone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(100%)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1C4E2C" w:rsidRDefault="001C4E2C" w:rsidP="006844C8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(23%)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Admitted to Hospital</w:t>
            </w:r>
            <w:r w:rsidRPr="00570575">
              <w:rPr>
                <w:rFonts w:eastAsia="Times New Roman" w:cstheme="minorHAnsi"/>
                <w:color w:val="000000"/>
                <w:vertAlign w:val="superscript"/>
              </w:rPr>
              <w:t>#</w:t>
            </w:r>
          </w:p>
        </w:tc>
        <w:tc>
          <w:tcPr>
            <w:tcW w:w="1687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(4</w:t>
            </w:r>
            <w:r w:rsidR="001C4E2C">
              <w:rPr>
                <w:rFonts w:eastAsia="Times New Roman" w:cstheme="minorHAnsi"/>
                <w:color w:val="000000"/>
              </w:rPr>
              <w:t>6</w:t>
            </w:r>
            <w:r w:rsidRPr="00570575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52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(28%)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    Duration of hospitalization, </w:t>
            </w:r>
          </w:p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    days (median, range)</w:t>
            </w:r>
          </w:p>
        </w:tc>
        <w:tc>
          <w:tcPr>
            <w:tcW w:w="3487" w:type="dxa"/>
            <w:gridSpan w:val="2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3 (2–7)</w:t>
            </w:r>
          </w:p>
        </w:tc>
        <w:tc>
          <w:tcPr>
            <w:tcW w:w="3330" w:type="dxa"/>
            <w:gridSpan w:val="2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  3 (0–9)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    Discharge diagnosis-malaria</w:t>
            </w:r>
          </w:p>
        </w:tc>
        <w:tc>
          <w:tcPr>
            <w:tcW w:w="1687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(60%)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(2</w:t>
            </w:r>
            <w:r w:rsidR="001C4E2C">
              <w:rPr>
                <w:rFonts w:eastAsia="Times New Roman" w:cstheme="minorHAnsi"/>
                <w:color w:val="000000"/>
              </w:rPr>
              <w:t>7</w:t>
            </w:r>
            <w:r w:rsidRPr="00570575">
              <w:rPr>
                <w:rFonts w:eastAsia="Times New Roman" w:cstheme="minorHAnsi"/>
                <w:color w:val="000000"/>
              </w:rPr>
              <w:t>%)</w:t>
            </w:r>
          </w:p>
        </w:tc>
      </w:tr>
      <w:tr w:rsidR="00570575" w:rsidRPr="00570575" w:rsidTr="00570575">
        <w:trPr>
          <w:trHeight w:val="488"/>
        </w:trPr>
        <w:tc>
          <w:tcPr>
            <w:tcW w:w="3168" w:type="dxa"/>
            <w:shd w:val="clear" w:color="auto" w:fill="auto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    Discharge diagnosis-diarrhea</w:t>
            </w:r>
          </w:p>
        </w:tc>
        <w:tc>
          <w:tcPr>
            <w:tcW w:w="1687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(0%)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(3</w:t>
            </w:r>
            <w:r w:rsidR="001C4E2C">
              <w:rPr>
                <w:rFonts w:eastAsia="Times New Roman" w:cstheme="minorHAnsi"/>
                <w:color w:val="000000"/>
              </w:rPr>
              <w:t>9</w:t>
            </w:r>
            <w:r w:rsidRPr="00570575">
              <w:rPr>
                <w:rFonts w:eastAsia="Times New Roman" w:cstheme="minorHAnsi"/>
                <w:color w:val="000000"/>
              </w:rPr>
              <w:t>%)</w:t>
            </w:r>
          </w:p>
        </w:tc>
      </w:tr>
      <w:tr w:rsidR="00570575" w:rsidRPr="00570575" w:rsidTr="00570575">
        <w:trPr>
          <w:trHeight w:val="489"/>
        </w:trPr>
        <w:tc>
          <w:tcPr>
            <w:tcW w:w="3168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 xml:space="preserve">         Discharged without sequelae</w:t>
            </w:r>
          </w:p>
        </w:tc>
        <w:tc>
          <w:tcPr>
            <w:tcW w:w="1687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(100%)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570575" w:rsidRPr="00570575" w:rsidRDefault="00570575" w:rsidP="006844C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570575">
              <w:rPr>
                <w:rFonts w:eastAsia="Times New Roman" w:cstheme="minorHAnsi"/>
                <w:color w:val="000000"/>
              </w:rPr>
              <w:t>(9</w:t>
            </w:r>
            <w:r w:rsidR="001C4E2C">
              <w:rPr>
                <w:rFonts w:eastAsia="Times New Roman" w:cstheme="minorHAnsi"/>
                <w:color w:val="000000"/>
              </w:rPr>
              <w:t>4</w:t>
            </w:r>
            <w:r w:rsidRPr="00570575">
              <w:rPr>
                <w:rFonts w:eastAsia="Times New Roman" w:cstheme="minorHAnsi"/>
                <w:color w:val="000000"/>
              </w:rPr>
              <w:t>%)</w:t>
            </w:r>
          </w:p>
        </w:tc>
      </w:tr>
    </w:tbl>
    <w:bookmarkEnd w:id="1"/>
    <w:p w:rsidR="00FE3959" w:rsidRPr="00570575" w:rsidRDefault="00FE3959" w:rsidP="006844C8">
      <w:pPr>
        <w:tabs>
          <w:tab w:val="center" w:pos="4680"/>
        </w:tabs>
        <w:spacing w:after="0" w:line="240" w:lineRule="auto"/>
        <w:contextualSpacing/>
        <w:rPr>
          <w:rFonts w:cstheme="minorHAnsi"/>
        </w:rPr>
      </w:pPr>
      <w:r w:rsidRPr="00570575">
        <w:rPr>
          <w:rFonts w:eastAsia="Times New Roman" w:cstheme="minorHAnsi"/>
          <w:color w:val="000000"/>
          <w:vertAlign w:val="superscript"/>
        </w:rPr>
        <w:t>#</w:t>
      </w:r>
      <w:r w:rsidRPr="00570575">
        <w:rPr>
          <w:rFonts w:cstheme="minorHAnsi"/>
        </w:rPr>
        <w:t>Missing data were excluded from the analyses</w:t>
      </w:r>
      <w:r w:rsidR="00124D20" w:rsidRPr="00570575">
        <w:rPr>
          <w:rFonts w:cstheme="minorHAnsi"/>
          <w:b/>
        </w:rPr>
        <w:t xml:space="preserve"> </w:t>
      </w:r>
    </w:p>
    <w:p w:rsidR="006844C8" w:rsidRDefault="006844C8" w:rsidP="006844C8">
      <w:pPr>
        <w:spacing w:after="160" w:line="240" w:lineRule="auto"/>
        <w:contextualSpacing/>
        <w:rPr>
          <w:rFonts w:cstheme="minorHAnsi"/>
        </w:rPr>
      </w:pPr>
      <w:r>
        <w:rPr>
          <w:rFonts w:cstheme="minorHAnsi"/>
        </w:rPr>
        <w:br w:type="page"/>
      </w:r>
    </w:p>
    <w:p w:rsidR="006844C8" w:rsidRDefault="006844C8" w:rsidP="006844C8">
      <w:pPr>
        <w:spacing w:line="240" w:lineRule="auto"/>
        <w:contextualSpacing/>
        <w:rPr>
          <w:rFonts w:cstheme="minorHAnsi"/>
        </w:rPr>
        <w:sectPr w:rsidR="006844C8" w:rsidSect="00D26908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FE3959" w:rsidRDefault="00B42B29" w:rsidP="006844C8">
      <w:pPr>
        <w:spacing w:line="240" w:lineRule="auto"/>
        <w:contextualSpacing/>
        <w:rPr>
          <w:rFonts w:cstheme="minorHAnsi"/>
        </w:rPr>
      </w:pPr>
      <w:r w:rsidRPr="00E1595A">
        <w:rPr>
          <w:rFonts w:cstheme="minorHAnsi"/>
          <w:b/>
        </w:rPr>
        <w:lastRenderedPageBreak/>
        <w:t>Data 4</w:t>
      </w:r>
      <w:r>
        <w:rPr>
          <w:rFonts w:cstheme="minorHAnsi"/>
        </w:rPr>
        <w:t xml:space="preserve">. </w:t>
      </w:r>
      <w:r w:rsidR="00E1595A" w:rsidRPr="00AF3F92">
        <w:rPr>
          <w:rFonts w:ascii="Calibri" w:hAnsi="Calibri"/>
          <w:b/>
          <w:sz w:val="24"/>
          <w:szCs w:val="24"/>
        </w:rPr>
        <w:t xml:space="preserve">Antibiotic </w:t>
      </w:r>
      <w:r w:rsidR="00E1595A">
        <w:rPr>
          <w:rFonts w:ascii="Calibri" w:hAnsi="Calibri"/>
          <w:b/>
          <w:sz w:val="24"/>
          <w:szCs w:val="24"/>
        </w:rPr>
        <w:t>susceptibility test results</w:t>
      </w:r>
      <w:r w:rsidR="00E1595A" w:rsidRPr="00AF3F92">
        <w:rPr>
          <w:rFonts w:ascii="Calibri" w:hAnsi="Calibri"/>
          <w:b/>
          <w:sz w:val="24"/>
          <w:szCs w:val="24"/>
        </w:rPr>
        <w:t xml:space="preserve"> of the </w:t>
      </w:r>
      <w:bookmarkStart w:id="3" w:name="_Hlk23019279"/>
      <w:r w:rsidR="00E1595A" w:rsidRPr="00AF3F92">
        <w:rPr>
          <w:rFonts w:ascii="Calibri" w:hAnsi="Calibri"/>
          <w:b/>
          <w:sz w:val="24"/>
          <w:szCs w:val="24"/>
        </w:rPr>
        <w:t xml:space="preserve">non-typhoidal </w:t>
      </w:r>
      <w:r w:rsidR="00E1595A" w:rsidRPr="00AF3F92">
        <w:rPr>
          <w:rFonts w:ascii="Calibri" w:hAnsi="Calibri"/>
          <w:b/>
          <w:i/>
          <w:sz w:val="24"/>
          <w:szCs w:val="24"/>
        </w:rPr>
        <w:t>Salmonella</w:t>
      </w:r>
      <w:r w:rsidR="00E1595A" w:rsidRPr="00AF3F92">
        <w:rPr>
          <w:rFonts w:ascii="Calibri" w:hAnsi="Calibri"/>
          <w:b/>
          <w:sz w:val="24"/>
          <w:szCs w:val="24"/>
        </w:rPr>
        <w:t xml:space="preserve"> isolates from invasive infections identified among malaria vaccine trial (vaccine trial), central nervous system infection study (CNS study), and International Emerging Infections Program (surveillance program) participants during 2009–2014, Siaya </w:t>
      </w:r>
      <w:r w:rsidR="00E1595A">
        <w:rPr>
          <w:rFonts w:ascii="Calibri" w:hAnsi="Calibri"/>
          <w:b/>
          <w:sz w:val="24"/>
          <w:szCs w:val="24"/>
        </w:rPr>
        <w:t>county</w:t>
      </w:r>
      <w:r w:rsidR="00E1595A" w:rsidRPr="00AF3F92">
        <w:rPr>
          <w:rFonts w:ascii="Calibri" w:hAnsi="Calibri"/>
          <w:b/>
          <w:sz w:val="24"/>
          <w:szCs w:val="24"/>
        </w:rPr>
        <w:t>, Kenya</w:t>
      </w:r>
      <w:bookmarkEnd w:id="3"/>
    </w:p>
    <w:p w:rsidR="00B42B29" w:rsidRDefault="00B42B29" w:rsidP="006844C8">
      <w:pPr>
        <w:spacing w:line="240" w:lineRule="auto"/>
        <w:contextualSpacing/>
        <w:rPr>
          <w:rFonts w:cstheme="minorHAnsi"/>
        </w:rPr>
      </w:pPr>
    </w:p>
    <w:tbl>
      <w:tblPr>
        <w:tblW w:w="15368" w:type="dxa"/>
        <w:tblInd w:w="-849" w:type="dxa"/>
        <w:tblLook w:val="04A0" w:firstRow="1" w:lastRow="0" w:firstColumn="1" w:lastColumn="0" w:noHBand="0" w:noVBand="1"/>
      </w:tblPr>
      <w:tblGrid>
        <w:gridCol w:w="1652"/>
        <w:gridCol w:w="923"/>
        <w:gridCol w:w="733"/>
        <w:gridCol w:w="664"/>
        <w:gridCol w:w="923"/>
        <w:gridCol w:w="733"/>
        <w:gridCol w:w="562"/>
        <w:gridCol w:w="923"/>
        <w:gridCol w:w="733"/>
        <w:gridCol w:w="664"/>
        <w:gridCol w:w="923"/>
        <w:gridCol w:w="733"/>
        <w:gridCol w:w="664"/>
        <w:gridCol w:w="923"/>
        <w:gridCol w:w="733"/>
        <w:gridCol w:w="664"/>
        <w:gridCol w:w="923"/>
        <w:gridCol w:w="733"/>
        <w:gridCol w:w="562"/>
      </w:tblGrid>
      <w:tr w:rsidR="00B42B29" w:rsidRPr="00B42B29" w:rsidTr="00B42B29">
        <w:trPr>
          <w:trHeight w:val="3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Vaccine trial </w:t>
            </w:r>
          </w:p>
        </w:tc>
        <w:tc>
          <w:tcPr>
            <w:tcW w:w="4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CNS study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Surveillance program</w:t>
            </w:r>
          </w:p>
        </w:tc>
      </w:tr>
      <w:tr w:rsidR="00B42B29" w:rsidRPr="00B42B29" w:rsidTr="00B42B29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Ceftriaxone-R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</w:t>
            </w:r>
            <w:proofErr w:type="spellEnd"/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Ceftriaxone-R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</w:t>
            </w:r>
            <w:proofErr w:type="spellEnd"/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Ceftriaxone-R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</w:t>
            </w:r>
            <w:proofErr w:type="spellEnd"/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</w:t>
            </w:r>
          </w:p>
        </w:tc>
      </w:tr>
      <w:tr w:rsidR="00B42B29" w:rsidRPr="00B42B29" w:rsidTr="00B42B29">
        <w:trPr>
          <w:trHeight w:val="52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Antimicrobial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 resistant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 tested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 resistant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 tested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 resistant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 tested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 resistant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 tested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 resistant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 tested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 resistant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 tested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% </w:t>
            </w:r>
          </w:p>
        </w:tc>
      </w:tr>
      <w:tr w:rsidR="00B42B29" w:rsidRPr="00B42B29" w:rsidTr="00B42B29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Gentamicin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3%</w:t>
            </w:r>
          </w:p>
        </w:tc>
      </w:tr>
      <w:tr w:rsidR="00B42B29" w:rsidRPr="00B42B29" w:rsidTr="00B42B29">
        <w:trPr>
          <w:trHeight w:val="3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Kanamycin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7%</w:t>
            </w:r>
          </w:p>
        </w:tc>
      </w:tr>
      <w:tr w:rsidR="00B42B29" w:rsidRPr="00B42B29" w:rsidTr="00B42B29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Streptomycin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89%</w:t>
            </w:r>
          </w:p>
        </w:tc>
      </w:tr>
      <w:tr w:rsidR="00B42B29" w:rsidRPr="00B42B29" w:rsidTr="00B42B29">
        <w:trPr>
          <w:trHeight w:val="51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Amoxicillin-clavulanic acid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42%</w:t>
            </w:r>
          </w:p>
        </w:tc>
      </w:tr>
      <w:tr w:rsidR="00B42B29" w:rsidRPr="00B42B29" w:rsidTr="00B42B29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Cefotaxime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2B29" w:rsidRPr="00B42B29" w:rsidTr="00B42B29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Sulfisoxazole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91%</w:t>
            </w:r>
          </w:p>
        </w:tc>
      </w:tr>
      <w:tr w:rsidR="00B42B29" w:rsidRPr="00B42B29" w:rsidTr="00B42B29">
        <w:trPr>
          <w:trHeight w:val="51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Trimethoprim-sulfamethoxazole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88%</w:t>
            </w:r>
          </w:p>
        </w:tc>
      </w:tr>
      <w:tr w:rsidR="00B42B29" w:rsidRPr="00B42B29" w:rsidTr="00B42B29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Ampicillin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87%</w:t>
            </w:r>
          </w:p>
        </w:tc>
      </w:tr>
      <w:tr w:rsidR="00B42B29" w:rsidRPr="00B42B29" w:rsidTr="00B42B29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Chloramphenicol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79%</w:t>
            </w:r>
          </w:p>
        </w:tc>
      </w:tr>
      <w:tr w:rsidR="00B42B29" w:rsidRPr="00B42B29" w:rsidTr="00B42B29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Ciprofloxacin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B42B29" w:rsidRPr="00B42B29" w:rsidTr="00B42B29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Nalidixic acid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17%</w:t>
            </w:r>
          </w:p>
        </w:tc>
      </w:tr>
      <w:tr w:rsidR="00B42B29" w:rsidRPr="00B42B29" w:rsidTr="00B42B29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B29" w:rsidRPr="00B42B29" w:rsidRDefault="00B42B29" w:rsidP="00B4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Tetracycline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29" w:rsidRPr="00B42B29" w:rsidRDefault="00B42B29" w:rsidP="00B42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B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38%</w:t>
            </w:r>
          </w:p>
        </w:tc>
      </w:tr>
    </w:tbl>
    <w:p w:rsidR="006844C8" w:rsidRPr="00570575" w:rsidRDefault="006844C8" w:rsidP="006844C8">
      <w:pPr>
        <w:spacing w:line="240" w:lineRule="auto"/>
        <w:contextualSpacing/>
        <w:rPr>
          <w:rFonts w:cstheme="minorHAnsi"/>
        </w:rPr>
      </w:pPr>
    </w:p>
    <w:sectPr w:rsidR="006844C8" w:rsidRPr="00570575" w:rsidSect="006844C8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59"/>
    <w:rsid w:val="00124D20"/>
    <w:rsid w:val="00184736"/>
    <w:rsid w:val="001C4E2C"/>
    <w:rsid w:val="004E2FEE"/>
    <w:rsid w:val="00570575"/>
    <w:rsid w:val="006844C8"/>
    <w:rsid w:val="009E22E3"/>
    <w:rsid w:val="00B2400A"/>
    <w:rsid w:val="00B42B29"/>
    <w:rsid w:val="00D26908"/>
    <w:rsid w:val="00E1595A"/>
    <w:rsid w:val="00FC70C6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5224"/>
  <w15:chartTrackingRefBased/>
  <w15:docId w15:val="{271A131E-FBC9-4B1D-9336-F1D0653A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9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C2D8-DEB7-430C-BB8D-F1385B40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Luvsansharav, Ulzii Orshikh (CDC/DDID/NCEZID/DHQP)</dc:creator>
  <cp:keywords/>
  <dc:description/>
  <cp:lastModifiedBy>Luvsansharav, Ulzii Orshikh (CDC/DDID/NCEZID/DHQP)</cp:lastModifiedBy>
  <cp:revision>2</cp:revision>
  <dcterms:created xsi:type="dcterms:W3CDTF">2019-11-01T00:58:00Z</dcterms:created>
  <dcterms:modified xsi:type="dcterms:W3CDTF">2019-11-01T02:34:00Z</dcterms:modified>
</cp:coreProperties>
</file>