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p w:rsidR="00593C8D" w:rsidRDefault="00593C8D" w:rsidP="005B567D">
      <w:pPr>
        <w:pStyle w:val="TableTitle"/>
        <w:rPr>
          <w:sz w:val="22"/>
          <w:szCs w:val="22"/>
        </w:rPr>
      </w:pPr>
    </w:p>
    <w:p w:rsidR="00593C8D" w:rsidRPr="00593C8D" w:rsidRDefault="00593C8D" w:rsidP="005B567D">
      <w:pPr>
        <w:pStyle w:val="TableTitle"/>
        <w:rPr>
          <w:color w:val="FF0000"/>
          <w:sz w:val="22"/>
          <w:szCs w:val="22"/>
        </w:rPr>
      </w:pPr>
      <w:r w:rsidRPr="00593C8D">
        <w:rPr>
          <w:color w:val="FF0000"/>
          <w:sz w:val="22"/>
          <w:szCs w:val="22"/>
        </w:rPr>
        <w:t>(accompanying excerpts are noted in a table below this section)</w:t>
      </w:r>
    </w:p>
    <w:tbl>
      <w:tblPr>
        <w:tblW w:w="0" w:type="auto"/>
        <w:tblBorders>
          <w:insideH w:val="single" w:sz="4" w:space="0" w:color="auto"/>
        </w:tblBorders>
        <w:tblLook w:val="0000" w:firstRow="0" w:lastRow="0" w:firstColumn="0" w:lastColumn="0" w:noHBand="0" w:noVBand="0"/>
      </w:tblPr>
      <w:tblGrid>
        <w:gridCol w:w="2063"/>
        <w:gridCol w:w="688"/>
        <w:gridCol w:w="5417"/>
        <w:gridCol w:w="1473"/>
      </w:tblGrid>
      <w:tr w:rsidR="006E59C5"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6E59C5" w:rsidP="0022554A">
            <w:pPr>
              <w:pStyle w:val="TableHeader"/>
              <w:tabs>
                <w:tab w:val="left" w:pos="5400"/>
              </w:tabs>
              <w:jc w:val="center"/>
              <w:rPr>
                <w:bCs/>
                <w:sz w:val="20"/>
              </w:rPr>
            </w:pPr>
            <w:r>
              <w:rPr>
                <w:bCs/>
                <w:sz w:val="20"/>
              </w:rPr>
              <w:t>Section, Paragraph #</w:t>
            </w:r>
          </w:p>
        </w:tc>
      </w:tr>
      <w:tr w:rsidR="006E59C5"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Abstract; 2</w:t>
            </w:r>
          </w:p>
        </w:tc>
      </w:tr>
      <w:tr w:rsidR="006E59C5"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Abstract; 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6E59C5"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Introduction; 1-3</w:t>
            </w:r>
          </w:p>
        </w:tc>
      </w:tr>
      <w:tr w:rsidR="006E59C5"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Introduction; 3</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6E59C5"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Methods; 1</w:t>
            </w:r>
          </w:p>
        </w:tc>
      </w:tr>
      <w:tr w:rsidR="006E59C5"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Methods; 1</w:t>
            </w:r>
          </w:p>
        </w:tc>
      </w:tr>
      <w:bookmarkEnd w:id="25"/>
      <w:bookmarkEnd w:id="26"/>
      <w:tr w:rsidR="006E59C5"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Methods; 1-2</w:t>
            </w:r>
          </w:p>
        </w:tc>
      </w:tr>
      <w:tr w:rsidR="006E59C5"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Methods; 2-3</w:t>
            </w:r>
          </w:p>
        </w:tc>
      </w:tr>
      <w:tr w:rsidR="006E59C5"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04373D" w:rsidRDefault="006E59C5" w:rsidP="0022554A">
            <w:pPr>
              <w:tabs>
                <w:tab w:val="left" w:pos="5400"/>
              </w:tabs>
              <w:rPr>
                <w:sz w:val="20"/>
              </w:rPr>
            </w:pPr>
            <w:r>
              <w:rPr>
                <w:sz w:val="20"/>
              </w:rPr>
              <w:t>Methods; 2,4</w:t>
            </w:r>
          </w:p>
        </w:tc>
      </w:tr>
      <w:tr w:rsidR="006E59C5"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color w:val="000000"/>
                <w:sz w:val="20"/>
              </w:rPr>
            </w:pPr>
            <w:r>
              <w:rPr>
                <w:color w:val="000000"/>
                <w:sz w:val="20"/>
              </w:rPr>
              <w:t>Methods; 4</w:t>
            </w:r>
          </w:p>
        </w:tc>
      </w:tr>
      <w:tr w:rsidR="006E59C5"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6E59C5" w:rsidP="0022554A">
            <w:pPr>
              <w:tabs>
                <w:tab w:val="left" w:pos="5400"/>
              </w:tabs>
              <w:rPr>
                <w:sz w:val="20"/>
              </w:rPr>
            </w:pPr>
            <w:r>
              <w:rPr>
                <w:sz w:val="20"/>
              </w:rPr>
              <w:t>Methods; 1,4</w:t>
            </w:r>
          </w:p>
        </w:tc>
      </w:tr>
      <w:tr w:rsidR="006E59C5"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036A81" w:rsidP="0022554A">
            <w:pPr>
              <w:tabs>
                <w:tab w:val="left" w:pos="5400"/>
              </w:tabs>
              <w:rPr>
                <w:sz w:val="20"/>
              </w:rPr>
            </w:pPr>
            <w:r>
              <w:rPr>
                <w:sz w:val="20"/>
              </w:rPr>
              <w:t>Methods; 3,4</w:t>
            </w:r>
          </w:p>
        </w:tc>
      </w:tr>
      <w:tr w:rsidR="006E59C5"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036A81" w:rsidP="0022554A">
            <w:pPr>
              <w:tabs>
                <w:tab w:val="left" w:pos="5400"/>
              </w:tabs>
              <w:rPr>
                <w:sz w:val="20"/>
              </w:rPr>
            </w:pPr>
            <w:r>
              <w:rPr>
                <w:sz w:val="20"/>
              </w:rPr>
              <w:t>Methods; 4,5</w:t>
            </w:r>
          </w:p>
        </w:tc>
      </w:tr>
      <w:tr w:rsidR="006E59C5"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036A81" w:rsidP="0022554A">
            <w:pPr>
              <w:tabs>
                <w:tab w:val="left" w:pos="5400"/>
              </w:tabs>
              <w:rPr>
                <w:sz w:val="20"/>
              </w:rPr>
            </w:pPr>
            <w:r>
              <w:rPr>
                <w:sz w:val="20"/>
              </w:rPr>
              <w:t>Methods; 4,5</w:t>
            </w:r>
          </w:p>
        </w:tc>
      </w:tr>
      <w:tr w:rsidR="006E59C5"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036A81" w:rsidP="0022554A">
            <w:pPr>
              <w:tabs>
                <w:tab w:val="left" w:pos="5400"/>
              </w:tabs>
              <w:rPr>
                <w:sz w:val="20"/>
              </w:rPr>
            </w:pPr>
            <w:r>
              <w:rPr>
                <w:sz w:val="20"/>
              </w:rPr>
              <w:t>Methods; 4</w:t>
            </w:r>
          </w:p>
        </w:tc>
      </w:tr>
      <w:tr w:rsidR="006E59C5"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04373D" w:rsidP="0022554A">
            <w:pPr>
              <w:tabs>
                <w:tab w:val="left" w:pos="5400"/>
              </w:tabs>
              <w:rPr>
                <w:sz w:val="20"/>
              </w:rPr>
            </w:pPr>
            <w:r>
              <w:rPr>
                <w:sz w:val="20"/>
              </w:rPr>
              <w:t>N/A</w:t>
            </w:r>
          </w:p>
        </w:tc>
      </w:tr>
      <w:tr w:rsidR="006E59C5"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04373D"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6E59C5"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036A81" w:rsidP="0022554A">
            <w:pPr>
              <w:tabs>
                <w:tab w:val="left" w:pos="5400"/>
              </w:tabs>
              <w:rPr>
                <w:sz w:val="20"/>
              </w:rPr>
            </w:pPr>
            <w:r>
              <w:rPr>
                <w:sz w:val="20"/>
              </w:rPr>
              <w:t>Results; 1</w:t>
            </w:r>
          </w:p>
        </w:tc>
      </w:tr>
      <w:tr w:rsidR="006E59C5"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A80629" w:rsidP="0022554A">
            <w:pPr>
              <w:tabs>
                <w:tab w:val="left" w:pos="5400"/>
              </w:tabs>
              <w:rPr>
                <w:sz w:val="20"/>
              </w:rPr>
            </w:pPr>
            <w:r>
              <w:rPr>
                <w:sz w:val="20"/>
              </w:rPr>
              <w:t>N/A</w:t>
            </w:r>
          </w:p>
        </w:tc>
      </w:tr>
      <w:tr w:rsidR="006E59C5"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A80629" w:rsidP="0022554A">
            <w:pPr>
              <w:tabs>
                <w:tab w:val="left" w:pos="5400"/>
              </w:tabs>
              <w:rPr>
                <w:sz w:val="20"/>
              </w:rPr>
            </w:pPr>
            <w:r>
              <w:rPr>
                <w:sz w:val="20"/>
              </w:rPr>
              <w:t>N/A</w:t>
            </w:r>
          </w:p>
        </w:tc>
      </w:tr>
      <w:tr w:rsidR="006E59C5"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036A81" w:rsidP="0022554A">
            <w:pPr>
              <w:tabs>
                <w:tab w:val="left" w:pos="5400"/>
              </w:tabs>
              <w:rPr>
                <w:sz w:val="20"/>
              </w:rPr>
            </w:pPr>
            <w:r>
              <w:rPr>
                <w:sz w:val="20"/>
              </w:rPr>
              <w:t>Results; 1, Table 1</w:t>
            </w:r>
          </w:p>
        </w:tc>
      </w:tr>
      <w:tr w:rsidR="006E59C5"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036A81" w:rsidP="0022554A">
            <w:pPr>
              <w:tabs>
                <w:tab w:val="left" w:pos="5400"/>
              </w:tabs>
              <w:rPr>
                <w:sz w:val="20"/>
              </w:rPr>
            </w:pPr>
            <w:r>
              <w:rPr>
                <w:sz w:val="20"/>
              </w:rPr>
              <w:t xml:space="preserve">Results; Table 2 </w:t>
            </w:r>
          </w:p>
        </w:tc>
      </w:tr>
      <w:tr w:rsidR="006E59C5"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036A81" w:rsidP="0022554A">
            <w:pPr>
              <w:tabs>
                <w:tab w:val="left" w:pos="5400"/>
              </w:tabs>
              <w:rPr>
                <w:sz w:val="20"/>
              </w:rPr>
            </w:pPr>
            <w:r>
              <w:rPr>
                <w:sz w:val="20"/>
              </w:rPr>
              <w:t>Results; 2-5, Tables 2-3</w:t>
            </w:r>
          </w:p>
        </w:tc>
      </w:tr>
      <w:tr w:rsidR="006E59C5" w:rsidRPr="005F1216" w:rsidTr="00F968F7">
        <w:tc>
          <w:tcPr>
            <w:tcW w:w="0" w:type="auto"/>
            <w:vMerge w:val="restart"/>
          </w:tcPr>
          <w:p w:rsidR="00F968F7" w:rsidRPr="005F1216" w:rsidRDefault="00F968F7" w:rsidP="0022554A">
            <w:pPr>
              <w:tabs>
                <w:tab w:val="left" w:pos="5400"/>
              </w:tabs>
              <w:rPr>
                <w:bCs/>
                <w:sz w:val="20"/>
              </w:rPr>
            </w:pPr>
            <w:bookmarkStart w:id="72" w:name="italic40" w:colFirst="0" w:colLast="0"/>
            <w:bookmarkStart w:id="73" w:name="bold41" w:colFirst="0" w:colLast="0"/>
            <w:bookmarkEnd w:id="69"/>
            <w:bookmarkEnd w:id="70"/>
            <w:r w:rsidRPr="005F1216">
              <w:rPr>
                <w:bCs/>
                <w:sz w:val="20"/>
              </w:rPr>
              <w:t>Main results</w:t>
            </w:r>
          </w:p>
        </w:tc>
        <w:tc>
          <w:tcPr>
            <w:tcW w:w="0" w:type="auto"/>
            <w:vMerge w:val="restart"/>
          </w:tcPr>
          <w:p w:rsidR="00F968F7" w:rsidRPr="005F1216" w:rsidRDefault="00F968F7" w:rsidP="0022554A">
            <w:pPr>
              <w:tabs>
                <w:tab w:val="left" w:pos="5400"/>
              </w:tabs>
              <w:jc w:val="center"/>
              <w:rPr>
                <w:sz w:val="20"/>
              </w:rPr>
            </w:pPr>
            <w:r w:rsidRPr="005F1216">
              <w:rPr>
                <w:sz w:val="20"/>
              </w:rPr>
              <w:t>16</w:t>
            </w:r>
          </w:p>
        </w:tc>
        <w:tc>
          <w:tcPr>
            <w:tcW w:w="0" w:type="auto"/>
            <w:tcBorders>
              <w:right w:val="single" w:sz="4" w:space="0" w:color="auto"/>
            </w:tcBorders>
          </w:tcPr>
          <w:p w:rsidR="00F968F7" w:rsidRPr="005F1216" w:rsidRDefault="00F968F7" w:rsidP="00D6152F">
            <w:pPr>
              <w:tabs>
                <w:tab w:val="left" w:pos="5400"/>
              </w:tabs>
              <w:rPr>
                <w:sz w:val="20"/>
              </w:rPr>
            </w:pPr>
            <w:r w:rsidRPr="005F1216">
              <w:rPr>
                <w:sz w:val="20"/>
              </w:rPr>
              <w:t>(</w:t>
            </w:r>
            <w:r w:rsidRPr="005F1216">
              <w:rPr>
                <w:i/>
                <w:sz w:val="20"/>
              </w:rPr>
              <w:t>a</w:t>
            </w:r>
            <w:r w:rsidRPr="005F1216">
              <w:rPr>
                <w:sz w:val="20"/>
              </w:rPr>
              <w:t>) Give unadjusted estimates and, if applicable, confounder-adjusted estimates and their precision (</w:t>
            </w:r>
            <w:proofErr w:type="spellStart"/>
            <w:r w:rsidRPr="005F1216">
              <w:rPr>
                <w:sz w:val="20"/>
              </w:rPr>
              <w:t>eg</w:t>
            </w:r>
            <w:proofErr w:type="spellEnd"/>
            <w:r w:rsidRPr="005F1216">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5F1216" w:rsidRDefault="00036A81" w:rsidP="00D6152F">
            <w:pPr>
              <w:tabs>
                <w:tab w:val="left" w:pos="5400"/>
              </w:tabs>
              <w:rPr>
                <w:sz w:val="20"/>
              </w:rPr>
            </w:pPr>
            <w:r>
              <w:rPr>
                <w:sz w:val="20"/>
              </w:rPr>
              <w:t>Results; 2-3, Table 3</w:t>
            </w:r>
          </w:p>
        </w:tc>
      </w:tr>
      <w:tr w:rsidR="006E59C5" w:rsidRPr="005F1216" w:rsidTr="00F968F7">
        <w:tc>
          <w:tcPr>
            <w:tcW w:w="0" w:type="auto"/>
            <w:vMerge/>
          </w:tcPr>
          <w:p w:rsidR="00F968F7" w:rsidRPr="005F1216"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5F1216" w:rsidRDefault="00F968F7" w:rsidP="0022554A">
            <w:pPr>
              <w:tabs>
                <w:tab w:val="left" w:pos="5400"/>
              </w:tabs>
              <w:jc w:val="center"/>
              <w:rPr>
                <w:sz w:val="20"/>
              </w:rPr>
            </w:pPr>
          </w:p>
        </w:tc>
        <w:tc>
          <w:tcPr>
            <w:tcW w:w="0" w:type="auto"/>
            <w:tcBorders>
              <w:right w:val="single" w:sz="4" w:space="0" w:color="auto"/>
            </w:tcBorders>
          </w:tcPr>
          <w:p w:rsidR="00F968F7" w:rsidRPr="005F1216" w:rsidRDefault="00F968F7" w:rsidP="00D6152F">
            <w:pPr>
              <w:tabs>
                <w:tab w:val="left" w:pos="5400"/>
              </w:tabs>
              <w:rPr>
                <w:sz w:val="20"/>
              </w:rPr>
            </w:pPr>
            <w:r w:rsidRPr="005F1216">
              <w:rPr>
                <w:sz w:val="20"/>
              </w:rPr>
              <w:t>(</w:t>
            </w:r>
            <w:r w:rsidRPr="005F1216">
              <w:rPr>
                <w:i/>
                <w:sz w:val="20"/>
              </w:rPr>
              <w:t>b</w:t>
            </w:r>
            <w:r w:rsidRPr="005F1216">
              <w:rPr>
                <w:sz w:val="20"/>
              </w:rPr>
              <w:t>) 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5F1216" w:rsidRDefault="00E07C55" w:rsidP="00D6152F">
            <w:pPr>
              <w:tabs>
                <w:tab w:val="left" w:pos="5400"/>
              </w:tabs>
              <w:rPr>
                <w:sz w:val="20"/>
              </w:rPr>
            </w:pPr>
            <w:r w:rsidRPr="005F1216">
              <w:rPr>
                <w:sz w:val="20"/>
              </w:rPr>
              <w:t>N/A</w:t>
            </w:r>
          </w:p>
        </w:tc>
      </w:tr>
      <w:tr w:rsidR="006E59C5" w:rsidRPr="005F1216" w:rsidTr="00F968F7">
        <w:tc>
          <w:tcPr>
            <w:tcW w:w="0" w:type="auto"/>
            <w:vMerge/>
            <w:tcBorders>
              <w:bottom w:val="single" w:sz="4" w:space="0" w:color="auto"/>
            </w:tcBorders>
          </w:tcPr>
          <w:p w:rsidR="00F968F7" w:rsidRPr="005F1216"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5F1216"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5F1216" w:rsidRDefault="00F968F7" w:rsidP="00D6152F">
            <w:pPr>
              <w:tabs>
                <w:tab w:val="left" w:pos="5400"/>
              </w:tabs>
              <w:rPr>
                <w:sz w:val="20"/>
              </w:rPr>
            </w:pPr>
            <w:r w:rsidRPr="005F1216">
              <w:rPr>
                <w:sz w:val="20"/>
              </w:rPr>
              <w:t>(</w:t>
            </w:r>
            <w:r w:rsidRPr="005F1216">
              <w:rPr>
                <w:i/>
                <w:sz w:val="20"/>
              </w:rPr>
              <w:t>c</w:t>
            </w:r>
            <w:r w:rsidRPr="005F1216">
              <w:rPr>
                <w:sz w:val="20"/>
              </w:rPr>
              <w:t>) 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5F1216" w:rsidRDefault="00450C82" w:rsidP="00D6152F">
            <w:pPr>
              <w:tabs>
                <w:tab w:val="left" w:pos="5400"/>
              </w:tabs>
              <w:rPr>
                <w:sz w:val="20"/>
              </w:rPr>
            </w:pPr>
            <w:r>
              <w:rPr>
                <w:sz w:val="20"/>
              </w:rPr>
              <w:t>N/A</w:t>
            </w:r>
          </w:p>
        </w:tc>
      </w:tr>
      <w:tr w:rsidR="006E59C5" w:rsidRPr="005F1216" w:rsidTr="00F968F7">
        <w:tc>
          <w:tcPr>
            <w:tcW w:w="0" w:type="auto"/>
            <w:tcBorders>
              <w:top w:val="single" w:sz="4" w:space="0" w:color="auto"/>
              <w:bottom w:val="single" w:sz="4" w:space="0" w:color="auto"/>
            </w:tcBorders>
          </w:tcPr>
          <w:p w:rsidR="00F968F7" w:rsidRPr="005F1216" w:rsidRDefault="00F968F7" w:rsidP="0022554A">
            <w:pPr>
              <w:tabs>
                <w:tab w:val="left" w:pos="5400"/>
              </w:tabs>
              <w:rPr>
                <w:bCs/>
                <w:sz w:val="20"/>
              </w:rPr>
            </w:pPr>
            <w:bookmarkStart w:id="78" w:name="italic43"/>
            <w:bookmarkStart w:id="79" w:name="bold44"/>
            <w:bookmarkEnd w:id="76"/>
            <w:bookmarkEnd w:id="77"/>
            <w:r w:rsidRPr="005F1216">
              <w:rPr>
                <w:bCs/>
                <w:sz w:val="20"/>
              </w:rPr>
              <w:t>Other analyses</w:t>
            </w:r>
            <w:bookmarkEnd w:id="78"/>
            <w:bookmarkEnd w:id="79"/>
          </w:p>
        </w:tc>
        <w:tc>
          <w:tcPr>
            <w:tcW w:w="0" w:type="auto"/>
            <w:tcBorders>
              <w:top w:val="single" w:sz="4" w:space="0" w:color="auto"/>
              <w:bottom w:val="single" w:sz="4" w:space="0" w:color="auto"/>
            </w:tcBorders>
          </w:tcPr>
          <w:p w:rsidR="00F968F7" w:rsidRPr="005F1216" w:rsidRDefault="00F968F7" w:rsidP="0022554A">
            <w:pPr>
              <w:tabs>
                <w:tab w:val="left" w:pos="5400"/>
              </w:tabs>
              <w:jc w:val="center"/>
              <w:rPr>
                <w:sz w:val="20"/>
              </w:rPr>
            </w:pPr>
            <w:r w:rsidRPr="005F1216">
              <w:rPr>
                <w:sz w:val="20"/>
              </w:rPr>
              <w:t>17</w:t>
            </w:r>
          </w:p>
        </w:tc>
        <w:tc>
          <w:tcPr>
            <w:tcW w:w="0" w:type="auto"/>
            <w:tcBorders>
              <w:top w:val="single" w:sz="4" w:space="0" w:color="auto"/>
              <w:bottom w:val="single" w:sz="4" w:space="0" w:color="auto"/>
              <w:right w:val="single" w:sz="4" w:space="0" w:color="auto"/>
            </w:tcBorders>
          </w:tcPr>
          <w:p w:rsidR="00F968F7" w:rsidRPr="005F1216" w:rsidRDefault="00F968F7" w:rsidP="0022554A">
            <w:pPr>
              <w:tabs>
                <w:tab w:val="left" w:pos="5400"/>
              </w:tabs>
              <w:rPr>
                <w:sz w:val="20"/>
              </w:rPr>
            </w:pPr>
            <w:r w:rsidRPr="005F1216">
              <w:rPr>
                <w:sz w:val="20"/>
              </w:rPr>
              <w:t>Report other analyses done—</w:t>
            </w:r>
            <w:proofErr w:type="spellStart"/>
            <w:r w:rsidRPr="005F1216">
              <w:rPr>
                <w:sz w:val="20"/>
              </w:rPr>
              <w:t>eg</w:t>
            </w:r>
            <w:proofErr w:type="spellEnd"/>
            <w:r w:rsidRPr="005F1216">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Results; 4</w:t>
            </w:r>
          </w:p>
          <w:p w:rsidR="00E07C55" w:rsidRPr="005F1216" w:rsidRDefault="00E07C55" w:rsidP="00E07C55">
            <w:pPr>
              <w:rPr>
                <w:sz w:val="20"/>
              </w:rPr>
            </w:pPr>
          </w:p>
        </w:tc>
      </w:tr>
      <w:tr w:rsidR="00F968F7" w:rsidRPr="005F1216" w:rsidTr="008E6252">
        <w:tc>
          <w:tcPr>
            <w:tcW w:w="0" w:type="auto"/>
            <w:gridSpan w:val="4"/>
            <w:tcBorders>
              <w:top w:val="single" w:sz="4" w:space="0" w:color="auto"/>
            </w:tcBorders>
          </w:tcPr>
          <w:p w:rsidR="00F968F7" w:rsidRPr="005F1216" w:rsidRDefault="00F968F7" w:rsidP="0022554A">
            <w:pPr>
              <w:pStyle w:val="TableSubHead"/>
              <w:tabs>
                <w:tab w:val="left" w:pos="5400"/>
              </w:tabs>
              <w:rPr>
                <w:sz w:val="20"/>
              </w:rPr>
            </w:pPr>
            <w:bookmarkStart w:id="80" w:name="italic44"/>
            <w:bookmarkStart w:id="81" w:name="bold45"/>
            <w:r w:rsidRPr="005F1216">
              <w:rPr>
                <w:sz w:val="20"/>
              </w:rPr>
              <w:t>Discussion</w:t>
            </w:r>
            <w:bookmarkEnd w:id="80"/>
            <w:bookmarkEnd w:id="81"/>
          </w:p>
        </w:tc>
      </w:tr>
      <w:tr w:rsidR="006E59C5" w:rsidRPr="005F1216" w:rsidTr="00F968F7">
        <w:tc>
          <w:tcPr>
            <w:tcW w:w="0" w:type="auto"/>
          </w:tcPr>
          <w:p w:rsidR="00F968F7" w:rsidRPr="005F1216" w:rsidRDefault="00F968F7" w:rsidP="0022554A">
            <w:pPr>
              <w:tabs>
                <w:tab w:val="left" w:pos="5400"/>
              </w:tabs>
              <w:rPr>
                <w:bCs/>
                <w:sz w:val="20"/>
              </w:rPr>
            </w:pPr>
            <w:bookmarkStart w:id="82" w:name="italic45" w:colFirst="0" w:colLast="0"/>
            <w:bookmarkStart w:id="83" w:name="bold46" w:colFirst="0" w:colLast="0"/>
            <w:r w:rsidRPr="005F1216">
              <w:rPr>
                <w:bCs/>
                <w:sz w:val="20"/>
              </w:rPr>
              <w:t>Key results</w:t>
            </w:r>
          </w:p>
        </w:tc>
        <w:tc>
          <w:tcPr>
            <w:tcW w:w="0" w:type="auto"/>
          </w:tcPr>
          <w:p w:rsidR="00F968F7" w:rsidRPr="005F1216" w:rsidRDefault="00F968F7" w:rsidP="0022554A">
            <w:pPr>
              <w:tabs>
                <w:tab w:val="left" w:pos="5400"/>
              </w:tabs>
              <w:jc w:val="center"/>
              <w:rPr>
                <w:sz w:val="20"/>
              </w:rPr>
            </w:pPr>
            <w:r w:rsidRPr="005F1216">
              <w:rPr>
                <w:sz w:val="20"/>
              </w:rPr>
              <w:t>18</w:t>
            </w:r>
          </w:p>
        </w:tc>
        <w:tc>
          <w:tcPr>
            <w:tcW w:w="0" w:type="auto"/>
            <w:tcBorders>
              <w:right w:val="single" w:sz="4" w:space="0" w:color="auto"/>
            </w:tcBorders>
          </w:tcPr>
          <w:p w:rsidR="00F968F7" w:rsidRPr="005F1216" w:rsidRDefault="00F968F7" w:rsidP="0022554A">
            <w:pPr>
              <w:tabs>
                <w:tab w:val="left" w:pos="5400"/>
              </w:tabs>
              <w:rPr>
                <w:sz w:val="20"/>
              </w:rPr>
            </w:pPr>
            <w:r w:rsidRPr="005F1216">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Discussion; 1</w:t>
            </w:r>
          </w:p>
        </w:tc>
      </w:tr>
      <w:tr w:rsidR="006E59C5" w:rsidRPr="005F1216" w:rsidTr="00F968F7">
        <w:tc>
          <w:tcPr>
            <w:tcW w:w="0" w:type="auto"/>
          </w:tcPr>
          <w:p w:rsidR="00F968F7" w:rsidRPr="005F1216" w:rsidRDefault="00F968F7" w:rsidP="0022554A">
            <w:pPr>
              <w:tabs>
                <w:tab w:val="left" w:pos="5400"/>
              </w:tabs>
              <w:rPr>
                <w:bCs/>
                <w:sz w:val="20"/>
              </w:rPr>
            </w:pPr>
            <w:bookmarkStart w:id="84" w:name="italic46" w:colFirst="0" w:colLast="0"/>
            <w:bookmarkStart w:id="85" w:name="bold47" w:colFirst="0" w:colLast="0"/>
            <w:bookmarkEnd w:id="82"/>
            <w:bookmarkEnd w:id="83"/>
            <w:r w:rsidRPr="005F1216">
              <w:rPr>
                <w:bCs/>
                <w:sz w:val="20"/>
              </w:rPr>
              <w:t>Limitations</w:t>
            </w:r>
          </w:p>
        </w:tc>
        <w:tc>
          <w:tcPr>
            <w:tcW w:w="0" w:type="auto"/>
          </w:tcPr>
          <w:p w:rsidR="00F968F7" w:rsidRPr="005F1216" w:rsidRDefault="00F968F7" w:rsidP="0022554A">
            <w:pPr>
              <w:tabs>
                <w:tab w:val="left" w:pos="5400"/>
              </w:tabs>
              <w:jc w:val="center"/>
              <w:rPr>
                <w:sz w:val="20"/>
              </w:rPr>
            </w:pPr>
            <w:r w:rsidRPr="005F1216">
              <w:rPr>
                <w:sz w:val="20"/>
              </w:rPr>
              <w:t>19</w:t>
            </w:r>
          </w:p>
        </w:tc>
        <w:tc>
          <w:tcPr>
            <w:tcW w:w="0" w:type="auto"/>
            <w:tcBorders>
              <w:right w:val="single" w:sz="4" w:space="0" w:color="auto"/>
            </w:tcBorders>
          </w:tcPr>
          <w:p w:rsidR="00F968F7" w:rsidRPr="005F1216" w:rsidRDefault="00F968F7" w:rsidP="0022554A">
            <w:pPr>
              <w:tabs>
                <w:tab w:val="left" w:pos="5400"/>
              </w:tabs>
              <w:rPr>
                <w:sz w:val="20"/>
              </w:rPr>
            </w:pPr>
            <w:r w:rsidRPr="005F1216">
              <w:rPr>
                <w:sz w:val="20"/>
              </w:rPr>
              <w:t xml:space="preserve">Discuss limitations of the study, </w:t>
            </w:r>
            <w:proofErr w:type="gramStart"/>
            <w:r w:rsidRPr="005F1216">
              <w:rPr>
                <w:sz w:val="20"/>
              </w:rPr>
              <w:t>taking into account</w:t>
            </w:r>
            <w:proofErr w:type="gramEnd"/>
            <w:r w:rsidRPr="005F1216">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Discussion; 10</w:t>
            </w:r>
          </w:p>
        </w:tc>
      </w:tr>
      <w:tr w:rsidR="006E59C5" w:rsidRPr="005F1216" w:rsidTr="00F968F7">
        <w:tc>
          <w:tcPr>
            <w:tcW w:w="0" w:type="auto"/>
          </w:tcPr>
          <w:p w:rsidR="00F968F7" w:rsidRPr="005F1216" w:rsidRDefault="00F968F7" w:rsidP="0022554A">
            <w:pPr>
              <w:tabs>
                <w:tab w:val="left" w:pos="5400"/>
              </w:tabs>
              <w:rPr>
                <w:bCs/>
                <w:sz w:val="20"/>
              </w:rPr>
            </w:pPr>
            <w:bookmarkStart w:id="86" w:name="italic47" w:colFirst="0" w:colLast="0"/>
            <w:bookmarkStart w:id="87" w:name="bold48" w:colFirst="0" w:colLast="0"/>
            <w:bookmarkEnd w:id="84"/>
            <w:bookmarkEnd w:id="85"/>
            <w:r w:rsidRPr="005F1216">
              <w:rPr>
                <w:bCs/>
                <w:sz w:val="20"/>
              </w:rPr>
              <w:t>Interpretation</w:t>
            </w:r>
          </w:p>
        </w:tc>
        <w:tc>
          <w:tcPr>
            <w:tcW w:w="0" w:type="auto"/>
          </w:tcPr>
          <w:p w:rsidR="00F968F7" w:rsidRPr="005F1216" w:rsidRDefault="00F968F7" w:rsidP="0022554A">
            <w:pPr>
              <w:tabs>
                <w:tab w:val="left" w:pos="5400"/>
              </w:tabs>
              <w:jc w:val="center"/>
              <w:rPr>
                <w:sz w:val="20"/>
              </w:rPr>
            </w:pPr>
            <w:r w:rsidRPr="005F1216">
              <w:rPr>
                <w:sz w:val="20"/>
              </w:rPr>
              <w:t>20</w:t>
            </w:r>
          </w:p>
        </w:tc>
        <w:tc>
          <w:tcPr>
            <w:tcW w:w="0" w:type="auto"/>
            <w:tcBorders>
              <w:right w:val="single" w:sz="4" w:space="0" w:color="auto"/>
            </w:tcBorders>
          </w:tcPr>
          <w:p w:rsidR="00F968F7" w:rsidRPr="005F1216" w:rsidRDefault="00F968F7" w:rsidP="0022554A">
            <w:pPr>
              <w:tabs>
                <w:tab w:val="left" w:pos="5400"/>
              </w:tabs>
              <w:rPr>
                <w:sz w:val="20"/>
              </w:rPr>
            </w:pPr>
            <w:r w:rsidRPr="005F1216">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Discussion; 2-9</w:t>
            </w:r>
          </w:p>
        </w:tc>
      </w:tr>
      <w:tr w:rsidR="006E59C5" w:rsidRPr="005F1216" w:rsidTr="00F968F7">
        <w:tc>
          <w:tcPr>
            <w:tcW w:w="0" w:type="auto"/>
          </w:tcPr>
          <w:p w:rsidR="00F968F7" w:rsidRPr="005F1216" w:rsidRDefault="00F968F7" w:rsidP="0022554A">
            <w:pPr>
              <w:tabs>
                <w:tab w:val="left" w:pos="5400"/>
              </w:tabs>
              <w:rPr>
                <w:bCs/>
                <w:sz w:val="20"/>
              </w:rPr>
            </w:pPr>
            <w:bookmarkStart w:id="88" w:name="italic48" w:colFirst="0" w:colLast="0"/>
            <w:bookmarkStart w:id="89" w:name="bold49" w:colFirst="0" w:colLast="0"/>
            <w:bookmarkEnd w:id="86"/>
            <w:bookmarkEnd w:id="87"/>
            <w:r w:rsidRPr="005F1216">
              <w:rPr>
                <w:bCs/>
                <w:sz w:val="20"/>
              </w:rPr>
              <w:t>Generalisability</w:t>
            </w:r>
          </w:p>
        </w:tc>
        <w:tc>
          <w:tcPr>
            <w:tcW w:w="0" w:type="auto"/>
          </w:tcPr>
          <w:p w:rsidR="00F968F7" w:rsidRPr="005F1216" w:rsidRDefault="00F968F7" w:rsidP="0022554A">
            <w:pPr>
              <w:tabs>
                <w:tab w:val="left" w:pos="5400"/>
              </w:tabs>
              <w:jc w:val="center"/>
              <w:rPr>
                <w:sz w:val="20"/>
              </w:rPr>
            </w:pPr>
            <w:r w:rsidRPr="005F1216">
              <w:rPr>
                <w:sz w:val="20"/>
              </w:rPr>
              <w:t>21</w:t>
            </w:r>
          </w:p>
        </w:tc>
        <w:tc>
          <w:tcPr>
            <w:tcW w:w="0" w:type="auto"/>
            <w:tcBorders>
              <w:right w:val="single" w:sz="4" w:space="0" w:color="auto"/>
            </w:tcBorders>
          </w:tcPr>
          <w:p w:rsidR="00F968F7" w:rsidRPr="005F1216" w:rsidRDefault="00F968F7" w:rsidP="0022554A">
            <w:pPr>
              <w:tabs>
                <w:tab w:val="left" w:pos="5400"/>
              </w:tabs>
              <w:rPr>
                <w:sz w:val="20"/>
              </w:rPr>
            </w:pPr>
            <w:r w:rsidRPr="005F1216">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Discussion; 11</w:t>
            </w:r>
          </w:p>
        </w:tc>
      </w:tr>
      <w:tr w:rsidR="00F968F7" w:rsidRPr="005F1216" w:rsidTr="006941E6">
        <w:tc>
          <w:tcPr>
            <w:tcW w:w="0" w:type="auto"/>
            <w:gridSpan w:val="4"/>
            <w:tcBorders>
              <w:bottom w:val="single" w:sz="4" w:space="0" w:color="auto"/>
            </w:tcBorders>
          </w:tcPr>
          <w:p w:rsidR="00F968F7" w:rsidRPr="005F1216" w:rsidRDefault="00F968F7" w:rsidP="0022554A">
            <w:pPr>
              <w:pStyle w:val="TableSubHead"/>
              <w:tabs>
                <w:tab w:val="left" w:pos="5400"/>
              </w:tabs>
              <w:rPr>
                <w:sz w:val="20"/>
              </w:rPr>
            </w:pPr>
            <w:bookmarkStart w:id="90" w:name="italic49"/>
            <w:bookmarkStart w:id="91" w:name="bold50"/>
            <w:bookmarkEnd w:id="88"/>
            <w:bookmarkEnd w:id="89"/>
            <w:r w:rsidRPr="005F1216">
              <w:rPr>
                <w:sz w:val="20"/>
              </w:rPr>
              <w:t>Other information</w:t>
            </w:r>
            <w:bookmarkEnd w:id="90"/>
            <w:bookmarkEnd w:id="91"/>
          </w:p>
        </w:tc>
      </w:tr>
      <w:tr w:rsidR="006E59C5" w:rsidRPr="005F1216" w:rsidTr="00F968F7">
        <w:tc>
          <w:tcPr>
            <w:tcW w:w="0" w:type="auto"/>
            <w:tcBorders>
              <w:top w:val="single" w:sz="4" w:space="0" w:color="auto"/>
              <w:bottom w:val="single" w:sz="4" w:space="0" w:color="auto"/>
            </w:tcBorders>
          </w:tcPr>
          <w:p w:rsidR="00F968F7" w:rsidRPr="005F1216" w:rsidRDefault="00F968F7" w:rsidP="0022554A">
            <w:pPr>
              <w:tabs>
                <w:tab w:val="left" w:pos="5400"/>
              </w:tabs>
              <w:rPr>
                <w:bCs/>
                <w:sz w:val="20"/>
              </w:rPr>
            </w:pPr>
            <w:bookmarkStart w:id="92" w:name="italic50" w:colFirst="0" w:colLast="0"/>
            <w:bookmarkStart w:id="93" w:name="bold51" w:colFirst="0" w:colLast="0"/>
            <w:r w:rsidRPr="005F1216">
              <w:rPr>
                <w:bCs/>
                <w:sz w:val="20"/>
              </w:rPr>
              <w:t>Funding</w:t>
            </w:r>
          </w:p>
        </w:tc>
        <w:tc>
          <w:tcPr>
            <w:tcW w:w="0" w:type="auto"/>
            <w:tcBorders>
              <w:top w:val="single" w:sz="4" w:space="0" w:color="auto"/>
              <w:bottom w:val="single" w:sz="4" w:space="0" w:color="auto"/>
            </w:tcBorders>
          </w:tcPr>
          <w:p w:rsidR="00F968F7" w:rsidRPr="005F1216" w:rsidRDefault="00F968F7" w:rsidP="0022554A">
            <w:pPr>
              <w:tabs>
                <w:tab w:val="left" w:pos="5400"/>
              </w:tabs>
              <w:jc w:val="center"/>
              <w:rPr>
                <w:sz w:val="20"/>
              </w:rPr>
            </w:pPr>
            <w:r w:rsidRPr="005F1216">
              <w:rPr>
                <w:sz w:val="20"/>
              </w:rPr>
              <w:t>22</w:t>
            </w:r>
          </w:p>
        </w:tc>
        <w:tc>
          <w:tcPr>
            <w:tcW w:w="0" w:type="auto"/>
            <w:tcBorders>
              <w:top w:val="single" w:sz="4" w:space="0" w:color="auto"/>
              <w:bottom w:val="single" w:sz="4" w:space="0" w:color="auto"/>
              <w:right w:val="single" w:sz="4" w:space="0" w:color="auto"/>
            </w:tcBorders>
          </w:tcPr>
          <w:p w:rsidR="00F968F7" w:rsidRPr="005F1216" w:rsidRDefault="00F968F7" w:rsidP="0022554A">
            <w:pPr>
              <w:tabs>
                <w:tab w:val="left" w:pos="5400"/>
              </w:tabs>
              <w:rPr>
                <w:sz w:val="20"/>
              </w:rPr>
            </w:pPr>
            <w:r w:rsidRPr="005F1216">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5F1216" w:rsidRDefault="0077042F" w:rsidP="0022554A">
            <w:pPr>
              <w:tabs>
                <w:tab w:val="left" w:pos="5400"/>
              </w:tabs>
              <w:rPr>
                <w:sz w:val="20"/>
              </w:rPr>
            </w:pPr>
            <w:r>
              <w:rPr>
                <w:sz w:val="20"/>
              </w:rPr>
              <w:t>Methods; 1</w:t>
            </w:r>
          </w:p>
        </w:tc>
      </w:tr>
      <w:bookmarkEnd w:id="92"/>
      <w:bookmarkEnd w:id="93"/>
    </w:tbl>
    <w:p w:rsidR="002602FB" w:rsidRPr="005F1216" w:rsidRDefault="002602FB" w:rsidP="0022554A">
      <w:pPr>
        <w:pStyle w:val="TableNote"/>
        <w:tabs>
          <w:tab w:val="left" w:pos="5400"/>
        </w:tabs>
        <w:rPr>
          <w:bCs/>
          <w:sz w:val="20"/>
        </w:rPr>
      </w:pPr>
    </w:p>
    <w:p w:rsidR="00D87AF7" w:rsidRPr="005F1216" w:rsidRDefault="00D87AF7" w:rsidP="0022554A">
      <w:pPr>
        <w:pStyle w:val="TableNote"/>
        <w:tabs>
          <w:tab w:val="left" w:pos="5400"/>
        </w:tabs>
        <w:rPr>
          <w:sz w:val="20"/>
        </w:rPr>
      </w:pPr>
      <w:r w:rsidRPr="005F1216">
        <w:rPr>
          <w:bCs/>
          <w:sz w:val="20"/>
        </w:rPr>
        <w:t>*</w:t>
      </w:r>
      <w:r w:rsidRPr="005F1216">
        <w:rPr>
          <w:sz w:val="20"/>
        </w:rPr>
        <w:t>Give information separately for exposed and unexposed groups.</w:t>
      </w:r>
    </w:p>
    <w:p w:rsidR="00AE2C57" w:rsidRPr="005F1216" w:rsidRDefault="00AE2C57" w:rsidP="0022554A">
      <w:pPr>
        <w:pStyle w:val="TableNote"/>
        <w:tabs>
          <w:tab w:val="left" w:pos="5400"/>
        </w:tabs>
        <w:rPr>
          <w:sz w:val="20"/>
        </w:rPr>
      </w:pPr>
    </w:p>
    <w:p w:rsidR="00A42352" w:rsidRPr="005F1216" w:rsidRDefault="002602FB" w:rsidP="002602FB">
      <w:pPr>
        <w:pStyle w:val="TableNote"/>
        <w:tabs>
          <w:tab w:val="left" w:pos="5400"/>
        </w:tabs>
        <w:rPr>
          <w:sz w:val="20"/>
        </w:rPr>
      </w:pPr>
      <w:r w:rsidRPr="005F1216">
        <w:rPr>
          <w:b/>
          <w:sz w:val="20"/>
        </w:rPr>
        <w:t>Note:</w:t>
      </w:r>
      <w:r w:rsidRPr="005F1216">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5F1216">
        <w:rPr>
          <w:sz w:val="20"/>
        </w:rPr>
        <w:t>PLoS</w:t>
      </w:r>
      <w:proofErr w:type="spellEnd"/>
      <w:r w:rsidRPr="005F1216">
        <w:rPr>
          <w:sz w:val="20"/>
        </w:rPr>
        <w:t xml:space="preserve"> Medicine at http://www.plosmedicine.org/, Annals of Internal Medicine at http://www.annals.org/, and Epidemiology at http://www.epidem.com/). Information on the STROBE Initiative is available at </w:t>
      </w:r>
      <w:hyperlink r:id="rId7" w:history="1">
        <w:r w:rsidR="00D61F48" w:rsidRPr="005F1216">
          <w:rPr>
            <w:rStyle w:val="Hyperlink"/>
            <w:sz w:val="20"/>
          </w:rPr>
          <w:t>www.strobe-statement.org</w:t>
        </w:r>
      </w:hyperlink>
      <w:r w:rsidRPr="005F1216">
        <w:rPr>
          <w:sz w:val="20"/>
        </w:rPr>
        <w:t>.</w:t>
      </w: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p w:rsidR="007909BA" w:rsidRPr="005F1216" w:rsidRDefault="007909BA" w:rsidP="002602FB">
      <w:pPr>
        <w:pStyle w:val="TableNote"/>
        <w:tabs>
          <w:tab w:val="left" w:pos="5400"/>
        </w:tabs>
        <w:rPr>
          <w:sz w:val="20"/>
        </w:rPr>
      </w:pPr>
    </w:p>
    <w:tbl>
      <w:tblPr>
        <w:tblStyle w:val="TableGrid"/>
        <w:tblW w:w="0" w:type="auto"/>
        <w:tblLook w:val="04A0" w:firstRow="1" w:lastRow="0" w:firstColumn="1" w:lastColumn="0" w:noHBand="0" w:noVBand="1"/>
      </w:tblPr>
      <w:tblGrid>
        <w:gridCol w:w="894"/>
        <w:gridCol w:w="2896"/>
        <w:gridCol w:w="5841"/>
      </w:tblGrid>
      <w:tr w:rsidR="00D61F48" w:rsidRPr="005F1216" w:rsidTr="00FE4BB2">
        <w:tc>
          <w:tcPr>
            <w:tcW w:w="894" w:type="dxa"/>
          </w:tcPr>
          <w:p w:rsidR="00D61F48" w:rsidRPr="005F1216" w:rsidRDefault="007909BA" w:rsidP="007909BA">
            <w:pPr>
              <w:pStyle w:val="TableNote"/>
              <w:tabs>
                <w:tab w:val="left" w:pos="5400"/>
              </w:tabs>
              <w:spacing w:line="240" w:lineRule="auto"/>
              <w:jc w:val="center"/>
              <w:rPr>
                <w:b/>
                <w:sz w:val="20"/>
              </w:rPr>
            </w:pPr>
            <w:bookmarkStart w:id="94" w:name="_GoBack"/>
            <w:bookmarkEnd w:id="94"/>
            <w:r w:rsidRPr="005F1216">
              <w:rPr>
                <w:b/>
                <w:sz w:val="20"/>
              </w:rPr>
              <w:lastRenderedPageBreak/>
              <w:t>Item number</w:t>
            </w:r>
          </w:p>
        </w:tc>
        <w:tc>
          <w:tcPr>
            <w:tcW w:w="2896" w:type="dxa"/>
          </w:tcPr>
          <w:p w:rsidR="00D61F48" w:rsidRPr="005F1216" w:rsidRDefault="007909BA" w:rsidP="00A80629">
            <w:pPr>
              <w:pStyle w:val="TableNote"/>
              <w:tabs>
                <w:tab w:val="left" w:pos="5400"/>
              </w:tabs>
              <w:spacing w:line="240" w:lineRule="auto"/>
              <w:jc w:val="center"/>
              <w:rPr>
                <w:b/>
                <w:sz w:val="20"/>
              </w:rPr>
            </w:pPr>
            <w:r w:rsidRPr="005F1216">
              <w:rPr>
                <w:b/>
                <w:sz w:val="20"/>
              </w:rPr>
              <w:t>Description</w:t>
            </w:r>
          </w:p>
        </w:tc>
        <w:tc>
          <w:tcPr>
            <w:tcW w:w="5841" w:type="dxa"/>
          </w:tcPr>
          <w:p w:rsidR="00D61F48" w:rsidRPr="005F1216" w:rsidRDefault="007909BA" w:rsidP="007909BA">
            <w:pPr>
              <w:pStyle w:val="TableNote"/>
              <w:tabs>
                <w:tab w:val="left" w:pos="5400"/>
              </w:tabs>
              <w:spacing w:line="240" w:lineRule="auto"/>
              <w:jc w:val="center"/>
              <w:rPr>
                <w:b/>
                <w:sz w:val="20"/>
              </w:rPr>
            </w:pPr>
            <w:r w:rsidRPr="005F1216">
              <w:rPr>
                <w:b/>
                <w:sz w:val="20"/>
              </w:rPr>
              <w:t>Manuscript E</w:t>
            </w:r>
            <w:r w:rsidR="00651030">
              <w:rPr>
                <w:b/>
                <w:sz w:val="20"/>
              </w:rPr>
              <w:t>xcerpt</w:t>
            </w:r>
          </w:p>
        </w:tc>
      </w:tr>
      <w:tr w:rsidR="00D61F48" w:rsidRPr="005F1216" w:rsidTr="00FE4BB2">
        <w:tc>
          <w:tcPr>
            <w:tcW w:w="894" w:type="dxa"/>
          </w:tcPr>
          <w:p w:rsidR="00D61F48" w:rsidRPr="005F1216" w:rsidRDefault="00D61F48" w:rsidP="00D61F48">
            <w:pPr>
              <w:pStyle w:val="TableNote"/>
              <w:tabs>
                <w:tab w:val="left" w:pos="5400"/>
              </w:tabs>
              <w:spacing w:line="240" w:lineRule="auto"/>
              <w:rPr>
                <w:sz w:val="20"/>
              </w:rPr>
            </w:pPr>
            <w:r w:rsidRPr="005F1216">
              <w:rPr>
                <w:sz w:val="20"/>
              </w:rPr>
              <w:t>1</w:t>
            </w:r>
          </w:p>
        </w:tc>
        <w:tc>
          <w:tcPr>
            <w:tcW w:w="2896" w:type="dxa"/>
          </w:tcPr>
          <w:p w:rsidR="00D61F48" w:rsidRPr="005F1216" w:rsidRDefault="00D61F48" w:rsidP="00A80629">
            <w:pPr>
              <w:pStyle w:val="ListParagraph"/>
              <w:numPr>
                <w:ilvl w:val="0"/>
                <w:numId w:val="22"/>
              </w:numPr>
              <w:tabs>
                <w:tab w:val="left" w:pos="5400"/>
              </w:tabs>
              <w:spacing w:line="240" w:lineRule="auto"/>
              <w:rPr>
                <w:sz w:val="20"/>
              </w:rPr>
            </w:pPr>
            <w:r w:rsidRPr="005F1216">
              <w:rPr>
                <w:sz w:val="20"/>
              </w:rPr>
              <w:t>Indicate the study’s design with a commonly used term in the title or the abstract</w:t>
            </w:r>
          </w:p>
          <w:p w:rsidR="00D61F48" w:rsidRPr="005F1216" w:rsidRDefault="00D61F48" w:rsidP="00A80629">
            <w:pPr>
              <w:pStyle w:val="ListParagraph"/>
              <w:numPr>
                <w:ilvl w:val="0"/>
                <w:numId w:val="22"/>
              </w:numPr>
              <w:tabs>
                <w:tab w:val="left" w:pos="5400"/>
              </w:tabs>
              <w:spacing w:line="240" w:lineRule="auto"/>
              <w:rPr>
                <w:sz w:val="20"/>
              </w:rPr>
            </w:pPr>
            <w:r w:rsidRPr="005F1216">
              <w:rPr>
                <w:sz w:val="20"/>
              </w:rPr>
              <w:t>Provide in the abstract an informative and balanced summary of what was done and what was found</w:t>
            </w:r>
          </w:p>
        </w:tc>
        <w:tc>
          <w:tcPr>
            <w:tcW w:w="5841" w:type="dxa"/>
          </w:tcPr>
          <w:p w:rsidR="00D61F48" w:rsidRPr="006E59C5" w:rsidRDefault="00D61F48" w:rsidP="00D61F48">
            <w:pPr>
              <w:pStyle w:val="TableNote"/>
              <w:tabs>
                <w:tab w:val="left" w:pos="5400"/>
              </w:tabs>
              <w:spacing w:line="240" w:lineRule="auto"/>
              <w:rPr>
                <w:sz w:val="20"/>
              </w:rPr>
            </w:pPr>
            <w:r w:rsidRPr="006E59C5">
              <w:rPr>
                <w:bCs/>
                <w:sz w:val="20"/>
              </w:rPr>
              <w:t>‘</w:t>
            </w:r>
            <w:r w:rsidR="006E59C5" w:rsidRPr="006E59C5">
              <w:rPr>
                <w:bCs/>
                <w:sz w:val="20"/>
              </w:rPr>
              <w:t xml:space="preserve">This cross-sectional analysis </w:t>
            </w:r>
            <w:r w:rsidR="006E59C5" w:rsidRPr="006E59C5">
              <w:rPr>
                <w:sz w:val="20"/>
              </w:rPr>
              <w:t>included data from Iraqi and Afghan SIVH who received a domestic medical examination from January 2014 to December 2016.</w:t>
            </w:r>
            <w:r w:rsidRPr="006E59C5">
              <w:rPr>
                <w:sz w:val="20"/>
              </w:rPr>
              <w:t>’</w:t>
            </w:r>
          </w:p>
          <w:p w:rsidR="00D61F48" w:rsidRPr="005F1216" w:rsidRDefault="00D61F48" w:rsidP="00D61F48">
            <w:pPr>
              <w:pStyle w:val="TableNote"/>
              <w:tabs>
                <w:tab w:val="left" w:pos="5400"/>
              </w:tabs>
              <w:spacing w:line="240" w:lineRule="auto"/>
              <w:rPr>
                <w:sz w:val="20"/>
              </w:rPr>
            </w:pPr>
          </w:p>
          <w:p w:rsidR="00D61F48" w:rsidRPr="005F1216" w:rsidRDefault="00D61F48" w:rsidP="00D61F48">
            <w:pPr>
              <w:pStyle w:val="TableNote"/>
              <w:tabs>
                <w:tab w:val="left" w:pos="5400"/>
              </w:tabs>
              <w:spacing w:line="240" w:lineRule="auto"/>
              <w:rPr>
                <w:sz w:val="20"/>
              </w:rPr>
            </w:pPr>
            <w:r w:rsidRPr="005F1216">
              <w:rPr>
                <w:sz w:val="20"/>
              </w:rPr>
              <w:t xml:space="preserve">‘We investigated the frequency and proportion of diseases and whether there were any differences in selected disease prevalence in SIVH from Iraq compared to SIVH from Afghanistan.’   </w:t>
            </w:r>
          </w:p>
        </w:tc>
      </w:tr>
      <w:tr w:rsidR="00D61F48" w:rsidRPr="005F1216" w:rsidTr="00FE4BB2">
        <w:tc>
          <w:tcPr>
            <w:tcW w:w="894" w:type="dxa"/>
          </w:tcPr>
          <w:p w:rsidR="00D61F48" w:rsidRPr="005F1216" w:rsidRDefault="00D61F48" w:rsidP="00D61F48">
            <w:pPr>
              <w:pStyle w:val="TableNote"/>
              <w:tabs>
                <w:tab w:val="left" w:pos="5400"/>
              </w:tabs>
              <w:spacing w:line="240" w:lineRule="auto"/>
              <w:rPr>
                <w:sz w:val="20"/>
              </w:rPr>
            </w:pPr>
            <w:r w:rsidRPr="005F1216">
              <w:rPr>
                <w:sz w:val="20"/>
              </w:rPr>
              <w:t>2 &amp; 3</w:t>
            </w:r>
          </w:p>
        </w:tc>
        <w:tc>
          <w:tcPr>
            <w:tcW w:w="2896" w:type="dxa"/>
          </w:tcPr>
          <w:p w:rsidR="00D61F48" w:rsidRPr="005F1216" w:rsidRDefault="00D61F48" w:rsidP="00A80629">
            <w:pPr>
              <w:tabs>
                <w:tab w:val="left" w:pos="5400"/>
              </w:tabs>
              <w:spacing w:line="240" w:lineRule="auto"/>
              <w:rPr>
                <w:sz w:val="20"/>
              </w:rPr>
            </w:pPr>
            <w:r w:rsidRPr="005F1216">
              <w:rPr>
                <w:sz w:val="20"/>
              </w:rPr>
              <w:t>Explain the scientific background and rationale for the investigation being reported.</w:t>
            </w:r>
          </w:p>
          <w:p w:rsidR="00D61F48" w:rsidRPr="005F1216" w:rsidRDefault="00D61F48" w:rsidP="00A80629">
            <w:pPr>
              <w:tabs>
                <w:tab w:val="left" w:pos="5400"/>
              </w:tabs>
              <w:spacing w:line="240" w:lineRule="auto"/>
              <w:rPr>
                <w:sz w:val="20"/>
              </w:rPr>
            </w:pPr>
          </w:p>
          <w:p w:rsidR="00D61F48" w:rsidRPr="005F1216" w:rsidRDefault="00D61F48" w:rsidP="00A80629">
            <w:pPr>
              <w:tabs>
                <w:tab w:val="left" w:pos="5400"/>
              </w:tabs>
              <w:spacing w:line="240" w:lineRule="auto"/>
              <w:rPr>
                <w:sz w:val="20"/>
              </w:rPr>
            </w:pPr>
            <w:r w:rsidRPr="005F1216">
              <w:rPr>
                <w:sz w:val="20"/>
              </w:rPr>
              <w:t>State specific objectives, including any prespecified hypotheses</w:t>
            </w:r>
          </w:p>
        </w:tc>
        <w:tc>
          <w:tcPr>
            <w:tcW w:w="5841" w:type="dxa"/>
          </w:tcPr>
          <w:p w:rsidR="005F1216" w:rsidRPr="005F1216" w:rsidRDefault="005F1216" w:rsidP="00D61F48">
            <w:pPr>
              <w:pStyle w:val="TableNote"/>
              <w:tabs>
                <w:tab w:val="left" w:pos="5400"/>
              </w:tabs>
              <w:spacing w:line="240" w:lineRule="auto"/>
              <w:rPr>
                <w:sz w:val="20"/>
              </w:rPr>
            </w:pPr>
            <w:r w:rsidRPr="005F1216">
              <w:rPr>
                <w:sz w:val="20"/>
              </w:rPr>
              <w:t xml:space="preserve">**Presented throughout introduction. </w:t>
            </w:r>
          </w:p>
          <w:p w:rsidR="005F1216" w:rsidRPr="005F1216" w:rsidRDefault="005F1216" w:rsidP="00D61F48">
            <w:pPr>
              <w:pStyle w:val="TableNote"/>
              <w:tabs>
                <w:tab w:val="left" w:pos="5400"/>
              </w:tabs>
              <w:spacing w:line="240" w:lineRule="auto"/>
              <w:rPr>
                <w:sz w:val="20"/>
              </w:rPr>
            </w:pPr>
          </w:p>
          <w:p w:rsidR="005F1216" w:rsidRPr="005F1216" w:rsidRDefault="005F1216" w:rsidP="00D61F48">
            <w:pPr>
              <w:pStyle w:val="TableNote"/>
              <w:tabs>
                <w:tab w:val="left" w:pos="5400"/>
              </w:tabs>
              <w:spacing w:line="240" w:lineRule="auto"/>
              <w:rPr>
                <w:sz w:val="20"/>
              </w:rPr>
            </w:pPr>
            <w:r w:rsidRPr="005F1216">
              <w:rPr>
                <w:sz w:val="20"/>
              </w:rPr>
              <w:t xml:space="preserve">‘There is little information about health conditions in SIV populations despite the high number who have elected USRAP benefits.’ </w:t>
            </w:r>
          </w:p>
          <w:p w:rsidR="005F1216" w:rsidRPr="005F1216" w:rsidRDefault="005F1216" w:rsidP="00D61F48">
            <w:pPr>
              <w:pStyle w:val="TableNote"/>
              <w:tabs>
                <w:tab w:val="left" w:pos="5400"/>
              </w:tabs>
              <w:spacing w:line="240" w:lineRule="auto"/>
              <w:rPr>
                <w:sz w:val="20"/>
              </w:rPr>
            </w:pPr>
          </w:p>
          <w:p w:rsidR="005F1216" w:rsidRDefault="00D61F48" w:rsidP="00D61F48">
            <w:pPr>
              <w:pStyle w:val="TableNote"/>
              <w:tabs>
                <w:tab w:val="left" w:pos="5400"/>
              </w:tabs>
              <w:spacing w:line="240" w:lineRule="auto"/>
              <w:rPr>
                <w:sz w:val="20"/>
              </w:rPr>
            </w:pPr>
            <w:r w:rsidRPr="005F1216">
              <w:rPr>
                <w:sz w:val="20"/>
              </w:rPr>
              <w:t>‘</w:t>
            </w:r>
            <w:r w:rsidR="005F1216" w:rsidRPr="005F1216">
              <w:rPr>
                <w:sz w:val="20"/>
              </w:rPr>
              <w:t xml:space="preserve">Increasing clinician knowledge about common health conditions encountered in SIVH, including differences between Iraqi and Afghan SIVH, may facilitate diagnostic screening, physical examination, and referrals to additional healthcare providers in the United States. </w:t>
            </w:r>
            <w:r w:rsidRPr="005F1216">
              <w:rPr>
                <w:sz w:val="20"/>
              </w:rPr>
              <w:t xml:space="preserve">To the authors’ knowledge, this information is not currently available. Thus, we sought to describe health characteristics of recently arrived SIVH from Iraq and Afghanistan who were seen for domestic </w:t>
            </w:r>
            <w:r w:rsidR="006E59C5">
              <w:rPr>
                <w:sz w:val="20"/>
              </w:rPr>
              <w:t>medical examinations</w:t>
            </w:r>
            <w:r w:rsidRPr="005F1216">
              <w:rPr>
                <w:sz w:val="20"/>
              </w:rPr>
              <w:t>.</w:t>
            </w:r>
            <w:r w:rsidR="005F1216">
              <w:rPr>
                <w:sz w:val="20"/>
              </w:rPr>
              <w:t>’</w:t>
            </w:r>
            <w:r w:rsidRPr="005F1216">
              <w:rPr>
                <w:sz w:val="20"/>
              </w:rPr>
              <w:t xml:space="preserve"> </w:t>
            </w:r>
          </w:p>
          <w:p w:rsidR="005F1216" w:rsidRDefault="005F1216" w:rsidP="00D61F48">
            <w:pPr>
              <w:pStyle w:val="TableNote"/>
              <w:tabs>
                <w:tab w:val="left" w:pos="5400"/>
              </w:tabs>
              <w:spacing w:line="240" w:lineRule="auto"/>
              <w:rPr>
                <w:sz w:val="20"/>
              </w:rPr>
            </w:pPr>
          </w:p>
          <w:p w:rsidR="00D61F48" w:rsidRPr="005F1216" w:rsidRDefault="005F1216" w:rsidP="00D61F48">
            <w:pPr>
              <w:pStyle w:val="TableNote"/>
              <w:tabs>
                <w:tab w:val="left" w:pos="5400"/>
              </w:tabs>
              <w:spacing w:line="240" w:lineRule="auto"/>
              <w:rPr>
                <w:sz w:val="20"/>
              </w:rPr>
            </w:pPr>
            <w:r>
              <w:rPr>
                <w:sz w:val="20"/>
              </w:rPr>
              <w:t>‘</w:t>
            </w:r>
            <w:r w:rsidR="00D61F48" w:rsidRPr="005F1216">
              <w:rPr>
                <w:sz w:val="20"/>
              </w:rPr>
              <w:t>Specifically, we investigated the frequency and proportion of diseases commonly screened for in the domestic medical exam</w:t>
            </w:r>
            <w:r w:rsidR="006E59C5">
              <w:rPr>
                <w:sz w:val="20"/>
              </w:rPr>
              <w:t>ination</w:t>
            </w:r>
            <w:r w:rsidR="00D61F48" w:rsidRPr="005F1216">
              <w:rPr>
                <w:sz w:val="20"/>
              </w:rPr>
              <w:t xml:space="preserve"> and for certain diseases, whether there were any differences in prevalence for SIVH from Iraq compared to SIVH from Afghanistan.’</w:t>
            </w:r>
          </w:p>
        </w:tc>
      </w:tr>
      <w:tr w:rsidR="00D61F48" w:rsidRPr="0004373D" w:rsidTr="00FE4BB2">
        <w:tc>
          <w:tcPr>
            <w:tcW w:w="894" w:type="dxa"/>
          </w:tcPr>
          <w:p w:rsidR="00D61F48" w:rsidRPr="0004373D" w:rsidRDefault="005C546B" w:rsidP="005C546B">
            <w:pPr>
              <w:pStyle w:val="TableNote"/>
              <w:tabs>
                <w:tab w:val="left" w:pos="5400"/>
              </w:tabs>
              <w:spacing w:line="240" w:lineRule="auto"/>
              <w:rPr>
                <w:sz w:val="20"/>
              </w:rPr>
            </w:pPr>
            <w:r w:rsidRPr="0004373D">
              <w:rPr>
                <w:sz w:val="20"/>
              </w:rPr>
              <w:t>4</w:t>
            </w:r>
          </w:p>
        </w:tc>
        <w:tc>
          <w:tcPr>
            <w:tcW w:w="2896" w:type="dxa"/>
          </w:tcPr>
          <w:p w:rsidR="00D61F48" w:rsidRPr="0004373D" w:rsidRDefault="005C546B" w:rsidP="00A80629">
            <w:pPr>
              <w:tabs>
                <w:tab w:val="left" w:pos="5400"/>
              </w:tabs>
              <w:spacing w:line="240" w:lineRule="auto"/>
              <w:rPr>
                <w:sz w:val="20"/>
              </w:rPr>
            </w:pPr>
            <w:r w:rsidRPr="0004373D">
              <w:rPr>
                <w:sz w:val="20"/>
              </w:rPr>
              <w:t>Present key elements of study design early in the paper</w:t>
            </w:r>
          </w:p>
        </w:tc>
        <w:tc>
          <w:tcPr>
            <w:tcW w:w="5841" w:type="dxa"/>
          </w:tcPr>
          <w:p w:rsidR="00D61F48" w:rsidRPr="0004373D" w:rsidRDefault="005C546B" w:rsidP="005C546B">
            <w:pPr>
              <w:pStyle w:val="TableNote"/>
              <w:tabs>
                <w:tab w:val="left" w:pos="5400"/>
              </w:tabs>
              <w:spacing w:line="240" w:lineRule="auto"/>
              <w:rPr>
                <w:sz w:val="20"/>
              </w:rPr>
            </w:pPr>
            <w:r w:rsidRPr="0004373D">
              <w:rPr>
                <w:sz w:val="20"/>
              </w:rPr>
              <w:t>‘This cross-sectional analysis included data</w:t>
            </w:r>
            <w:r w:rsidR="006E59C5">
              <w:rPr>
                <w:sz w:val="20"/>
              </w:rPr>
              <w:t xml:space="preserve"> from</w:t>
            </w:r>
            <w:r w:rsidRPr="0004373D">
              <w:rPr>
                <w:sz w:val="20"/>
              </w:rPr>
              <w:t xml:space="preserve"> Iraqi and Afghan SIVH who received a domestic medical examination between January 2014 and December 2016.’</w:t>
            </w:r>
          </w:p>
        </w:tc>
      </w:tr>
      <w:tr w:rsidR="00D61F48" w:rsidRPr="0004373D" w:rsidTr="00FE4BB2">
        <w:tc>
          <w:tcPr>
            <w:tcW w:w="894" w:type="dxa"/>
          </w:tcPr>
          <w:p w:rsidR="00D61F48" w:rsidRPr="0004373D" w:rsidRDefault="005C546B" w:rsidP="00D61F48">
            <w:pPr>
              <w:pStyle w:val="TableNote"/>
              <w:tabs>
                <w:tab w:val="left" w:pos="5400"/>
              </w:tabs>
              <w:spacing w:line="240" w:lineRule="auto"/>
              <w:rPr>
                <w:sz w:val="20"/>
              </w:rPr>
            </w:pPr>
            <w:r w:rsidRPr="0004373D">
              <w:rPr>
                <w:sz w:val="20"/>
              </w:rPr>
              <w:t>5</w:t>
            </w:r>
          </w:p>
        </w:tc>
        <w:tc>
          <w:tcPr>
            <w:tcW w:w="2896" w:type="dxa"/>
          </w:tcPr>
          <w:p w:rsidR="00D61F48" w:rsidRPr="0004373D" w:rsidRDefault="005C546B" w:rsidP="00A80629">
            <w:pPr>
              <w:pStyle w:val="TableNote"/>
              <w:tabs>
                <w:tab w:val="left" w:pos="5400"/>
              </w:tabs>
              <w:spacing w:line="240" w:lineRule="auto"/>
              <w:rPr>
                <w:sz w:val="20"/>
              </w:rPr>
            </w:pPr>
            <w:r w:rsidRPr="0004373D">
              <w:rPr>
                <w:sz w:val="20"/>
              </w:rPr>
              <w:t>Describe the setting, locations, and relevant dates, including periods of recruitment, exposure, follow-up, and data collection</w:t>
            </w:r>
          </w:p>
        </w:tc>
        <w:tc>
          <w:tcPr>
            <w:tcW w:w="5841" w:type="dxa"/>
          </w:tcPr>
          <w:p w:rsidR="00D61F48" w:rsidRPr="0004373D" w:rsidRDefault="005C546B" w:rsidP="005C546B">
            <w:pPr>
              <w:pStyle w:val="TableNote"/>
              <w:tabs>
                <w:tab w:val="left" w:pos="5400"/>
              </w:tabs>
              <w:spacing w:line="240" w:lineRule="auto"/>
              <w:rPr>
                <w:sz w:val="20"/>
              </w:rPr>
            </w:pPr>
            <w:r w:rsidRPr="0004373D">
              <w:rPr>
                <w:sz w:val="20"/>
              </w:rPr>
              <w:t>‘… Iraqi and Afghan SIVH who received a domestic medical examination between January 2014 and December 2016. CDC collaborated with nine partners as part of a cooperative agreement (</w:t>
            </w:r>
            <w:r w:rsidRPr="0004373D">
              <w:rPr>
                <w:i/>
                <w:sz w:val="20"/>
              </w:rPr>
              <w:t>CK12-1205</w:t>
            </w:r>
            <w:r w:rsidRPr="0004373D">
              <w:rPr>
                <w:sz w:val="20"/>
              </w:rPr>
              <w:t xml:space="preserve">) to collect domestic screening exam data for analysis. Partners included the state refugee health programs in California, Colorado, Illinois, Kentucky, Minnesota, New York, and Texas; local partners in Marion County, Indiana; and an academic health </w:t>
            </w:r>
            <w:proofErr w:type="spellStart"/>
            <w:r w:rsidRPr="0004373D">
              <w:rPr>
                <w:sz w:val="20"/>
              </w:rPr>
              <w:t>center</w:t>
            </w:r>
            <w:proofErr w:type="spellEnd"/>
            <w:r w:rsidRPr="0004373D">
              <w:rPr>
                <w:sz w:val="20"/>
              </w:rPr>
              <w:t xml:space="preserve"> in Philadelphia, Pennsylvania.’</w:t>
            </w:r>
          </w:p>
        </w:tc>
      </w:tr>
      <w:tr w:rsidR="00D61F48" w:rsidRPr="0004373D" w:rsidTr="00FE4BB2">
        <w:tc>
          <w:tcPr>
            <w:tcW w:w="894" w:type="dxa"/>
          </w:tcPr>
          <w:p w:rsidR="00D61F48" w:rsidRPr="0004373D" w:rsidRDefault="005C546B" w:rsidP="00D61F48">
            <w:pPr>
              <w:pStyle w:val="TableNote"/>
              <w:tabs>
                <w:tab w:val="left" w:pos="5400"/>
              </w:tabs>
              <w:spacing w:line="240" w:lineRule="auto"/>
              <w:rPr>
                <w:sz w:val="20"/>
              </w:rPr>
            </w:pPr>
            <w:r w:rsidRPr="0004373D">
              <w:rPr>
                <w:sz w:val="20"/>
              </w:rPr>
              <w:t>6</w:t>
            </w:r>
          </w:p>
        </w:tc>
        <w:tc>
          <w:tcPr>
            <w:tcW w:w="2896" w:type="dxa"/>
          </w:tcPr>
          <w:p w:rsidR="00D61F48" w:rsidRPr="0004373D" w:rsidRDefault="005C546B" w:rsidP="00A80629">
            <w:pPr>
              <w:pStyle w:val="TableNote"/>
              <w:tabs>
                <w:tab w:val="left" w:pos="5400"/>
              </w:tabs>
              <w:spacing w:line="240" w:lineRule="auto"/>
              <w:rPr>
                <w:sz w:val="20"/>
              </w:rPr>
            </w:pPr>
            <w:r w:rsidRPr="0004373D">
              <w:rPr>
                <w:sz w:val="20"/>
              </w:rPr>
              <w:t>(</w:t>
            </w:r>
            <w:r w:rsidRPr="0004373D">
              <w:rPr>
                <w:i/>
                <w:sz w:val="20"/>
              </w:rPr>
              <w:t>a</w:t>
            </w:r>
            <w:r w:rsidRPr="0004373D">
              <w:rPr>
                <w:sz w:val="20"/>
              </w:rPr>
              <w:t>) Give the eligibility criteria, and the sources and methods of selection of participants</w:t>
            </w:r>
          </w:p>
        </w:tc>
        <w:tc>
          <w:tcPr>
            <w:tcW w:w="5841" w:type="dxa"/>
          </w:tcPr>
          <w:p w:rsidR="005F1216" w:rsidRPr="005F1216" w:rsidRDefault="005F1216" w:rsidP="00D61F48">
            <w:pPr>
              <w:pStyle w:val="TableNote"/>
              <w:tabs>
                <w:tab w:val="left" w:pos="5400"/>
              </w:tabs>
              <w:spacing w:line="240" w:lineRule="auto"/>
              <w:rPr>
                <w:sz w:val="20"/>
              </w:rPr>
            </w:pPr>
            <w:r w:rsidRPr="005F1216">
              <w:rPr>
                <w:sz w:val="20"/>
              </w:rPr>
              <w:t>‘…included data Iraqi and Afghan SIVH who received a domestic medical examination between January 2014 and December 2016.’</w:t>
            </w:r>
          </w:p>
          <w:p w:rsidR="005F1216" w:rsidRPr="005F1216" w:rsidRDefault="005F1216" w:rsidP="00D61F48">
            <w:pPr>
              <w:pStyle w:val="TableNote"/>
              <w:tabs>
                <w:tab w:val="left" w:pos="5400"/>
              </w:tabs>
              <w:spacing w:line="240" w:lineRule="auto"/>
              <w:rPr>
                <w:sz w:val="20"/>
              </w:rPr>
            </w:pPr>
          </w:p>
          <w:p w:rsidR="00D61F48" w:rsidRDefault="0004373D" w:rsidP="00D61F48">
            <w:pPr>
              <w:pStyle w:val="TableNote"/>
              <w:tabs>
                <w:tab w:val="left" w:pos="5400"/>
              </w:tabs>
              <w:spacing w:line="240" w:lineRule="auto"/>
              <w:rPr>
                <w:sz w:val="20"/>
              </w:rPr>
            </w:pPr>
            <w:r w:rsidRPr="005F1216">
              <w:rPr>
                <w:sz w:val="20"/>
              </w:rPr>
              <w:t>‘</w:t>
            </w:r>
            <w:r w:rsidR="005C546B" w:rsidRPr="005F1216">
              <w:rPr>
                <w:sz w:val="20"/>
              </w:rPr>
              <w:t>Data were obtained from partner refugee health databases. Some partners obtained individual-specific data from external programs (e.g., tuberculosis or lead prevention) in their jurisdictions.</w:t>
            </w:r>
            <w:r w:rsidRPr="005F1216">
              <w:rPr>
                <w:sz w:val="20"/>
              </w:rPr>
              <w:t>’</w:t>
            </w:r>
          </w:p>
          <w:p w:rsidR="0016156C" w:rsidRDefault="0016156C" w:rsidP="00D61F48">
            <w:pPr>
              <w:pStyle w:val="TableNote"/>
              <w:tabs>
                <w:tab w:val="left" w:pos="5400"/>
              </w:tabs>
              <w:spacing w:line="240" w:lineRule="auto"/>
              <w:rPr>
                <w:sz w:val="20"/>
              </w:rPr>
            </w:pPr>
          </w:p>
          <w:p w:rsidR="0016156C" w:rsidRPr="005F1216" w:rsidRDefault="0016156C" w:rsidP="00D61F48">
            <w:pPr>
              <w:pStyle w:val="TableNote"/>
              <w:tabs>
                <w:tab w:val="left" w:pos="5400"/>
              </w:tabs>
              <w:spacing w:line="240" w:lineRule="auto"/>
              <w:rPr>
                <w:sz w:val="20"/>
              </w:rPr>
            </w:pPr>
            <w:r w:rsidRPr="0004373D">
              <w:rPr>
                <w:sz w:val="20"/>
              </w:rPr>
              <w:t>‘Demographic information (sex, age, and primary language spoken by the SIVH or used by the interpreter during the exam), nationality, and country of last residence were either provided by the site, or, if a unique identifier was provided in the data set, obtained from matched records in CDC’s Electronic Disease Notification (EDN) system.’</w:t>
            </w:r>
          </w:p>
        </w:tc>
      </w:tr>
      <w:tr w:rsidR="00D61F48" w:rsidRPr="0004373D" w:rsidTr="00FE4BB2">
        <w:tc>
          <w:tcPr>
            <w:tcW w:w="894" w:type="dxa"/>
          </w:tcPr>
          <w:p w:rsidR="00D61F48" w:rsidRPr="0004373D" w:rsidRDefault="005C546B" w:rsidP="00D61F48">
            <w:pPr>
              <w:pStyle w:val="TableNote"/>
              <w:tabs>
                <w:tab w:val="left" w:pos="5400"/>
              </w:tabs>
              <w:spacing w:line="240" w:lineRule="auto"/>
              <w:rPr>
                <w:sz w:val="20"/>
              </w:rPr>
            </w:pPr>
            <w:r w:rsidRPr="0004373D">
              <w:rPr>
                <w:sz w:val="20"/>
              </w:rPr>
              <w:t>7</w:t>
            </w:r>
          </w:p>
        </w:tc>
        <w:tc>
          <w:tcPr>
            <w:tcW w:w="2896" w:type="dxa"/>
          </w:tcPr>
          <w:p w:rsidR="00D61F48" w:rsidRPr="0004373D" w:rsidRDefault="005C546B" w:rsidP="00A80629">
            <w:pPr>
              <w:pStyle w:val="TableNote"/>
              <w:tabs>
                <w:tab w:val="left" w:pos="5400"/>
              </w:tabs>
              <w:spacing w:line="240" w:lineRule="auto"/>
              <w:rPr>
                <w:sz w:val="20"/>
              </w:rPr>
            </w:pPr>
            <w:r w:rsidRPr="0004373D">
              <w:rPr>
                <w:sz w:val="20"/>
              </w:rPr>
              <w:t>Clearly define all outcomes, exposures, predictors, potential confounders, and effect modifiers. Give diagnostic criteria, if applicable</w:t>
            </w:r>
          </w:p>
        </w:tc>
        <w:tc>
          <w:tcPr>
            <w:tcW w:w="5841" w:type="dxa"/>
          </w:tcPr>
          <w:p w:rsidR="00D61F48" w:rsidRPr="0004373D" w:rsidRDefault="0004373D" w:rsidP="00D61F48">
            <w:pPr>
              <w:pStyle w:val="TableNote"/>
              <w:tabs>
                <w:tab w:val="left" w:pos="5400"/>
              </w:tabs>
              <w:spacing w:line="240" w:lineRule="auto"/>
              <w:rPr>
                <w:sz w:val="20"/>
              </w:rPr>
            </w:pPr>
            <w:r w:rsidRPr="0004373D">
              <w:rPr>
                <w:sz w:val="20"/>
              </w:rPr>
              <w:t>‘Demographic information (sex, age, and primary language spoken by the SIVH or used by the interpreter during the exam), nationality, and country of last residence were either provided by the site, or, if a unique identifier was provided in the data set, obtained from matched records in CDC’s Electronic Disease Notification (EDN) system.’</w:t>
            </w:r>
          </w:p>
          <w:p w:rsidR="0004373D" w:rsidRPr="0004373D" w:rsidRDefault="0004373D" w:rsidP="00D61F48">
            <w:pPr>
              <w:pStyle w:val="TableNote"/>
              <w:tabs>
                <w:tab w:val="left" w:pos="5400"/>
              </w:tabs>
              <w:spacing w:line="240" w:lineRule="auto"/>
              <w:rPr>
                <w:sz w:val="20"/>
              </w:rPr>
            </w:pPr>
          </w:p>
          <w:p w:rsidR="006E59C5" w:rsidRDefault="0004373D" w:rsidP="00D61F48">
            <w:pPr>
              <w:pStyle w:val="TableNote"/>
              <w:tabs>
                <w:tab w:val="left" w:pos="5400"/>
              </w:tabs>
              <w:spacing w:line="240" w:lineRule="auto"/>
              <w:rPr>
                <w:sz w:val="20"/>
              </w:rPr>
            </w:pPr>
            <w:r w:rsidRPr="0004373D">
              <w:rPr>
                <w:sz w:val="20"/>
              </w:rPr>
              <w:t>‘</w:t>
            </w:r>
            <w:r w:rsidR="006E59C5">
              <w:rPr>
                <w:sz w:val="20"/>
              </w:rPr>
              <w:t xml:space="preserve">Screening test results </w:t>
            </w:r>
            <w:r w:rsidRPr="0004373D">
              <w:rPr>
                <w:sz w:val="20"/>
              </w:rPr>
              <w:t xml:space="preserve">were collected for tuberculosis, hepatitis B, hepatitis C, malaria, strongyloidiasis, schistosomiasis, presence of other intestinal parasites, syphilis, </w:t>
            </w:r>
            <w:proofErr w:type="spellStart"/>
            <w:r w:rsidRPr="0004373D">
              <w:rPr>
                <w:sz w:val="20"/>
              </w:rPr>
              <w:t>gonorrhea</w:t>
            </w:r>
            <w:proofErr w:type="spellEnd"/>
            <w:r w:rsidRPr="0004373D">
              <w:rPr>
                <w:sz w:val="20"/>
              </w:rPr>
              <w:t xml:space="preserve">, chlamydia, human immunodeficiency virus (HIV), and elevated blood lead levels (EBLL). </w:t>
            </w:r>
          </w:p>
          <w:p w:rsidR="006E59C5" w:rsidRDefault="006E59C5" w:rsidP="00D61F48">
            <w:pPr>
              <w:pStyle w:val="TableNote"/>
              <w:tabs>
                <w:tab w:val="left" w:pos="5400"/>
              </w:tabs>
              <w:spacing w:line="240" w:lineRule="auto"/>
              <w:rPr>
                <w:sz w:val="20"/>
              </w:rPr>
            </w:pPr>
          </w:p>
          <w:p w:rsidR="0004373D" w:rsidRDefault="006E59C5" w:rsidP="00D61F48">
            <w:pPr>
              <w:pStyle w:val="TableNote"/>
              <w:tabs>
                <w:tab w:val="left" w:pos="5400"/>
              </w:tabs>
              <w:spacing w:line="240" w:lineRule="auto"/>
              <w:rPr>
                <w:sz w:val="20"/>
              </w:rPr>
            </w:pPr>
            <w:r>
              <w:rPr>
                <w:sz w:val="20"/>
              </w:rPr>
              <w:lastRenderedPageBreak/>
              <w:t>‘</w:t>
            </w:r>
            <w:r w:rsidR="0004373D" w:rsidRPr="0004373D">
              <w:rPr>
                <w:sz w:val="20"/>
              </w:rPr>
              <w:t>For tuberculosis, information on diagnosis was reported and categorized as no evidence of TB…’</w:t>
            </w:r>
          </w:p>
          <w:p w:rsidR="0016156C" w:rsidRDefault="0016156C" w:rsidP="00D61F48">
            <w:pPr>
              <w:pStyle w:val="TableNote"/>
              <w:tabs>
                <w:tab w:val="left" w:pos="5400"/>
              </w:tabs>
              <w:spacing w:line="240" w:lineRule="auto"/>
              <w:rPr>
                <w:sz w:val="20"/>
              </w:rPr>
            </w:pPr>
          </w:p>
          <w:p w:rsidR="00481781" w:rsidRPr="0016156C" w:rsidRDefault="0016156C" w:rsidP="0016156C">
            <w:pPr>
              <w:pStyle w:val="TableNote"/>
              <w:tabs>
                <w:tab w:val="left" w:pos="5400"/>
              </w:tabs>
              <w:spacing w:line="240" w:lineRule="auto"/>
              <w:rPr>
                <w:sz w:val="20"/>
              </w:rPr>
            </w:pPr>
            <w:r w:rsidRPr="0016156C">
              <w:rPr>
                <w:sz w:val="20"/>
              </w:rPr>
              <w:t xml:space="preserve">‘For hepatitis C, malaria, strongyloidiasis, schistosomiasis, syphilis, </w:t>
            </w:r>
            <w:proofErr w:type="spellStart"/>
            <w:r w:rsidRPr="0016156C">
              <w:rPr>
                <w:sz w:val="20"/>
              </w:rPr>
              <w:t>gonorrhea</w:t>
            </w:r>
            <w:proofErr w:type="spellEnd"/>
            <w:r w:rsidRPr="0016156C">
              <w:rPr>
                <w:sz w:val="20"/>
              </w:rPr>
              <w:t>, chlamydia, and HIV, we categorized the outcome as either ‘screened and positive’ or ‘screened and negative.’ Persons who were screened and had unknown results reported were excluded from the analysis.’</w:t>
            </w:r>
          </w:p>
        </w:tc>
      </w:tr>
      <w:tr w:rsidR="00D61F48" w:rsidRPr="0004373D" w:rsidTr="00FE4BB2">
        <w:tc>
          <w:tcPr>
            <w:tcW w:w="894" w:type="dxa"/>
          </w:tcPr>
          <w:p w:rsidR="00D61F48" w:rsidRPr="0004373D" w:rsidRDefault="0004373D" w:rsidP="00D61F48">
            <w:pPr>
              <w:pStyle w:val="TableNote"/>
              <w:tabs>
                <w:tab w:val="left" w:pos="5400"/>
              </w:tabs>
              <w:spacing w:line="240" w:lineRule="auto"/>
              <w:rPr>
                <w:sz w:val="20"/>
              </w:rPr>
            </w:pPr>
            <w:r w:rsidRPr="0004373D">
              <w:rPr>
                <w:sz w:val="20"/>
              </w:rPr>
              <w:lastRenderedPageBreak/>
              <w:t>8</w:t>
            </w:r>
          </w:p>
        </w:tc>
        <w:tc>
          <w:tcPr>
            <w:tcW w:w="2896" w:type="dxa"/>
          </w:tcPr>
          <w:p w:rsidR="00D61F48" w:rsidRPr="0004373D" w:rsidRDefault="0004373D" w:rsidP="00A80629">
            <w:pPr>
              <w:pStyle w:val="TableNote"/>
              <w:tabs>
                <w:tab w:val="left" w:pos="5400"/>
              </w:tabs>
              <w:spacing w:line="240" w:lineRule="auto"/>
              <w:rPr>
                <w:sz w:val="20"/>
              </w:rPr>
            </w:pPr>
            <w:r w:rsidRPr="0004373D">
              <w:rPr>
                <w:sz w:val="20"/>
              </w:rPr>
              <w:t>For each variable of interest, give sources of data and details of methods of assessment (measurement). Describe comparability of assessment methods if there is more than one group</w:t>
            </w:r>
          </w:p>
        </w:tc>
        <w:tc>
          <w:tcPr>
            <w:tcW w:w="5841" w:type="dxa"/>
          </w:tcPr>
          <w:p w:rsidR="00D61F48" w:rsidRDefault="00FE4BB2" w:rsidP="00D61F48">
            <w:pPr>
              <w:pStyle w:val="TableNote"/>
              <w:tabs>
                <w:tab w:val="left" w:pos="5400"/>
              </w:tabs>
              <w:spacing w:line="240" w:lineRule="auto"/>
              <w:rPr>
                <w:sz w:val="20"/>
              </w:rPr>
            </w:pPr>
            <w:r>
              <w:rPr>
                <w:sz w:val="20"/>
              </w:rPr>
              <w:t xml:space="preserve">Most data were </w:t>
            </w:r>
            <w:r w:rsidR="0004373D" w:rsidRPr="0004373D">
              <w:rPr>
                <w:sz w:val="20"/>
              </w:rPr>
              <w:t>‘… obtained from matched records in CDC’s Electronic Disease Notification (EDN) system. EDN is a centralized reporting system that notifies US state and local health departments and screening clinics of the arrival of immigrants with health conditions requiring medical follow-up, including tuberculosis-related conditions, and all refugees.’</w:t>
            </w:r>
          </w:p>
          <w:p w:rsidR="00FE4BB2" w:rsidRDefault="00FE4BB2" w:rsidP="00D61F48">
            <w:pPr>
              <w:pStyle w:val="TableNote"/>
              <w:tabs>
                <w:tab w:val="left" w:pos="5400"/>
              </w:tabs>
              <w:spacing w:line="240" w:lineRule="auto"/>
              <w:rPr>
                <w:sz w:val="20"/>
              </w:rPr>
            </w:pPr>
          </w:p>
          <w:p w:rsidR="00FE4BB2" w:rsidRPr="00FE4BB2" w:rsidRDefault="00FE4BB2" w:rsidP="00D61F48">
            <w:pPr>
              <w:pStyle w:val="TableNote"/>
              <w:tabs>
                <w:tab w:val="left" w:pos="5400"/>
              </w:tabs>
              <w:spacing w:line="240" w:lineRule="auto"/>
              <w:rPr>
                <w:sz w:val="20"/>
              </w:rPr>
            </w:pPr>
            <w:r w:rsidRPr="00FE4BB2">
              <w:rPr>
                <w:sz w:val="20"/>
              </w:rPr>
              <w:t>‘…</w:t>
            </w:r>
            <w:r w:rsidRPr="00FE4BB2">
              <w:rPr>
                <w:spacing w:val="1"/>
                <w:sz w:val="20"/>
              </w:rPr>
              <w:t>results were stratified by SIV population (Afghan vs. Iraqi) and age at screening visit (</w:t>
            </w:r>
            <w:r w:rsidRPr="00FE4BB2">
              <w:rPr>
                <w:sz w:val="20"/>
              </w:rPr>
              <w:t>adult ≥18 years, child &lt;18 years</w:t>
            </w:r>
            <w:r w:rsidRPr="00FE4BB2">
              <w:rPr>
                <w:spacing w:val="1"/>
                <w:sz w:val="20"/>
              </w:rPr>
              <w:t>).’</w:t>
            </w:r>
          </w:p>
        </w:tc>
      </w:tr>
      <w:tr w:rsidR="00FE4BB2" w:rsidRPr="0004373D" w:rsidTr="00FE4BB2">
        <w:tc>
          <w:tcPr>
            <w:tcW w:w="894" w:type="dxa"/>
          </w:tcPr>
          <w:p w:rsidR="00FE4BB2" w:rsidRPr="0004373D" w:rsidRDefault="00FE4BB2" w:rsidP="00FE4BB2">
            <w:pPr>
              <w:pStyle w:val="TableNote"/>
              <w:tabs>
                <w:tab w:val="left" w:pos="5400"/>
              </w:tabs>
              <w:spacing w:line="240" w:lineRule="auto"/>
              <w:rPr>
                <w:sz w:val="20"/>
              </w:rPr>
            </w:pPr>
            <w:r>
              <w:rPr>
                <w:sz w:val="20"/>
              </w:rPr>
              <w:t>9</w:t>
            </w:r>
          </w:p>
        </w:tc>
        <w:tc>
          <w:tcPr>
            <w:tcW w:w="2896" w:type="dxa"/>
          </w:tcPr>
          <w:p w:rsidR="00FE4BB2" w:rsidRPr="0022554A" w:rsidRDefault="00FE4BB2" w:rsidP="00A80629">
            <w:pPr>
              <w:tabs>
                <w:tab w:val="left" w:pos="5400"/>
              </w:tabs>
              <w:spacing w:line="240" w:lineRule="auto"/>
              <w:rPr>
                <w:color w:val="000000"/>
                <w:sz w:val="20"/>
              </w:rPr>
            </w:pPr>
            <w:r w:rsidRPr="0022554A">
              <w:rPr>
                <w:color w:val="000000"/>
                <w:sz w:val="20"/>
              </w:rPr>
              <w:t>Describe any efforts to address potential sources of bias</w:t>
            </w:r>
          </w:p>
        </w:tc>
        <w:tc>
          <w:tcPr>
            <w:tcW w:w="5841" w:type="dxa"/>
          </w:tcPr>
          <w:p w:rsidR="00FE4BB2" w:rsidRPr="00481781" w:rsidRDefault="00FE4BB2" w:rsidP="00481781">
            <w:pPr>
              <w:pStyle w:val="TableNote"/>
              <w:tabs>
                <w:tab w:val="left" w:pos="5400"/>
              </w:tabs>
              <w:spacing w:line="240" w:lineRule="auto"/>
              <w:rPr>
                <w:sz w:val="20"/>
              </w:rPr>
            </w:pPr>
            <w:r w:rsidRPr="00481781">
              <w:rPr>
                <w:sz w:val="20"/>
              </w:rPr>
              <w:t>‘</w:t>
            </w:r>
            <w:r w:rsidRPr="00481781">
              <w:rPr>
                <w:spacing w:val="1"/>
                <w:sz w:val="20"/>
              </w:rPr>
              <w:t>Denominators varied because of missing data and screening differences across sites</w:t>
            </w:r>
            <w:r w:rsidR="00481781" w:rsidRPr="00481781">
              <w:rPr>
                <w:spacing w:val="1"/>
                <w:sz w:val="20"/>
              </w:rPr>
              <w:t>…</w:t>
            </w:r>
            <w:r w:rsidRPr="00481781">
              <w:rPr>
                <w:spacing w:val="1"/>
                <w:sz w:val="20"/>
              </w:rPr>
              <w:t xml:space="preserve">Thus, </w:t>
            </w:r>
            <w:r w:rsidRPr="00481781">
              <w:rPr>
                <w:sz w:val="20"/>
              </w:rPr>
              <w:t>prevalence of health conditions was reported among those with available screening results.</w:t>
            </w:r>
            <w:r w:rsidR="00481781" w:rsidRPr="00481781">
              <w:rPr>
                <w:sz w:val="20"/>
              </w:rPr>
              <w:t xml:space="preserve"> When calculating the proportions of persons who screened positive for a condition, we excluded sites that were only able to provide positive testing results without providing denominator data on how many people were screened for the condition, or who didn’t screen for or report a specific condition.’</w:t>
            </w:r>
          </w:p>
        </w:tc>
      </w:tr>
      <w:tr w:rsidR="00FE4BB2" w:rsidRPr="0004373D" w:rsidTr="00FE4BB2">
        <w:tc>
          <w:tcPr>
            <w:tcW w:w="894" w:type="dxa"/>
          </w:tcPr>
          <w:p w:rsidR="00FE4BB2" w:rsidRPr="0004373D" w:rsidRDefault="00FE4BB2" w:rsidP="00FE4BB2">
            <w:pPr>
              <w:pStyle w:val="TableNote"/>
              <w:tabs>
                <w:tab w:val="left" w:pos="5400"/>
              </w:tabs>
              <w:spacing w:line="240" w:lineRule="auto"/>
              <w:rPr>
                <w:sz w:val="20"/>
              </w:rPr>
            </w:pPr>
            <w:r w:rsidRPr="0004373D">
              <w:rPr>
                <w:sz w:val="20"/>
              </w:rPr>
              <w:t xml:space="preserve">10 </w:t>
            </w:r>
          </w:p>
        </w:tc>
        <w:tc>
          <w:tcPr>
            <w:tcW w:w="2896" w:type="dxa"/>
          </w:tcPr>
          <w:p w:rsidR="00FE4BB2" w:rsidRPr="00FE4BB2" w:rsidRDefault="00FE4BB2" w:rsidP="00A80629">
            <w:pPr>
              <w:pStyle w:val="TableNote"/>
              <w:tabs>
                <w:tab w:val="left" w:pos="5400"/>
              </w:tabs>
              <w:spacing w:line="240" w:lineRule="auto"/>
              <w:rPr>
                <w:sz w:val="20"/>
              </w:rPr>
            </w:pPr>
            <w:r w:rsidRPr="00FE4BB2">
              <w:rPr>
                <w:sz w:val="20"/>
              </w:rPr>
              <w:t>Explain how the study size was arrived at</w:t>
            </w:r>
          </w:p>
        </w:tc>
        <w:tc>
          <w:tcPr>
            <w:tcW w:w="5841" w:type="dxa"/>
          </w:tcPr>
          <w:p w:rsidR="00FE4BB2" w:rsidRPr="00FE4BB2" w:rsidRDefault="00FE4BB2" w:rsidP="00FE4BB2">
            <w:pPr>
              <w:pStyle w:val="TableNote"/>
              <w:tabs>
                <w:tab w:val="left" w:pos="5400"/>
              </w:tabs>
              <w:spacing w:line="240" w:lineRule="auto"/>
              <w:rPr>
                <w:sz w:val="20"/>
              </w:rPr>
            </w:pPr>
            <w:r w:rsidRPr="00FE4BB2">
              <w:rPr>
                <w:sz w:val="20"/>
              </w:rPr>
              <w:t xml:space="preserve">This analysis ‘…included data Iraqi and Afghan SIVH who received a domestic medical examination between January 2014 and December 2016. CDC collaborated with nine partners as part of a cooperative agreement…’ </w:t>
            </w:r>
          </w:p>
          <w:p w:rsidR="00FE4BB2" w:rsidRPr="00FE4BB2" w:rsidRDefault="00FE4BB2" w:rsidP="00FE4BB2">
            <w:pPr>
              <w:pStyle w:val="TableNote"/>
              <w:tabs>
                <w:tab w:val="left" w:pos="5400"/>
              </w:tabs>
              <w:spacing w:line="240" w:lineRule="auto"/>
              <w:rPr>
                <w:sz w:val="20"/>
              </w:rPr>
            </w:pPr>
          </w:p>
          <w:p w:rsidR="00FE4BB2" w:rsidRPr="00FE4BB2" w:rsidRDefault="00FE4BB2" w:rsidP="00FE4BB2">
            <w:pPr>
              <w:pStyle w:val="TableNote"/>
              <w:tabs>
                <w:tab w:val="left" w:pos="5400"/>
              </w:tabs>
              <w:spacing w:line="240" w:lineRule="auto"/>
              <w:rPr>
                <w:sz w:val="20"/>
              </w:rPr>
            </w:pPr>
            <w:r w:rsidRPr="00FE4BB2">
              <w:rPr>
                <w:sz w:val="20"/>
              </w:rPr>
              <w:t>‘</w:t>
            </w:r>
            <w:r w:rsidRPr="00FE4BB2">
              <w:rPr>
                <w:spacing w:val="1"/>
                <w:sz w:val="20"/>
              </w:rPr>
              <w:t xml:space="preserve">Denominators varied because of missing data and screening differences across sites.  Thus, </w:t>
            </w:r>
            <w:r w:rsidRPr="00FE4BB2">
              <w:rPr>
                <w:sz w:val="20"/>
              </w:rPr>
              <w:t xml:space="preserve">prevalence of health conditions was reported among those with available screening results.’ </w:t>
            </w:r>
          </w:p>
        </w:tc>
      </w:tr>
      <w:tr w:rsidR="00FE4BB2" w:rsidRPr="0004373D" w:rsidTr="00FE4BB2">
        <w:tc>
          <w:tcPr>
            <w:tcW w:w="894" w:type="dxa"/>
          </w:tcPr>
          <w:p w:rsidR="00FE4BB2" w:rsidRPr="0004373D" w:rsidRDefault="00FE4BB2" w:rsidP="00FE4BB2">
            <w:pPr>
              <w:pStyle w:val="TableNote"/>
              <w:tabs>
                <w:tab w:val="left" w:pos="5400"/>
              </w:tabs>
              <w:spacing w:line="240" w:lineRule="auto"/>
              <w:rPr>
                <w:sz w:val="20"/>
              </w:rPr>
            </w:pPr>
            <w:r w:rsidRPr="0004373D">
              <w:rPr>
                <w:sz w:val="20"/>
              </w:rPr>
              <w:t>11</w:t>
            </w:r>
          </w:p>
        </w:tc>
        <w:tc>
          <w:tcPr>
            <w:tcW w:w="2896" w:type="dxa"/>
          </w:tcPr>
          <w:p w:rsidR="00FE4BB2" w:rsidRPr="0004373D" w:rsidRDefault="00FE4BB2" w:rsidP="00A80629">
            <w:pPr>
              <w:pStyle w:val="TableNote"/>
              <w:tabs>
                <w:tab w:val="left" w:pos="5400"/>
              </w:tabs>
              <w:spacing w:line="240" w:lineRule="auto"/>
              <w:rPr>
                <w:sz w:val="20"/>
              </w:rPr>
            </w:pPr>
            <w:r w:rsidRPr="0004373D">
              <w:rPr>
                <w:sz w:val="20"/>
              </w:rPr>
              <w:t>Explain how quantitative variables were handled in the analyses. If applicable, describe which groupings were chosen and why</w:t>
            </w:r>
          </w:p>
        </w:tc>
        <w:tc>
          <w:tcPr>
            <w:tcW w:w="5841" w:type="dxa"/>
          </w:tcPr>
          <w:p w:rsidR="00FE4BB2" w:rsidRPr="00FE4BB2" w:rsidRDefault="00FE4BB2" w:rsidP="00FE4BB2">
            <w:pPr>
              <w:pStyle w:val="TableNote"/>
              <w:tabs>
                <w:tab w:val="left" w:pos="5400"/>
              </w:tabs>
              <w:spacing w:line="240" w:lineRule="auto"/>
              <w:rPr>
                <w:sz w:val="20"/>
              </w:rPr>
            </w:pPr>
            <w:r w:rsidRPr="0004373D">
              <w:rPr>
                <w:sz w:val="20"/>
              </w:rPr>
              <w:t xml:space="preserve">‘For tuberculosis, information on diagnosis was reported and categorized as no evidence of TB, clinically active </w:t>
            </w:r>
            <w:proofErr w:type="gramStart"/>
            <w:r w:rsidRPr="0004373D">
              <w:rPr>
                <w:sz w:val="20"/>
              </w:rPr>
              <w:t>TB  disease</w:t>
            </w:r>
            <w:proofErr w:type="gramEnd"/>
            <w:r w:rsidRPr="0004373D">
              <w:rPr>
                <w:sz w:val="20"/>
              </w:rPr>
              <w:t xml:space="preserve"> </w:t>
            </w:r>
            <w:r w:rsidRPr="00FE4BB2">
              <w:rPr>
                <w:sz w:val="20"/>
              </w:rPr>
              <w:t>(person had clinical, bacteriological, and/or radiographic evidence of current pulmonary TB), not clinically active TB disease…For hepatitis B…results were used to categorize a person’s hepatitis B virus (HBV) infection status. Status was categorized as susceptible (HBsAg, anti-</w:t>
            </w:r>
            <w:proofErr w:type="spellStart"/>
            <w:r w:rsidRPr="00FE4BB2">
              <w:rPr>
                <w:sz w:val="20"/>
              </w:rPr>
              <w:t>HBc</w:t>
            </w:r>
            <w:proofErr w:type="spellEnd"/>
            <w:r w:rsidRPr="00FE4BB2">
              <w:rPr>
                <w:sz w:val="20"/>
              </w:rPr>
              <w:t xml:space="preserve">, and anti-HBs all </w:t>
            </w:r>
            <w:proofErr w:type="gramStart"/>
            <w:r w:rsidRPr="00FE4BB2">
              <w:rPr>
                <w:sz w:val="20"/>
              </w:rPr>
              <w:t>negative)…</w:t>
            </w:r>
            <w:proofErr w:type="gramEnd"/>
            <w:r w:rsidRPr="00FE4BB2">
              <w:rPr>
                <w:sz w:val="20"/>
              </w:rPr>
              <w:t>.’</w:t>
            </w:r>
          </w:p>
          <w:p w:rsidR="00FE4BB2" w:rsidRPr="00FE4BB2" w:rsidRDefault="00FE4BB2" w:rsidP="00FE4BB2">
            <w:pPr>
              <w:pStyle w:val="TableNote"/>
              <w:tabs>
                <w:tab w:val="left" w:pos="5400"/>
              </w:tabs>
              <w:spacing w:line="240" w:lineRule="auto"/>
              <w:rPr>
                <w:sz w:val="20"/>
              </w:rPr>
            </w:pPr>
          </w:p>
          <w:p w:rsidR="00FE4BB2" w:rsidRPr="00FE4BB2" w:rsidRDefault="00FE4BB2" w:rsidP="00FE4BB2">
            <w:pPr>
              <w:pStyle w:val="TableNote"/>
              <w:tabs>
                <w:tab w:val="left" w:pos="5400"/>
              </w:tabs>
              <w:spacing w:line="240" w:lineRule="auto"/>
              <w:rPr>
                <w:sz w:val="20"/>
              </w:rPr>
            </w:pPr>
            <w:r w:rsidRPr="00FE4BB2">
              <w:rPr>
                <w:sz w:val="20"/>
              </w:rPr>
              <w:t xml:space="preserve">‘For hepatitis C, malaria, strongyloidiasis, schistosomiasis, syphilis, </w:t>
            </w:r>
            <w:proofErr w:type="spellStart"/>
            <w:r w:rsidRPr="00FE4BB2">
              <w:rPr>
                <w:sz w:val="20"/>
              </w:rPr>
              <w:t>gonorrhea</w:t>
            </w:r>
            <w:proofErr w:type="spellEnd"/>
            <w:r w:rsidRPr="00FE4BB2">
              <w:rPr>
                <w:sz w:val="20"/>
              </w:rPr>
              <w:t>, chlamydia, and HIV, we categorized the outcome as either ‘screened and positive’ or ‘screened and negative.’</w:t>
            </w:r>
          </w:p>
          <w:p w:rsidR="00FE4BB2" w:rsidRPr="00FE4BB2" w:rsidRDefault="00FE4BB2" w:rsidP="00FE4BB2">
            <w:pPr>
              <w:pStyle w:val="TableNote"/>
              <w:tabs>
                <w:tab w:val="left" w:pos="5400"/>
              </w:tabs>
              <w:spacing w:line="240" w:lineRule="auto"/>
              <w:rPr>
                <w:sz w:val="20"/>
              </w:rPr>
            </w:pPr>
          </w:p>
          <w:p w:rsidR="00FE4BB2" w:rsidRPr="00FE4BB2" w:rsidRDefault="00FE4BB2" w:rsidP="00FE4BB2">
            <w:pPr>
              <w:pStyle w:val="TableNote"/>
              <w:tabs>
                <w:tab w:val="left" w:pos="5400"/>
              </w:tabs>
              <w:spacing w:line="240" w:lineRule="auto"/>
              <w:rPr>
                <w:spacing w:val="1"/>
                <w:szCs w:val="24"/>
              </w:rPr>
            </w:pPr>
            <w:r w:rsidRPr="00FE4BB2">
              <w:rPr>
                <w:sz w:val="20"/>
              </w:rPr>
              <w:t>‘…</w:t>
            </w:r>
            <w:r w:rsidRPr="00FE4BB2">
              <w:rPr>
                <w:spacing w:val="1"/>
                <w:sz w:val="20"/>
              </w:rPr>
              <w:t>results were stratified by SIV population (Afghan vs. Iraqi) and age at screening visit (</w:t>
            </w:r>
            <w:r w:rsidRPr="00FE4BB2">
              <w:rPr>
                <w:sz w:val="20"/>
              </w:rPr>
              <w:t>adult ≥18 years, child &lt;18 years</w:t>
            </w:r>
            <w:r w:rsidRPr="00FE4BB2">
              <w:rPr>
                <w:spacing w:val="1"/>
                <w:sz w:val="20"/>
              </w:rPr>
              <w:t>).’</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12</w:t>
            </w:r>
          </w:p>
        </w:tc>
        <w:tc>
          <w:tcPr>
            <w:tcW w:w="2896" w:type="dxa"/>
          </w:tcPr>
          <w:p w:rsidR="00A80629" w:rsidRDefault="00A80629" w:rsidP="00A80629">
            <w:pPr>
              <w:tabs>
                <w:tab w:val="left" w:pos="5400"/>
              </w:tabs>
              <w:spacing w:line="240" w:lineRule="auto"/>
              <w:rPr>
                <w:sz w:val="20"/>
              </w:rPr>
            </w:pPr>
            <w:r w:rsidRPr="0022554A">
              <w:rPr>
                <w:sz w:val="20"/>
              </w:rPr>
              <w:t>(</w:t>
            </w:r>
            <w:r w:rsidRPr="0022554A">
              <w:rPr>
                <w:i/>
                <w:sz w:val="20"/>
              </w:rPr>
              <w:t>a</w:t>
            </w:r>
            <w:r w:rsidRPr="0022554A">
              <w:rPr>
                <w:sz w:val="20"/>
              </w:rPr>
              <w:t>) Describe all statistical methods, including those used to control for confounding</w:t>
            </w:r>
            <w:r>
              <w:rPr>
                <w:sz w:val="20"/>
              </w:rPr>
              <w:br/>
            </w:r>
            <w:r w:rsidRPr="0022554A">
              <w:rPr>
                <w:sz w:val="20"/>
              </w:rPr>
              <w:t>(</w:t>
            </w:r>
            <w:r w:rsidRPr="0022554A">
              <w:rPr>
                <w:i/>
                <w:sz w:val="20"/>
              </w:rPr>
              <w:t>b</w:t>
            </w:r>
            <w:r w:rsidRPr="0022554A">
              <w:rPr>
                <w:sz w:val="20"/>
              </w:rPr>
              <w:t>) Describe any methods used to examine subgroups and interactions</w:t>
            </w:r>
          </w:p>
          <w:p w:rsidR="00A80629" w:rsidRPr="0022554A" w:rsidRDefault="00A80629" w:rsidP="00A80629">
            <w:pPr>
              <w:tabs>
                <w:tab w:val="left" w:pos="5400"/>
              </w:tabs>
              <w:spacing w:line="240" w:lineRule="auto"/>
              <w:rPr>
                <w:sz w:val="20"/>
              </w:rPr>
            </w:pPr>
            <w:r w:rsidRPr="0022554A">
              <w:rPr>
                <w:sz w:val="20"/>
              </w:rPr>
              <w:t>(</w:t>
            </w:r>
            <w:r w:rsidRPr="0022554A">
              <w:rPr>
                <w:i/>
                <w:sz w:val="20"/>
              </w:rPr>
              <w:t>c</w:t>
            </w:r>
            <w:r w:rsidRPr="0022554A">
              <w:rPr>
                <w:sz w:val="20"/>
              </w:rPr>
              <w:t>) Explain how missing data were addressed</w:t>
            </w:r>
          </w:p>
        </w:tc>
        <w:tc>
          <w:tcPr>
            <w:tcW w:w="5841" w:type="dxa"/>
          </w:tcPr>
          <w:p w:rsidR="00A80629" w:rsidRPr="00036A81" w:rsidRDefault="00A80629" w:rsidP="00A80629">
            <w:pPr>
              <w:spacing w:line="240" w:lineRule="auto"/>
              <w:rPr>
                <w:spacing w:val="1"/>
                <w:sz w:val="20"/>
              </w:rPr>
            </w:pPr>
            <w:r w:rsidRPr="00036A81">
              <w:rPr>
                <w:spacing w:val="1"/>
                <w:sz w:val="20"/>
              </w:rPr>
              <w:t>**Described in detail under ‘</w:t>
            </w:r>
            <w:r w:rsidR="00036A81" w:rsidRPr="00036A81">
              <w:rPr>
                <w:spacing w:val="1"/>
                <w:sz w:val="20"/>
              </w:rPr>
              <w:t xml:space="preserve">Data </w:t>
            </w:r>
            <w:r w:rsidRPr="00036A81">
              <w:rPr>
                <w:spacing w:val="1"/>
                <w:sz w:val="20"/>
              </w:rPr>
              <w:t xml:space="preserve">Analysis’ on Page </w:t>
            </w:r>
            <w:r w:rsidR="00036A81" w:rsidRPr="00036A81">
              <w:rPr>
                <w:spacing w:val="1"/>
                <w:sz w:val="20"/>
              </w:rPr>
              <w:t>9</w:t>
            </w:r>
            <w:r w:rsidRPr="00036A81">
              <w:rPr>
                <w:spacing w:val="1"/>
                <w:sz w:val="20"/>
              </w:rPr>
              <w:t xml:space="preserve">. </w:t>
            </w:r>
          </w:p>
          <w:p w:rsidR="00A80629" w:rsidRPr="00036A81" w:rsidRDefault="00A80629" w:rsidP="00A80629">
            <w:pPr>
              <w:spacing w:line="240" w:lineRule="auto"/>
              <w:rPr>
                <w:color w:val="000000"/>
                <w:sz w:val="20"/>
              </w:rPr>
            </w:pPr>
            <w:r w:rsidRPr="00036A81">
              <w:rPr>
                <w:spacing w:val="1"/>
                <w:sz w:val="20"/>
              </w:rPr>
              <w:t>‘Frequencies and proportions were calculated to describe demographic characteristics and disease prevalence; results were stratified by SIV population (Afghan vs. Iraqi) and age at screening visit (</w:t>
            </w:r>
            <w:r w:rsidRPr="00036A81">
              <w:rPr>
                <w:sz w:val="20"/>
              </w:rPr>
              <w:t xml:space="preserve">adult ≥18 years, child &lt;18 </w:t>
            </w:r>
            <w:proofErr w:type="gramStart"/>
            <w:r w:rsidRPr="00036A81">
              <w:rPr>
                <w:sz w:val="20"/>
              </w:rPr>
              <w:t>years</w:t>
            </w:r>
            <w:r w:rsidRPr="00036A81">
              <w:rPr>
                <w:spacing w:val="1"/>
                <w:sz w:val="20"/>
              </w:rPr>
              <w:t>)…</w:t>
            </w:r>
            <w:bookmarkStart w:id="95" w:name="_Hlk30082348"/>
            <w:proofErr w:type="gramEnd"/>
            <w:r w:rsidR="00036A81" w:rsidRPr="00036A81">
              <w:rPr>
                <w:sz w:val="20"/>
              </w:rPr>
              <w:t xml:space="preserve">Poisson regression was </w:t>
            </w:r>
            <w:r w:rsidR="00036A81" w:rsidRPr="00036A81">
              <w:rPr>
                <w:color w:val="000000"/>
                <w:sz w:val="20"/>
                <w:shd w:val="clear" w:color="auto" w:fill="FFFFFF"/>
              </w:rPr>
              <w:t xml:space="preserve">used to model the </w:t>
            </w:r>
            <w:r w:rsidR="00036A81" w:rsidRPr="00036A81">
              <w:rPr>
                <w:sz w:val="20"/>
              </w:rPr>
              <w:t>adjusted prevalence ratio (adjusting for age and sex) while accounting for state-level clustering. Nationality (Iraqi SIVH as reference)</w:t>
            </w:r>
            <w:r w:rsidR="00036A81">
              <w:rPr>
                <w:sz w:val="20"/>
              </w:rPr>
              <w:t xml:space="preserve"> </w:t>
            </w:r>
            <w:r w:rsidR="00036A81" w:rsidRPr="00036A81">
              <w:rPr>
                <w:sz w:val="20"/>
              </w:rPr>
              <w:t xml:space="preserve">was the primary exposure variable, and LTBI, hepatitis B outcomes (susceptible, infected, and immune because of </w:t>
            </w:r>
            <w:proofErr w:type="spellStart"/>
            <w:r w:rsidR="00036A81" w:rsidRPr="00036A81">
              <w:rPr>
                <w:sz w:val="20"/>
              </w:rPr>
              <w:t>hepB</w:t>
            </w:r>
            <w:proofErr w:type="spellEnd"/>
            <w:r w:rsidR="00036A81" w:rsidRPr="00036A81">
              <w:rPr>
                <w:sz w:val="20"/>
              </w:rPr>
              <w:t xml:space="preserve"> vaccination), presence of at least one pathogenic parasite, and EBLL </w:t>
            </w:r>
            <w:proofErr w:type="gramStart"/>
            <w:r w:rsidR="00036A81" w:rsidRPr="00036A81">
              <w:rPr>
                <w:sz w:val="20"/>
              </w:rPr>
              <w:t>were  the</w:t>
            </w:r>
            <w:proofErr w:type="gramEnd"/>
            <w:r w:rsidR="00036A81" w:rsidRPr="00036A81">
              <w:rPr>
                <w:sz w:val="20"/>
              </w:rPr>
              <w:t xml:space="preserve"> primary outcome variables. </w:t>
            </w:r>
            <w:r w:rsidR="00036A81" w:rsidRPr="00036A81">
              <w:rPr>
                <w:color w:val="000000"/>
                <w:sz w:val="20"/>
              </w:rPr>
              <w:t>Medical conditions with five or fewer cases were excluded from the analyses. The prevalence of demographic characteristics and diseases among Iraqi and Afghan SIVH were compared to those of Iraqi and Afghan refugees (from same data source and time period) using chi-square analysis. A p-value of &lt;0.05 was defined as statistically significant</w:t>
            </w:r>
            <w:bookmarkEnd w:id="95"/>
            <w:r w:rsidRPr="00036A81">
              <w:rPr>
                <w:color w:val="000000"/>
                <w:sz w:val="20"/>
              </w:rPr>
              <w:t>.’</w:t>
            </w:r>
          </w:p>
          <w:p w:rsidR="00A80629" w:rsidRPr="00036A81" w:rsidRDefault="00A80629" w:rsidP="00A80629">
            <w:pPr>
              <w:spacing w:line="240" w:lineRule="auto"/>
              <w:rPr>
                <w:color w:val="000000"/>
                <w:sz w:val="20"/>
              </w:rPr>
            </w:pPr>
          </w:p>
          <w:p w:rsidR="00A80629" w:rsidRPr="00036A81" w:rsidRDefault="00A80629" w:rsidP="00A80629">
            <w:pPr>
              <w:spacing w:line="240" w:lineRule="auto"/>
              <w:rPr>
                <w:sz w:val="20"/>
              </w:rPr>
            </w:pPr>
            <w:r w:rsidRPr="00036A81">
              <w:rPr>
                <w:color w:val="000000"/>
                <w:sz w:val="20"/>
              </w:rPr>
              <w:t>‘</w:t>
            </w:r>
            <w:r w:rsidRPr="00036A81">
              <w:rPr>
                <w:spacing w:val="1"/>
                <w:sz w:val="20"/>
              </w:rPr>
              <w:t xml:space="preserve">Denominators varied because of missing data and screening differences across sites.  Thus, </w:t>
            </w:r>
            <w:r w:rsidRPr="00036A81">
              <w:rPr>
                <w:sz w:val="20"/>
              </w:rPr>
              <w:t>prevalence of health conditions was reported among those with available screening results.’</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lastRenderedPageBreak/>
              <w:t>13</w:t>
            </w:r>
          </w:p>
        </w:tc>
        <w:tc>
          <w:tcPr>
            <w:tcW w:w="2896" w:type="dxa"/>
          </w:tcPr>
          <w:p w:rsidR="00A80629" w:rsidRPr="0022554A" w:rsidRDefault="00A80629" w:rsidP="00A80629">
            <w:pPr>
              <w:tabs>
                <w:tab w:val="left" w:pos="5400"/>
              </w:tabs>
              <w:spacing w:line="240" w:lineRule="auto"/>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5841" w:type="dxa"/>
          </w:tcPr>
          <w:p w:rsidR="00A80629" w:rsidRPr="00E07C55" w:rsidRDefault="00A80629" w:rsidP="00A80629">
            <w:pPr>
              <w:pStyle w:val="TableNote"/>
              <w:tabs>
                <w:tab w:val="left" w:pos="5400"/>
              </w:tabs>
              <w:spacing w:line="240" w:lineRule="auto"/>
              <w:rPr>
                <w:sz w:val="20"/>
              </w:rPr>
            </w:pPr>
            <w:r w:rsidRPr="00E07C55">
              <w:rPr>
                <w:sz w:val="20"/>
              </w:rPr>
              <w:t>‘Of the 6,124 SIV adults included in our analysis, 1,112 (18%) were Iraqi and 5,012 (82%) were Afghan (Table 1).’</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14</w:t>
            </w:r>
          </w:p>
        </w:tc>
        <w:tc>
          <w:tcPr>
            <w:tcW w:w="2896" w:type="dxa"/>
          </w:tcPr>
          <w:p w:rsidR="00A80629" w:rsidRPr="00A80629" w:rsidRDefault="00A80629" w:rsidP="00A80629">
            <w:pPr>
              <w:pStyle w:val="ListParagraph"/>
              <w:numPr>
                <w:ilvl w:val="0"/>
                <w:numId w:val="23"/>
              </w:numPr>
              <w:tabs>
                <w:tab w:val="left" w:pos="5400"/>
              </w:tabs>
              <w:spacing w:line="240" w:lineRule="auto"/>
              <w:rPr>
                <w:sz w:val="20"/>
              </w:rPr>
            </w:pPr>
            <w:r w:rsidRPr="00A80629">
              <w:rPr>
                <w:sz w:val="20"/>
              </w:rPr>
              <w:t>Give characteristics of study participants (</w:t>
            </w:r>
            <w:proofErr w:type="spellStart"/>
            <w:r w:rsidRPr="00A80629">
              <w:rPr>
                <w:sz w:val="20"/>
              </w:rPr>
              <w:t>eg</w:t>
            </w:r>
            <w:proofErr w:type="spellEnd"/>
            <w:r w:rsidRPr="00A80629">
              <w:rPr>
                <w:sz w:val="20"/>
              </w:rPr>
              <w:t xml:space="preserve"> demographic, clinical, social) and information on exposures and potential confounders</w:t>
            </w:r>
          </w:p>
          <w:p w:rsidR="00A80629" w:rsidRPr="00A80629" w:rsidRDefault="00A80629" w:rsidP="00A80629">
            <w:pPr>
              <w:pStyle w:val="ListParagraph"/>
              <w:numPr>
                <w:ilvl w:val="0"/>
                <w:numId w:val="23"/>
              </w:numPr>
              <w:tabs>
                <w:tab w:val="left" w:pos="5400"/>
              </w:tabs>
              <w:spacing w:line="240" w:lineRule="auto"/>
              <w:rPr>
                <w:sz w:val="20"/>
              </w:rPr>
            </w:pPr>
            <w:r w:rsidRPr="0022554A">
              <w:rPr>
                <w:sz w:val="20"/>
              </w:rPr>
              <w:t>Indicate number of participants with missing data for each variable of interest</w:t>
            </w:r>
          </w:p>
        </w:tc>
        <w:tc>
          <w:tcPr>
            <w:tcW w:w="5841" w:type="dxa"/>
          </w:tcPr>
          <w:p w:rsidR="00036A81" w:rsidRDefault="00A80629" w:rsidP="00036A81">
            <w:pPr>
              <w:spacing w:line="240" w:lineRule="auto"/>
              <w:rPr>
                <w:szCs w:val="24"/>
              </w:rPr>
            </w:pPr>
            <w:r w:rsidRPr="00036A81">
              <w:rPr>
                <w:sz w:val="20"/>
              </w:rPr>
              <w:t>‘</w:t>
            </w:r>
            <w:r w:rsidR="00036A81" w:rsidRPr="00036A81">
              <w:rPr>
                <w:sz w:val="20"/>
              </w:rPr>
              <w:t>Of the 6,124 SIV adults included in our analysis, 1,112 (18.2%) were Iraqi and 5,012 (81.8%) were Afghan (Table 1). Of the 4,816 SIV children included in our analysis, 851 (17.7%) were Iraqi and 3,965 (82.3%) were Afghan. A majority of SIV adults were male (Iraqi 54.0%, Afghan 58.6%) and aged 18</w:t>
            </w:r>
            <w:r w:rsidR="00036A81" w:rsidRPr="00036A81">
              <w:rPr>
                <w:rFonts w:ascii="inherit" w:hAnsi="inherit" w:cs="Helvetica"/>
                <w:color w:val="202020"/>
                <w:sz w:val="20"/>
                <w:lang w:val="en"/>
              </w:rPr>
              <w:t>–</w:t>
            </w:r>
            <w:r w:rsidR="00036A81" w:rsidRPr="00036A81">
              <w:rPr>
                <w:sz w:val="20"/>
              </w:rPr>
              <w:t>44 (Iraqi 86.0%, Afghan 97.7%). More SIV children were male (Iraqi 56.2%, Afghan 52.2%) and aged 6</w:t>
            </w:r>
            <w:r w:rsidR="00036A81" w:rsidRPr="00036A81">
              <w:rPr>
                <w:rFonts w:ascii="inherit" w:hAnsi="inherit" w:cs="Helvetica"/>
                <w:color w:val="202020"/>
                <w:sz w:val="20"/>
                <w:lang w:val="en"/>
              </w:rPr>
              <w:t>–</w:t>
            </w:r>
            <w:r w:rsidR="00036A81" w:rsidRPr="00036A81">
              <w:rPr>
                <w:sz w:val="20"/>
              </w:rPr>
              <w:t xml:space="preserve">17 (Iraqi 50.2%, Afghan 40.7%). </w:t>
            </w:r>
            <w:bookmarkStart w:id="96" w:name="_Hlk30082654"/>
            <w:r w:rsidR="00036A81" w:rsidRPr="00036A81">
              <w:rPr>
                <w:sz w:val="20"/>
              </w:rPr>
              <w:t xml:space="preserve">The average age of adults was 29.7 years (standard deviation [SD]: 7.6), and the average age for children was 5.6 years (SD: 4.4). </w:t>
            </w:r>
            <w:bookmarkEnd w:id="96"/>
            <w:r w:rsidR="00036A81" w:rsidRPr="00036A81">
              <w:rPr>
                <w:sz w:val="20"/>
              </w:rPr>
              <w:t>The primary language spoken by or used by an interpreter for Iraqi SIVH was Arabic, and the primary languages spoken by or used by an interpreter for Afghan SIVH were Dari, Pashto, and Farsi. Before resettlement in the United States, the majority of Iraqi and Afghan SIVH lived in their country of birth, while some Iraqis lived in Turkey or Jordan. About 97.4% of SIV adults and children had their domestic medical examination within 90 days of arrival in the United States; this did not differ by nationality (Table 2).</w:t>
            </w:r>
            <w:r w:rsidR="00036A81">
              <w:rPr>
                <w:sz w:val="20"/>
              </w:rPr>
              <w:t>’</w:t>
            </w:r>
            <w:r w:rsidR="00036A81" w:rsidRPr="007363DA">
              <w:rPr>
                <w:szCs w:val="24"/>
              </w:rPr>
              <w:t xml:space="preserve">  </w:t>
            </w:r>
          </w:p>
          <w:p w:rsidR="00A80629" w:rsidRDefault="00A80629" w:rsidP="00A80629">
            <w:pPr>
              <w:pStyle w:val="TableNote"/>
              <w:tabs>
                <w:tab w:val="left" w:pos="5400"/>
              </w:tabs>
              <w:spacing w:line="240" w:lineRule="auto"/>
              <w:rPr>
                <w:sz w:val="20"/>
              </w:rPr>
            </w:pPr>
          </w:p>
          <w:p w:rsidR="00A80629" w:rsidRPr="00E07C55" w:rsidRDefault="00A80629" w:rsidP="00A80629">
            <w:pPr>
              <w:pStyle w:val="TableNote"/>
              <w:tabs>
                <w:tab w:val="left" w:pos="5400"/>
              </w:tabs>
              <w:spacing w:line="240" w:lineRule="auto"/>
              <w:rPr>
                <w:sz w:val="20"/>
              </w:rPr>
            </w:pPr>
            <w:r>
              <w:rPr>
                <w:sz w:val="20"/>
              </w:rPr>
              <w:t xml:space="preserve">For the number of participants with missing data for each variable of interest, this information </w:t>
            </w:r>
            <w:proofErr w:type="gramStart"/>
            <w:r>
              <w:rPr>
                <w:sz w:val="20"/>
              </w:rPr>
              <w:t>is located in</w:t>
            </w:r>
            <w:proofErr w:type="gramEnd"/>
            <w:r>
              <w:rPr>
                <w:sz w:val="20"/>
              </w:rPr>
              <w:t xml:space="preserve"> detail in Table 2. </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15</w:t>
            </w:r>
          </w:p>
        </w:tc>
        <w:tc>
          <w:tcPr>
            <w:tcW w:w="2896" w:type="dxa"/>
          </w:tcPr>
          <w:p w:rsidR="00A80629" w:rsidRPr="00E07C55" w:rsidRDefault="00A80629" w:rsidP="00A80629">
            <w:pPr>
              <w:pStyle w:val="TableNote"/>
              <w:tabs>
                <w:tab w:val="left" w:pos="5400"/>
              </w:tabs>
              <w:spacing w:line="240" w:lineRule="auto"/>
              <w:rPr>
                <w:sz w:val="20"/>
              </w:rPr>
            </w:pPr>
            <w:r w:rsidRPr="00E07C55">
              <w:rPr>
                <w:sz w:val="20"/>
              </w:rPr>
              <w:t>Report numbers of outcome events or summary measures</w:t>
            </w:r>
          </w:p>
        </w:tc>
        <w:tc>
          <w:tcPr>
            <w:tcW w:w="5841" w:type="dxa"/>
          </w:tcPr>
          <w:p w:rsidR="00A80629" w:rsidRPr="00E07C55" w:rsidRDefault="00A80629" w:rsidP="00A80629">
            <w:pPr>
              <w:pStyle w:val="TableNote"/>
              <w:tabs>
                <w:tab w:val="left" w:pos="5400"/>
              </w:tabs>
              <w:spacing w:line="240" w:lineRule="auto"/>
              <w:rPr>
                <w:sz w:val="20"/>
              </w:rPr>
            </w:pPr>
            <w:r w:rsidRPr="00E07C55">
              <w:rPr>
                <w:sz w:val="20"/>
              </w:rPr>
              <w:t>‘Overall, 2,963 (85</w:t>
            </w:r>
            <w:r w:rsidR="00036A81">
              <w:rPr>
                <w:sz w:val="20"/>
              </w:rPr>
              <w:t>.4</w:t>
            </w:r>
            <w:r w:rsidRPr="00E07C55">
              <w:rPr>
                <w:sz w:val="20"/>
              </w:rPr>
              <w:t>%) SIV adults had no evidence of tuberculosis, and 14</w:t>
            </w:r>
            <w:r w:rsidR="00036A81">
              <w:rPr>
                <w:sz w:val="20"/>
              </w:rPr>
              <w:t>.4</w:t>
            </w:r>
            <w:r w:rsidRPr="00E07C55">
              <w:rPr>
                <w:sz w:val="20"/>
              </w:rPr>
              <w:t>% were diagnosed with LTBI.’</w:t>
            </w:r>
          </w:p>
          <w:p w:rsidR="00A80629" w:rsidRPr="00E07C55" w:rsidRDefault="00A80629" w:rsidP="00A80629">
            <w:pPr>
              <w:pStyle w:val="TableNote"/>
              <w:tabs>
                <w:tab w:val="left" w:pos="5400"/>
              </w:tabs>
              <w:spacing w:line="240" w:lineRule="auto"/>
              <w:rPr>
                <w:sz w:val="20"/>
              </w:rPr>
            </w:pPr>
          </w:p>
          <w:p w:rsidR="00A80629" w:rsidRDefault="00A80629" w:rsidP="00A80629">
            <w:pPr>
              <w:pStyle w:val="TableNote"/>
              <w:tabs>
                <w:tab w:val="left" w:pos="5400"/>
              </w:tabs>
              <w:spacing w:line="240" w:lineRule="auto"/>
              <w:rPr>
                <w:sz w:val="20"/>
              </w:rPr>
            </w:pPr>
            <w:r w:rsidRPr="00E07C55">
              <w:rPr>
                <w:sz w:val="20"/>
              </w:rPr>
              <w:t>‘Approximately 63</w:t>
            </w:r>
            <w:r w:rsidR="00036A81">
              <w:rPr>
                <w:sz w:val="20"/>
              </w:rPr>
              <w:t>.5</w:t>
            </w:r>
            <w:r w:rsidRPr="00E07C55">
              <w:rPr>
                <w:sz w:val="20"/>
              </w:rPr>
              <w:t>% of adults were susceptible to HBV infection (Iraqi 72</w:t>
            </w:r>
            <w:r w:rsidR="00036A81">
              <w:rPr>
                <w:sz w:val="20"/>
              </w:rPr>
              <w:t>.2</w:t>
            </w:r>
            <w:r w:rsidRPr="00E07C55">
              <w:rPr>
                <w:sz w:val="20"/>
              </w:rPr>
              <w:t>%, Afghan 6</w:t>
            </w:r>
            <w:r w:rsidR="00036A81">
              <w:rPr>
                <w:sz w:val="20"/>
              </w:rPr>
              <w:t>1.5</w:t>
            </w:r>
            <w:r w:rsidRPr="00E07C55">
              <w:rPr>
                <w:sz w:val="20"/>
              </w:rPr>
              <w:t>%). However, 1</w:t>
            </w:r>
            <w:r w:rsidR="00036A81">
              <w:rPr>
                <w:sz w:val="20"/>
              </w:rPr>
              <w:t>0.7</w:t>
            </w:r>
            <w:r w:rsidRPr="00E07C55">
              <w:rPr>
                <w:sz w:val="20"/>
              </w:rPr>
              <w:t>% of all adults were uninfected with HBV with unknown susceptibility (Iraqi 1</w:t>
            </w:r>
            <w:r w:rsidR="00036A81">
              <w:rPr>
                <w:sz w:val="20"/>
              </w:rPr>
              <w:t>5.5</w:t>
            </w:r>
            <w:r w:rsidRPr="00E07C55">
              <w:rPr>
                <w:sz w:val="20"/>
              </w:rPr>
              <w:t xml:space="preserve">%, Afghan </w:t>
            </w:r>
            <w:r w:rsidR="00036A81">
              <w:rPr>
                <w:sz w:val="20"/>
              </w:rPr>
              <w:t>9.6</w:t>
            </w:r>
            <w:r w:rsidRPr="00E07C55">
              <w:rPr>
                <w:sz w:val="20"/>
              </w:rPr>
              <w:t>%</w:t>
            </w:r>
            <w:proofErr w:type="gramStart"/>
            <w:r w:rsidRPr="00E07C55">
              <w:rPr>
                <w:sz w:val="20"/>
              </w:rPr>
              <w:t>);…</w:t>
            </w:r>
            <w:proofErr w:type="gramEnd"/>
            <w:r w:rsidRPr="00E07C55">
              <w:rPr>
                <w:sz w:val="20"/>
              </w:rPr>
              <w:t>’</w:t>
            </w:r>
          </w:p>
          <w:p w:rsidR="00A80629" w:rsidRDefault="00A80629" w:rsidP="00A80629">
            <w:pPr>
              <w:pStyle w:val="TableNote"/>
              <w:tabs>
                <w:tab w:val="left" w:pos="5400"/>
              </w:tabs>
              <w:spacing w:line="240" w:lineRule="auto"/>
              <w:rPr>
                <w:sz w:val="20"/>
              </w:rPr>
            </w:pPr>
          </w:p>
          <w:p w:rsidR="00A80629" w:rsidRPr="00E07C55" w:rsidRDefault="00A80629" w:rsidP="00A80629">
            <w:pPr>
              <w:pStyle w:val="TableNote"/>
              <w:tabs>
                <w:tab w:val="left" w:pos="5400"/>
              </w:tabs>
              <w:spacing w:line="240" w:lineRule="auto"/>
              <w:rPr>
                <w:sz w:val="20"/>
              </w:rPr>
            </w:pPr>
            <w:r>
              <w:rPr>
                <w:sz w:val="20"/>
              </w:rPr>
              <w:t xml:space="preserve">**See reports throughout the results section, summarized by disease conditions and nationality. </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16</w:t>
            </w:r>
          </w:p>
        </w:tc>
        <w:tc>
          <w:tcPr>
            <w:tcW w:w="2896" w:type="dxa"/>
          </w:tcPr>
          <w:p w:rsidR="00A80629" w:rsidRPr="00E07C55" w:rsidRDefault="00A80629" w:rsidP="00A80629">
            <w:pPr>
              <w:pStyle w:val="TableNote"/>
              <w:tabs>
                <w:tab w:val="left" w:pos="5400"/>
              </w:tabs>
              <w:spacing w:line="240" w:lineRule="auto"/>
              <w:rPr>
                <w:sz w:val="20"/>
              </w:rPr>
            </w:pP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5841" w:type="dxa"/>
          </w:tcPr>
          <w:p w:rsidR="00A80629" w:rsidRPr="00036A81" w:rsidRDefault="00A80629" w:rsidP="00A80629">
            <w:pPr>
              <w:pStyle w:val="TableNote"/>
              <w:tabs>
                <w:tab w:val="left" w:pos="1361"/>
              </w:tabs>
              <w:spacing w:line="240" w:lineRule="auto"/>
              <w:rPr>
                <w:sz w:val="20"/>
              </w:rPr>
            </w:pPr>
            <w:r w:rsidRPr="00036A81">
              <w:rPr>
                <w:sz w:val="20"/>
              </w:rPr>
              <w:t>‘</w:t>
            </w:r>
            <w:r w:rsidR="00036A81" w:rsidRPr="00036A81">
              <w:rPr>
                <w:sz w:val="20"/>
              </w:rPr>
              <w:t>Afghan adults were more likely to have LTBI compared to Iraqi adults (PR: 2.0; 95% CI: 1.5</w:t>
            </w:r>
            <w:r w:rsidR="00036A81" w:rsidRPr="00036A81">
              <w:rPr>
                <w:rFonts w:ascii="inherit" w:hAnsi="inherit" w:cs="Helvetica"/>
                <w:color w:val="202020"/>
                <w:sz w:val="20"/>
                <w:lang w:val="en"/>
              </w:rPr>
              <w:t>–</w:t>
            </w:r>
            <w:r w:rsidR="00036A81" w:rsidRPr="00036A81">
              <w:rPr>
                <w:sz w:val="20"/>
              </w:rPr>
              <w:t>2.7)</w:t>
            </w:r>
            <w:r w:rsidRPr="00036A81">
              <w:rPr>
                <w:sz w:val="20"/>
              </w:rPr>
              <w:t>’</w:t>
            </w:r>
          </w:p>
          <w:p w:rsidR="00A80629" w:rsidRPr="00036A81" w:rsidRDefault="00A80629" w:rsidP="00A80629">
            <w:pPr>
              <w:pStyle w:val="TableNote"/>
              <w:tabs>
                <w:tab w:val="left" w:pos="1361"/>
              </w:tabs>
              <w:spacing w:line="240" w:lineRule="auto"/>
              <w:rPr>
                <w:sz w:val="20"/>
              </w:rPr>
            </w:pPr>
          </w:p>
          <w:p w:rsidR="00A80629" w:rsidRPr="00036A81" w:rsidRDefault="00A80629" w:rsidP="00A80629">
            <w:pPr>
              <w:pStyle w:val="TableNote"/>
              <w:tabs>
                <w:tab w:val="left" w:pos="1361"/>
              </w:tabs>
              <w:spacing w:line="240" w:lineRule="auto"/>
              <w:rPr>
                <w:sz w:val="20"/>
              </w:rPr>
            </w:pPr>
            <w:r w:rsidRPr="00036A81">
              <w:rPr>
                <w:sz w:val="20"/>
              </w:rPr>
              <w:t>‘Afghan adults were less likely to be susceptible to HBV infection compared to Iraqi adults (PR: 0.8; 95% CI: 0.7</w:t>
            </w:r>
            <w:r w:rsidRPr="00036A81">
              <w:rPr>
                <w:rFonts w:ascii="inherit" w:hAnsi="inherit" w:cs="Helvetica"/>
                <w:color w:val="202020"/>
                <w:sz w:val="20"/>
                <w:lang w:val="en"/>
              </w:rPr>
              <w:t>–</w:t>
            </w:r>
            <w:r w:rsidRPr="00036A81">
              <w:rPr>
                <w:sz w:val="20"/>
              </w:rPr>
              <w:t>0.</w:t>
            </w:r>
            <w:r w:rsidR="00036A81" w:rsidRPr="00036A81">
              <w:rPr>
                <w:sz w:val="20"/>
              </w:rPr>
              <w:t>8</w:t>
            </w:r>
            <w:r w:rsidRPr="00036A81">
              <w:rPr>
                <w:sz w:val="20"/>
              </w:rPr>
              <w:t>).’</w:t>
            </w:r>
          </w:p>
          <w:p w:rsidR="00A80629" w:rsidRPr="00036A81" w:rsidRDefault="00A80629" w:rsidP="00A80629">
            <w:pPr>
              <w:pStyle w:val="TableNote"/>
              <w:tabs>
                <w:tab w:val="left" w:pos="1361"/>
              </w:tabs>
              <w:spacing w:line="240" w:lineRule="auto"/>
              <w:rPr>
                <w:sz w:val="20"/>
              </w:rPr>
            </w:pPr>
          </w:p>
          <w:p w:rsidR="00A80629" w:rsidRPr="00036A81" w:rsidRDefault="00A80629" w:rsidP="00A80629">
            <w:pPr>
              <w:pStyle w:val="TableNote"/>
              <w:tabs>
                <w:tab w:val="left" w:pos="1361"/>
              </w:tabs>
              <w:spacing w:line="240" w:lineRule="auto"/>
              <w:rPr>
                <w:sz w:val="20"/>
              </w:rPr>
            </w:pPr>
            <w:r w:rsidRPr="00036A81">
              <w:rPr>
                <w:sz w:val="20"/>
              </w:rPr>
              <w:t>‘</w:t>
            </w:r>
            <w:r w:rsidR="00036A81" w:rsidRPr="00036A81">
              <w:rPr>
                <w:sz w:val="20"/>
              </w:rPr>
              <w:t xml:space="preserve">There were no differences in the prevalence of pathogenic intestinal parasites (excluding </w:t>
            </w:r>
            <w:proofErr w:type="spellStart"/>
            <w:r w:rsidR="00036A81" w:rsidRPr="00036A81">
              <w:rPr>
                <w:i/>
                <w:sz w:val="20"/>
              </w:rPr>
              <w:t>Blastocystis</w:t>
            </w:r>
            <w:proofErr w:type="spellEnd"/>
            <w:r w:rsidR="00036A81" w:rsidRPr="00036A81">
              <w:rPr>
                <w:i/>
                <w:sz w:val="20"/>
              </w:rPr>
              <w:t xml:space="preserve"> </w:t>
            </w:r>
            <w:r w:rsidR="00036A81" w:rsidRPr="00036A81">
              <w:rPr>
                <w:sz w:val="20"/>
              </w:rPr>
              <w:t xml:space="preserve">and </w:t>
            </w:r>
            <w:proofErr w:type="spellStart"/>
            <w:r w:rsidR="00036A81" w:rsidRPr="00036A81">
              <w:rPr>
                <w:i/>
                <w:sz w:val="20"/>
              </w:rPr>
              <w:t>Dientamoeba</w:t>
            </w:r>
            <w:proofErr w:type="spellEnd"/>
            <w:r w:rsidR="00036A81" w:rsidRPr="00036A81">
              <w:rPr>
                <w:i/>
                <w:sz w:val="20"/>
              </w:rPr>
              <w:t xml:space="preserve">, </w:t>
            </w:r>
            <w:r w:rsidR="00036A81" w:rsidRPr="00036A81">
              <w:rPr>
                <w:sz w:val="20"/>
              </w:rPr>
              <w:t xml:space="preserve">which are considered controversial for treatment) between Afghan and Iraqi </w:t>
            </w:r>
            <w:proofErr w:type="gramStart"/>
            <w:r w:rsidR="00036A81" w:rsidRPr="00036A81">
              <w:rPr>
                <w:sz w:val="20"/>
              </w:rPr>
              <w:t>adults  (</w:t>
            </w:r>
            <w:proofErr w:type="gramEnd"/>
            <w:r w:rsidR="00036A81" w:rsidRPr="00036A81">
              <w:rPr>
                <w:sz w:val="20"/>
              </w:rPr>
              <w:t>PR: 1.6; 95% CI: 1.0</w:t>
            </w:r>
            <w:r w:rsidR="00036A81" w:rsidRPr="00036A81">
              <w:rPr>
                <w:rFonts w:ascii="inherit" w:hAnsi="inherit" w:cs="Helvetica"/>
                <w:color w:val="202020"/>
                <w:sz w:val="20"/>
                <w:lang w:val="en"/>
              </w:rPr>
              <w:t>–</w:t>
            </w:r>
            <w:r w:rsidR="00036A81" w:rsidRPr="00036A81">
              <w:rPr>
                <w:sz w:val="20"/>
              </w:rPr>
              <w:t>2.6).</w:t>
            </w:r>
            <w:r w:rsidRPr="00036A81">
              <w:rPr>
                <w:sz w:val="20"/>
              </w:rPr>
              <w:t>’</w:t>
            </w:r>
          </w:p>
          <w:p w:rsidR="00450C82" w:rsidRPr="00036A81" w:rsidRDefault="00450C82" w:rsidP="00A80629">
            <w:pPr>
              <w:pStyle w:val="TableNote"/>
              <w:tabs>
                <w:tab w:val="left" w:pos="1361"/>
              </w:tabs>
              <w:spacing w:line="240" w:lineRule="auto"/>
              <w:rPr>
                <w:sz w:val="20"/>
              </w:rPr>
            </w:pPr>
          </w:p>
          <w:p w:rsidR="00450C82" w:rsidRPr="00036A81" w:rsidRDefault="00450C82" w:rsidP="00A80629">
            <w:pPr>
              <w:pStyle w:val="TableNote"/>
              <w:tabs>
                <w:tab w:val="left" w:pos="1361"/>
              </w:tabs>
              <w:spacing w:line="240" w:lineRule="auto"/>
              <w:rPr>
                <w:sz w:val="20"/>
              </w:rPr>
            </w:pPr>
            <w:r w:rsidRPr="00036A81">
              <w:rPr>
                <w:sz w:val="20"/>
              </w:rPr>
              <w:t xml:space="preserve">**Find additional information throughout results section and in Table 3. </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17</w:t>
            </w:r>
          </w:p>
        </w:tc>
        <w:tc>
          <w:tcPr>
            <w:tcW w:w="2896" w:type="dxa"/>
          </w:tcPr>
          <w:p w:rsidR="00A80629" w:rsidRPr="00E46F01" w:rsidRDefault="00A80629" w:rsidP="00A80629">
            <w:pPr>
              <w:pStyle w:val="TableNote"/>
              <w:tabs>
                <w:tab w:val="left" w:pos="5400"/>
              </w:tabs>
              <w:spacing w:line="240" w:lineRule="auto"/>
              <w:rPr>
                <w:sz w:val="20"/>
                <w:highlight w:val="yellow"/>
              </w:rPr>
            </w:pPr>
            <w:r w:rsidRPr="00FA060E">
              <w:rPr>
                <w:sz w:val="20"/>
              </w:rPr>
              <w:t>Report other analyses done—</w:t>
            </w:r>
            <w:proofErr w:type="spellStart"/>
            <w:r w:rsidRPr="00FA060E">
              <w:rPr>
                <w:sz w:val="20"/>
              </w:rPr>
              <w:t>eg</w:t>
            </w:r>
            <w:proofErr w:type="spellEnd"/>
            <w:r w:rsidRPr="00FA060E">
              <w:rPr>
                <w:sz w:val="20"/>
              </w:rPr>
              <w:t xml:space="preserve"> analyses of subgroups and interactions, and sensitivity analyses</w:t>
            </w:r>
          </w:p>
        </w:tc>
        <w:tc>
          <w:tcPr>
            <w:tcW w:w="5841" w:type="dxa"/>
          </w:tcPr>
          <w:p w:rsidR="00A80629" w:rsidRPr="0077042F" w:rsidRDefault="00A80629" w:rsidP="0077042F">
            <w:pPr>
              <w:spacing w:line="240" w:lineRule="auto"/>
              <w:rPr>
                <w:i/>
                <w:sz w:val="20"/>
              </w:rPr>
            </w:pPr>
            <w:r w:rsidRPr="0077042F">
              <w:rPr>
                <w:i/>
                <w:sz w:val="20"/>
              </w:rPr>
              <w:t>SIVH vs. Refugees</w:t>
            </w:r>
          </w:p>
          <w:p w:rsidR="00A80629" w:rsidRPr="00FA060E" w:rsidRDefault="00651030" w:rsidP="00FA060E">
            <w:pPr>
              <w:spacing w:line="240" w:lineRule="auto"/>
              <w:rPr>
                <w:sz w:val="20"/>
              </w:rPr>
            </w:pPr>
            <w:r w:rsidRPr="00FA060E">
              <w:rPr>
                <w:sz w:val="20"/>
              </w:rPr>
              <w:t>‘</w:t>
            </w:r>
            <w:r w:rsidR="00FA060E" w:rsidRPr="00FA060E">
              <w:rPr>
                <w:sz w:val="20"/>
              </w:rPr>
              <w:t>Iraqi and Afghan SIVH were compared to refugees with the same nationality (Iraqi 9,368, Afghan 1,407). Afghan SIV adults (17.8%) were less likely to have LTBI than were Afghan refugee adults (26.1%) (χ</w:t>
            </w:r>
            <w:r w:rsidR="00FA060E" w:rsidRPr="00FA060E">
              <w:rPr>
                <w:sz w:val="20"/>
                <w:vertAlign w:val="superscript"/>
              </w:rPr>
              <w:t>2</w:t>
            </w:r>
            <w:r w:rsidR="00FA060E" w:rsidRPr="00FA060E">
              <w:rPr>
                <w:sz w:val="20"/>
              </w:rPr>
              <w:t xml:space="preserve"> p &lt; 0.0001), and Afghan SIV children (39.9%) were less likely to be susceptible to hepatitis B virus infection compared to Afghan refugee children (52.8%) (χ</w:t>
            </w:r>
            <w:r w:rsidR="00FA060E" w:rsidRPr="00FA060E">
              <w:rPr>
                <w:sz w:val="20"/>
                <w:vertAlign w:val="superscript"/>
              </w:rPr>
              <w:t xml:space="preserve">2 </w:t>
            </w:r>
            <w:r w:rsidR="00FA060E" w:rsidRPr="00FA060E">
              <w:rPr>
                <w:sz w:val="20"/>
              </w:rPr>
              <w:t xml:space="preserve">p &lt; 0.0001). Afghan SIV adults (30.7%) and children (22.3%) had higher prevalence of at least one intestinal parasite (other than </w:t>
            </w:r>
            <w:proofErr w:type="spellStart"/>
            <w:r w:rsidR="00FA060E" w:rsidRPr="00FA060E">
              <w:rPr>
                <w:i/>
                <w:sz w:val="20"/>
              </w:rPr>
              <w:t>Strongyloides</w:t>
            </w:r>
            <w:proofErr w:type="spellEnd"/>
            <w:r w:rsidR="00FA060E" w:rsidRPr="00FA060E">
              <w:rPr>
                <w:sz w:val="20"/>
              </w:rPr>
              <w:t xml:space="preserve"> or schistosomiasis) than </w:t>
            </w:r>
            <w:r w:rsidR="00FA060E" w:rsidRPr="00FA060E">
              <w:rPr>
                <w:sz w:val="20"/>
              </w:rPr>
              <w:lastRenderedPageBreak/>
              <w:t>their respective Afghan refugee populations (adults 12.5%, children 13.4%) (χ</w:t>
            </w:r>
            <w:r w:rsidR="00FA060E" w:rsidRPr="00FA060E">
              <w:rPr>
                <w:sz w:val="20"/>
                <w:vertAlign w:val="superscript"/>
              </w:rPr>
              <w:t xml:space="preserve">2 </w:t>
            </w:r>
            <w:r w:rsidR="00FA060E" w:rsidRPr="00FA060E">
              <w:rPr>
                <w:sz w:val="20"/>
              </w:rPr>
              <w:t>p &lt; 0.0001). Iraqi SIV children (41.1%) were less likely to be susceptible to hepatitis B than were Iraqi refugee children (47.2%) (χ</w:t>
            </w:r>
            <w:r w:rsidR="00FA060E" w:rsidRPr="00FA060E">
              <w:rPr>
                <w:sz w:val="20"/>
                <w:vertAlign w:val="superscript"/>
              </w:rPr>
              <w:t xml:space="preserve">2 </w:t>
            </w:r>
            <w:r w:rsidR="00FA060E" w:rsidRPr="00FA060E">
              <w:rPr>
                <w:sz w:val="20"/>
              </w:rPr>
              <w:t>p = 0.01). Iraqi SIV adults (33.0%) had higher</w:t>
            </w:r>
            <w:r w:rsidR="00FA060E" w:rsidRPr="00FA060E">
              <w:rPr>
                <w:sz w:val="20"/>
              </w:rPr>
              <w:t xml:space="preserve"> </w:t>
            </w:r>
            <w:r w:rsidR="00FA060E" w:rsidRPr="00FA060E">
              <w:rPr>
                <w:sz w:val="20"/>
              </w:rPr>
              <w:t>prevalence of at least one intestinal parasite relative to Iraqi refugee adults</w:t>
            </w:r>
            <w:r w:rsidR="00FA060E" w:rsidRPr="00FA060E">
              <w:rPr>
                <w:sz w:val="20"/>
              </w:rPr>
              <w:t xml:space="preserve"> </w:t>
            </w:r>
            <w:r w:rsidR="00FA060E" w:rsidRPr="00FA060E">
              <w:rPr>
                <w:sz w:val="20"/>
              </w:rPr>
              <w:t>(25.9</w:t>
            </w:r>
            <w:proofErr w:type="gramStart"/>
            <w:r w:rsidR="00FA060E" w:rsidRPr="00FA060E">
              <w:rPr>
                <w:sz w:val="20"/>
              </w:rPr>
              <w:t>%)(</w:t>
            </w:r>
            <w:proofErr w:type="gramEnd"/>
            <w:r w:rsidR="00FA060E" w:rsidRPr="00FA060E">
              <w:rPr>
                <w:sz w:val="20"/>
              </w:rPr>
              <w:t>χ</w:t>
            </w:r>
            <w:r w:rsidR="00FA060E" w:rsidRPr="00FA060E">
              <w:rPr>
                <w:sz w:val="20"/>
                <w:vertAlign w:val="superscript"/>
              </w:rPr>
              <w:t>2</w:t>
            </w:r>
            <w:r w:rsidR="00FA060E" w:rsidRPr="00FA060E">
              <w:rPr>
                <w:sz w:val="20"/>
              </w:rPr>
              <w:t xml:space="preserve"> p = 0.0004). The prevalence of at least one intestinal parasite and EBLL did not differ between SIV and refugee children from both Iraq and Afghanistan.</w:t>
            </w:r>
            <w:r w:rsidRPr="00FA060E">
              <w:rPr>
                <w:sz w:val="20"/>
              </w:rPr>
              <w:t>’</w:t>
            </w:r>
            <w:r w:rsidR="00A80629" w:rsidRPr="00FA060E">
              <w:rPr>
                <w:sz w:val="20"/>
              </w:rPr>
              <w:t xml:space="preserve"> </w:t>
            </w:r>
          </w:p>
          <w:p w:rsidR="00A80629" w:rsidRPr="0077042F" w:rsidRDefault="00A80629" w:rsidP="0077042F">
            <w:pPr>
              <w:pStyle w:val="TableNote"/>
              <w:tabs>
                <w:tab w:val="left" w:pos="5400"/>
              </w:tabs>
              <w:spacing w:line="240" w:lineRule="auto"/>
              <w:rPr>
                <w:sz w:val="20"/>
              </w:rPr>
            </w:pP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lastRenderedPageBreak/>
              <w:t>18</w:t>
            </w:r>
          </w:p>
        </w:tc>
        <w:tc>
          <w:tcPr>
            <w:tcW w:w="2896" w:type="dxa"/>
          </w:tcPr>
          <w:p w:rsidR="00A80629" w:rsidRPr="0004373D" w:rsidRDefault="00A80629" w:rsidP="00A80629">
            <w:pPr>
              <w:pStyle w:val="TableNote"/>
              <w:tabs>
                <w:tab w:val="left" w:pos="5400"/>
              </w:tabs>
              <w:spacing w:line="240" w:lineRule="auto"/>
              <w:rPr>
                <w:sz w:val="20"/>
              </w:rPr>
            </w:pPr>
            <w:r w:rsidRPr="0022554A">
              <w:rPr>
                <w:sz w:val="20"/>
              </w:rPr>
              <w:t>Summarise key results with reference to study objectives</w:t>
            </w:r>
          </w:p>
        </w:tc>
        <w:tc>
          <w:tcPr>
            <w:tcW w:w="5841" w:type="dxa"/>
          </w:tcPr>
          <w:p w:rsidR="00A80629" w:rsidRPr="0077042F" w:rsidRDefault="00A80629" w:rsidP="0077042F">
            <w:pPr>
              <w:spacing w:line="240" w:lineRule="auto"/>
              <w:rPr>
                <w:sz w:val="20"/>
              </w:rPr>
            </w:pPr>
            <w:r w:rsidRPr="0077042F">
              <w:rPr>
                <w:sz w:val="20"/>
              </w:rPr>
              <w:t>‘</w:t>
            </w:r>
            <w:bookmarkStart w:id="97" w:name="_Hlk29474122"/>
            <w:r w:rsidR="0077042F" w:rsidRPr="0077042F">
              <w:rPr>
                <w:sz w:val="20"/>
              </w:rPr>
              <w:t xml:space="preserve">In this analysis, we described the health of SIV populations after arrival into the US, focusing on conditions typically assessed at the domestic medical examination according to CDC’s </w:t>
            </w:r>
            <w:r w:rsidR="0077042F" w:rsidRPr="0077042F">
              <w:rPr>
                <w:i/>
                <w:sz w:val="20"/>
              </w:rPr>
              <w:t>Guidelines for the US Domestic Medical Examination for Newly Arrived Refugees.</w:t>
            </w:r>
            <w:r w:rsidR="0077042F" w:rsidRPr="0077042F">
              <w:rPr>
                <w:sz w:val="20"/>
              </w:rPr>
              <w:t xml:space="preserve"> </w:t>
            </w:r>
            <w:bookmarkEnd w:id="97"/>
            <w:r w:rsidR="0077042F" w:rsidRPr="0077042F">
              <w:rPr>
                <w:sz w:val="20"/>
              </w:rPr>
              <w:t xml:space="preserve">Key findings were reported on the health of 10,940 SIVH from Iraq and Afghanistan who received the domestic medical examination in nine regions in the United States. First, about 14% of adults had LTBI, with a higher prevalence in Afghans than in Iraqis. Second, </w:t>
            </w:r>
            <w:proofErr w:type="gramStart"/>
            <w:r w:rsidR="0077042F" w:rsidRPr="0077042F">
              <w:rPr>
                <w:sz w:val="20"/>
              </w:rPr>
              <w:t>the majority of</w:t>
            </w:r>
            <w:proofErr w:type="gramEnd"/>
            <w:r w:rsidR="0077042F" w:rsidRPr="0077042F">
              <w:rPr>
                <w:sz w:val="20"/>
              </w:rPr>
              <w:t xml:space="preserve"> adults were susceptible to HBV infection, with Iraqis more likely than Afghans to be susceptible (i.e., no evidence of immunity due to prior infection or vaccination). Third, about </w:t>
            </w:r>
            <w:r w:rsidR="00E46F01">
              <w:rPr>
                <w:sz w:val="20"/>
              </w:rPr>
              <w:t>27</w:t>
            </w:r>
            <w:r w:rsidR="0077042F" w:rsidRPr="0077042F">
              <w:rPr>
                <w:sz w:val="20"/>
              </w:rPr>
              <w:t>% of SIVH had at least one intestinal parasite infection. Finally, over half of all SIV children had EBLL; the prevalence among Afghan children (61%) was higher than the prevalence among Iraqis.</w:t>
            </w:r>
            <w:r w:rsidRPr="0077042F">
              <w:rPr>
                <w:sz w:val="20"/>
              </w:rPr>
              <w:t>’</w:t>
            </w:r>
          </w:p>
          <w:p w:rsidR="00A80629" w:rsidRPr="0077042F" w:rsidRDefault="00A80629" w:rsidP="0077042F">
            <w:pPr>
              <w:pStyle w:val="TableNote"/>
              <w:tabs>
                <w:tab w:val="left" w:pos="5400"/>
              </w:tabs>
              <w:spacing w:line="240" w:lineRule="auto"/>
              <w:rPr>
                <w:sz w:val="20"/>
              </w:rPr>
            </w:pP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19</w:t>
            </w:r>
          </w:p>
        </w:tc>
        <w:tc>
          <w:tcPr>
            <w:tcW w:w="2896" w:type="dxa"/>
          </w:tcPr>
          <w:p w:rsidR="00A80629" w:rsidRPr="0004373D" w:rsidRDefault="00A80629" w:rsidP="00A80629">
            <w:pPr>
              <w:pStyle w:val="TableNote"/>
              <w:tabs>
                <w:tab w:val="left" w:pos="5400"/>
              </w:tabs>
              <w:spacing w:line="240" w:lineRule="auto"/>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w:t>
            </w:r>
          </w:p>
        </w:tc>
        <w:tc>
          <w:tcPr>
            <w:tcW w:w="5841" w:type="dxa"/>
          </w:tcPr>
          <w:p w:rsidR="00A80629" w:rsidRPr="00BF040A" w:rsidRDefault="00A80629" w:rsidP="00A80629">
            <w:pPr>
              <w:autoSpaceDE w:val="0"/>
              <w:autoSpaceDN w:val="0"/>
              <w:adjustRightInd w:val="0"/>
              <w:spacing w:line="240" w:lineRule="auto"/>
              <w:rPr>
                <w:sz w:val="20"/>
              </w:rPr>
            </w:pPr>
            <w:r>
              <w:rPr>
                <w:sz w:val="20"/>
              </w:rPr>
              <w:t>‘</w:t>
            </w:r>
            <w:r w:rsidRPr="00BF040A">
              <w:rPr>
                <w:sz w:val="20"/>
              </w:rPr>
              <w:t xml:space="preserve">This analysis has some limitations.  First, health screening data were not collected and reported uniformly across all nine sites; therefore, denominators across medical conditions and diagnoses vary. For example, </w:t>
            </w:r>
            <w:proofErr w:type="spellStart"/>
            <w:r w:rsidRPr="00BF040A">
              <w:rPr>
                <w:i/>
                <w:sz w:val="20"/>
              </w:rPr>
              <w:t>Blastocystis</w:t>
            </w:r>
            <w:proofErr w:type="spellEnd"/>
            <w:r w:rsidRPr="00BF040A">
              <w:rPr>
                <w:i/>
                <w:sz w:val="20"/>
              </w:rPr>
              <w:t xml:space="preserve"> hominis</w:t>
            </w:r>
            <w:r w:rsidRPr="00BF040A">
              <w:rPr>
                <w:sz w:val="20"/>
              </w:rPr>
              <w:t xml:space="preserve"> was reported as a pathogenic parasite by some clinicians and a non-pathogenic parasite by other clinicians (treatment for controversial parasites, such as </w:t>
            </w:r>
            <w:proofErr w:type="spellStart"/>
            <w:r w:rsidRPr="00BF040A">
              <w:rPr>
                <w:i/>
                <w:sz w:val="20"/>
              </w:rPr>
              <w:t>Blastocystis</w:t>
            </w:r>
            <w:proofErr w:type="spellEnd"/>
            <w:r w:rsidRPr="00BF040A">
              <w:rPr>
                <w:sz w:val="20"/>
              </w:rPr>
              <w:t xml:space="preserve"> and </w:t>
            </w:r>
            <w:proofErr w:type="spellStart"/>
            <w:r w:rsidRPr="00BF040A">
              <w:rPr>
                <w:i/>
                <w:sz w:val="20"/>
              </w:rPr>
              <w:t>Dientamoeba</w:t>
            </w:r>
            <w:proofErr w:type="spellEnd"/>
            <w:r w:rsidRPr="00BF040A">
              <w:rPr>
                <w:i/>
                <w:sz w:val="20"/>
              </w:rPr>
              <w:t>,</w:t>
            </w:r>
            <w:r w:rsidRPr="00BF040A">
              <w:rPr>
                <w:sz w:val="20"/>
              </w:rPr>
              <w:t xml:space="preserve"> is considered if there are no other explanations for symptoms [46</w:t>
            </w:r>
            <w:proofErr w:type="gramStart"/>
            <w:r w:rsidRPr="00BF040A">
              <w:rPr>
                <w:sz w:val="20"/>
              </w:rPr>
              <w:t>])</w:t>
            </w:r>
            <w:r w:rsidR="00651030">
              <w:rPr>
                <w:sz w:val="20"/>
              </w:rPr>
              <w:t>…</w:t>
            </w:r>
            <w:proofErr w:type="gramEnd"/>
            <w:r w:rsidRPr="00BF040A">
              <w:rPr>
                <w:sz w:val="20"/>
              </w:rPr>
              <w:t>Third, it is possible that clinicians could misclassify Iraqi and Afghan SIVH as refugees. Hence, disease estimates could be underestimated or overestimated. Fourth, given that about 11% of SIV adults and 34% of SIV children were uninfected but had unknown susceptibility to HBV, the estimates for HBV susceptibility and immunity could be overestimated or underestimated</w:t>
            </w:r>
            <w:r w:rsidR="0077042F">
              <w:rPr>
                <w:sz w:val="20"/>
              </w:rPr>
              <w:t>..</w:t>
            </w:r>
            <w:r w:rsidRPr="00BF040A">
              <w:rPr>
                <w:sz w:val="20"/>
              </w:rPr>
              <w:t xml:space="preserve">.’ </w:t>
            </w:r>
          </w:p>
          <w:p w:rsidR="00A80629" w:rsidRPr="00BF040A" w:rsidRDefault="00A80629" w:rsidP="00A80629">
            <w:pPr>
              <w:pStyle w:val="TableNote"/>
              <w:tabs>
                <w:tab w:val="left" w:pos="5400"/>
              </w:tabs>
              <w:spacing w:line="240" w:lineRule="auto"/>
              <w:rPr>
                <w:sz w:val="20"/>
              </w:rPr>
            </w:pP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20</w:t>
            </w:r>
          </w:p>
        </w:tc>
        <w:tc>
          <w:tcPr>
            <w:tcW w:w="2896" w:type="dxa"/>
          </w:tcPr>
          <w:p w:rsidR="00A80629" w:rsidRPr="0004373D" w:rsidRDefault="00A80629" w:rsidP="00A80629">
            <w:pPr>
              <w:pStyle w:val="TableNote"/>
              <w:tabs>
                <w:tab w:val="left" w:pos="5400"/>
              </w:tabs>
              <w:spacing w:line="240" w:lineRule="auto"/>
              <w:rPr>
                <w:sz w:val="20"/>
              </w:rPr>
            </w:pPr>
            <w:r w:rsidRPr="0022554A">
              <w:rPr>
                <w:sz w:val="20"/>
              </w:rPr>
              <w:t>Give a cautious overall interpretation of results considering objectives, limitations, multiplicity of analyses, results from similar studies, and other relevant evidence</w:t>
            </w:r>
          </w:p>
        </w:tc>
        <w:tc>
          <w:tcPr>
            <w:tcW w:w="5841" w:type="dxa"/>
          </w:tcPr>
          <w:p w:rsidR="00A80629" w:rsidRDefault="00A80629" w:rsidP="00A80629">
            <w:pPr>
              <w:pStyle w:val="TableNote"/>
              <w:tabs>
                <w:tab w:val="left" w:pos="5400"/>
              </w:tabs>
              <w:spacing w:line="240" w:lineRule="auto"/>
              <w:rPr>
                <w:sz w:val="20"/>
              </w:rPr>
            </w:pPr>
            <w:r w:rsidRPr="00B62D92">
              <w:rPr>
                <w:sz w:val="20"/>
              </w:rPr>
              <w:t>‘While published data on LTBI prevalence among Afghan populations in general are limited, LTBI prevalence estimates in Iraqi populations range from 0.9% to 14.1% [8</w:t>
            </w:r>
            <w:r w:rsidRPr="00B62D92">
              <w:rPr>
                <w:rFonts w:ascii="inherit" w:hAnsi="inherit" w:cs="Helvetica"/>
                <w:color w:val="202020"/>
                <w:sz w:val="20"/>
                <w:lang w:val="en"/>
              </w:rPr>
              <w:t>–</w:t>
            </w:r>
            <w:r w:rsidRPr="00B62D92">
              <w:rPr>
                <w:sz w:val="20"/>
              </w:rPr>
              <w:t xml:space="preserve">10]. The incidence of tuberculosis disease in Afghanistan is 189 per 100,000 people compared to 42 per 100,000 people in Iraq [18, 19], which may explain our finding of higher prevalence of LTBI among Afghans. </w:t>
            </w:r>
            <w:r w:rsidRPr="0077042F">
              <w:rPr>
                <w:sz w:val="20"/>
              </w:rPr>
              <w:t xml:space="preserve">Domestic clinicians screening newly arrived SIVH should refer to the </w:t>
            </w:r>
            <w:r w:rsidR="0077042F" w:rsidRPr="0077042F">
              <w:rPr>
                <w:color w:val="333333"/>
                <w:sz w:val="20"/>
              </w:rPr>
              <w:t xml:space="preserve">CDC’s </w:t>
            </w:r>
            <w:r w:rsidR="0077042F" w:rsidRPr="0077042F">
              <w:rPr>
                <w:i/>
                <w:sz w:val="20"/>
              </w:rPr>
              <w:t>Guidelines for the US Domestic Medical Examination for Newly Arrived Refugees</w:t>
            </w:r>
            <w:r w:rsidR="0077042F" w:rsidRPr="0077042F" w:rsidDel="00377588">
              <w:rPr>
                <w:color w:val="333333"/>
                <w:sz w:val="20"/>
              </w:rPr>
              <w:t xml:space="preserve"> </w:t>
            </w:r>
            <w:r w:rsidRPr="0077042F">
              <w:rPr>
                <w:sz w:val="20"/>
              </w:rPr>
              <w:t>to</w:t>
            </w:r>
            <w:r w:rsidRPr="00B62D92">
              <w:rPr>
                <w:sz w:val="20"/>
              </w:rPr>
              <w:t xml:space="preserve"> ensure they are appropriately screening for and treating LTBI, with special attention to adults, who are not routinely tested for </w:t>
            </w:r>
            <w:r w:rsidRPr="00B62D92">
              <w:rPr>
                <w:i/>
                <w:sz w:val="20"/>
              </w:rPr>
              <w:t>Mycobacterium tuberculosis</w:t>
            </w:r>
            <w:r w:rsidRPr="00B62D92">
              <w:rPr>
                <w:sz w:val="20"/>
              </w:rPr>
              <w:t xml:space="preserve"> infection in the overseas medical exam…’</w:t>
            </w:r>
          </w:p>
          <w:p w:rsidR="00A80629" w:rsidRDefault="00A80629" w:rsidP="00A80629">
            <w:pPr>
              <w:pStyle w:val="TableNote"/>
              <w:tabs>
                <w:tab w:val="left" w:pos="5400"/>
              </w:tabs>
              <w:spacing w:line="240" w:lineRule="auto"/>
              <w:rPr>
                <w:sz w:val="20"/>
              </w:rPr>
            </w:pPr>
          </w:p>
          <w:p w:rsidR="00A80629" w:rsidRPr="00B62D92" w:rsidRDefault="00A80629" w:rsidP="00A80629">
            <w:pPr>
              <w:pStyle w:val="TableNote"/>
              <w:tabs>
                <w:tab w:val="left" w:pos="5400"/>
              </w:tabs>
              <w:spacing w:line="240" w:lineRule="auto"/>
              <w:rPr>
                <w:sz w:val="20"/>
              </w:rPr>
            </w:pPr>
            <w:r>
              <w:rPr>
                <w:sz w:val="20"/>
              </w:rPr>
              <w:t xml:space="preserve">**Other interpretation of results provided in further detail in the manuscript. </w:t>
            </w:r>
          </w:p>
        </w:tc>
      </w:tr>
      <w:tr w:rsidR="00A80629" w:rsidRPr="0004373D" w:rsidTr="00FE4BB2">
        <w:tc>
          <w:tcPr>
            <w:tcW w:w="894" w:type="dxa"/>
          </w:tcPr>
          <w:p w:rsidR="00A80629" w:rsidRPr="0004373D" w:rsidRDefault="00A80629" w:rsidP="00A80629">
            <w:pPr>
              <w:pStyle w:val="TableNote"/>
              <w:tabs>
                <w:tab w:val="left" w:pos="5400"/>
              </w:tabs>
              <w:spacing w:line="240" w:lineRule="auto"/>
              <w:rPr>
                <w:sz w:val="20"/>
              </w:rPr>
            </w:pPr>
            <w:r>
              <w:rPr>
                <w:sz w:val="20"/>
              </w:rPr>
              <w:t>21</w:t>
            </w:r>
          </w:p>
        </w:tc>
        <w:tc>
          <w:tcPr>
            <w:tcW w:w="2896" w:type="dxa"/>
          </w:tcPr>
          <w:p w:rsidR="00A80629" w:rsidRPr="0004373D" w:rsidRDefault="00A80629" w:rsidP="00A80629">
            <w:pPr>
              <w:pStyle w:val="TableNote"/>
              <w:tabs>
                <w:tab w:val="left" w:pos="5400"/>
              </w:tabs>
              <w:spacing w:line="240" w:lineRule="auto"/>
              <w:rPr>
                <w:sz w:val="20"/>
              </w:rPr>
            </w:pPr>
            <w:r w:rsidRPr="0022554A">
              <w:rPr>
                <w:sz w:val="20"/>
              </w:rPr>
              <w:t>Discuss the generalisability (external validity) of the study results</w:t>
            </w:r>
          </w:p>
        </w:tc>
        <w:tc>
          <w:tcPr>
            <w:tcW w:w="5841" w:type="dxa"/>
          </w:tcPr>
          <w:p w:rsidR="00A80629" w:rsidRPr="00B62D92" w:rsidRDefault="00A80629" w:rsidP="00A80629">
            <w:pPr>
              <w:pStyle w:val="TableNote"/>
              <w:tabs>
                <w:tab w:val="left" w:pos="5400"/>
              </w:tabs>
              <w:spacing w:line="240" w:lineRule="auto"/>
              <w:rPr>
                <w:sz w:val="20"/>
              </w:rPr>
            </w:pPr>
            <w:r w:rsidRPr="00B62D92">
              <w:rPr>
                <w:sz w:val="20"/>
              </w:rPr>
              <w:t>‘Given that sites collected and shared data differently, and we did not capture detailed information on method or type of testing for most conditions, our findings only reflect those sites contributing data and not all SIV populations in the US.’</w:t>
            </w:r>
          </w:p>
        </w:tc>
      </w:tr>
      <w:tr w:rsidR="00651030" w:rsidRPr="0004373D" w:rsidTr="00FE4BB2">
        <w:tc>
          <w:tcPr>
            <w:tcW w:w="894" w:type="dxa"/>
          </w:tcPr>
          <w:p w:rsidR="00651030" w:rsidRDefault="00651030" w:rsidP="00A80629">
            <w:pPr>
              <w:pStyle w:val="TableNote"/>
              <w:tabs>
                <w:tab w:val="left" w:pos="5400"/>
              </w:tabs>
              <w:spacing w:line="240" w:lineRule="auto"/>
              <w:rPr>
                <w:sz w:val="20"/>
              </w:rPr>
            </w:pPr>
            <w:r>
              <w:rPr>
                <w:sz w:val="20"/>
              </w:rPr>
              <w:t>22</w:t>
            </w:r>
          </w:p>
        </w:tc>
        <w:tc>
          <w:tcPr>
            <w:tcW w:w="2896" w:type="dxa"/>
          </w:tcPr>
          <w:p w:rsidR="00651030" w:rsidRPr="0022554A" w:rsidRDefault="00651030" w:rsidP="00A80629">
            <w:pPr>
              <w:pStyle w:val="TableNote"/>
              <w:tabs>
                <w:tab w:val="left" w:pos="5400"/>
              </w:tabs>
              <w:spacing w:line="240" w:lineRule="auto"/>
              <w:rPr>
                <w:sz w:val="20"/>
              </w:rPr>
            </w:pPr>
            <w:r w:rsidRPr="005F1216">
              <w:rPr>
                <w:sz w:val="20"/>
              </w:rPr>
              <w:t>Give the source of funding and the role of the funders for the present study and, if applicable, for the original study on which the present article is based</w:t>
            </w:r>
          </w:p>
        </w:tc>
        <w:tc>
          <w:tcPr>
            <w:tcW w:w="5841" w:type="dxa"/>
          </w:tcPr>
          <w:p w:rsidR="00651030" w:rsidRPr="00651030" w:rsidRDefault="00651030" w:rsidP="00A80629">
            <w:pPr>
              <w:pStyle w:val="TableNote"/>
              <w:tabs>
                <w:tab w:val="left" w:pos="5400"/>
              </w:tabs>
              <w:spacing w:line="240" w:lineRule="auto"/>
              <w:rPr>
                <w:sz w:val="20"/>
              </w:rPr>
            </w:pPr>
            <w:r w:rsidRPr="00651030">
              <w:rPr>
                <w:sz w:val="20"/>
              </w:rPr>
              <w:t>‘CDC collaborated with nine partners as part of a cooperative agreement (</w:t>
            </w:r>
            <w:r w:rsidRPr="00651030">
              <w:rPr>
                <w:i/>
                <w:sz w:val="20"/>
              </w:rPr>
              <w:t>CK12-1205</w:t>
            </w:r>
            <w:r w:rsidRPr="00651030">
              <w:rPr>
                <w:sz w:val="20"/>
              </w:rPr>
              <w:t>) to collect domestic screening exam data for analysis.’</w:t>
            </w:r>
          </w:p>
        </w:tc>
      </w:tr>
    </w:tbl>
    <w:p w:rsidR="00D61F48" w:rsidRPr="002602FB" w:rsidRDefault="00D61F48" w:rsidP="002602FB">
      <w:pPr>
        <w:pStyle w:val="TableNote"/>
        <w:tabs>
          <w:tab w:val="left" w:pos="5400"/>
        </w:tabs>
        <w:rPr>
          <w:sz w:val="20"/>
        </w:rPr>
      </w:pPr>
    </w:p>
    <w:sectPr w:rsidR="00D61F48"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55" w:rsidRDefault="00685455">
      <w:r>
        <w:separator/>
      </w:r>
    </w:p>
  </w:endnote>
  <w:endnote w:type="continuationSeparator" w:id="0">
    <w:p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55" w:rsidRDefault="00685455">
      <w:r>
        <w:separator/>
      </w:r>
    </w:p>
  </w:footnote>
  <w:footnote w:type="continuationSeparator" w:id="0">
    <w:p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A70988"/>
    <w:multiLevelType w:val="hybridMultilevel"/>
    <w:tmpl w:val="B48AA084"/>
    <w:lvl w:ilvl="0" w:tplc="BBCAB16A">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3D6160E0"/>
    <w:multiLevelType w:val="hybridMultilevel"/>
    <w:tmpl w:val="0DB2AA4E"/>
    <w:lvl w:ilvl="0" w:tplc="B720E6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2"/>
  </w:num>
  <w:num w:numId="2">
    <w:abstractNumId w:val="11"/>
  </w:num>
  <w:num w:numId="3">
    <w:abstractNumId w:val="20"/>
  </w:num>
  <w:num w:numId="4">
    <w:abstractNumId w:val="17"/>
  </w:num>
  <w:num w:numId="5">
    <w:abstractNumId w:val="16"/>
  </w:num>
  <w:num w:numId="6">
    <w:abstractNumId w:val="21"/>
  </w:num>
  <w:num w:numId="7">
    <w:abstractNumId w:val="10"/>
  </w:num>
  <w:num w:numId="8">
    <w:abstractNumId w:val="13"/>
  </w:num>
  <w:num w:numId="9">
    <w:abstractNumId w:val="9"/>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36A81"/>
    <w:rsid w:val="0004373D"/>
    <w:rsid w:val="00062A10"/>
    <w:rsid w:val="00093E3A"/>
    <w:rsid w:val="000B6FD4"/>
    <w:rsid w:val="000E691B"/>
    <w:rsid w:val="000F26ED"/>
    <w:rsid w:val="001023BA"/>
    <w:rsid w:val="00110BFB"/>
    <w:rsid w:val="00134AAC"/>
    <w:rsid w:val="0016156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0C82"/>
    <w:rsid w:val="0045419E"/>
    <w:rsid w:val="0045734B"/>
    <w:rsid w:val="00465542"/>
    <w:rsid w:val="00472DF5"/>
    <w:rsid w:val="00481781"/>
    <w:rsid w:val="00495204"/>
    <w:rsid w:val="004A31B3"/>
    <w:rsid w:val="004E1263"/>
    <w:rsid w:val="005044A6"/>
    <w:rsid w:val="00590F64"/>
    <w:rsid w:val="005923E5"/>
    <w:rsid w:val="00593C8D"/>
    <w:rsid w:val="005A3FF5"/>
    <w:rsid w:val="005B567D"/>
    <w:rsid w:val="005C546B"/>
    <w:rsid w:val="005D0CFC"/>
    <w:rsid w:val="005D19F4"/>
    <w:rsid w:val="005F1216"/>
    <w:rsid w:val="005F254A"/>
    <w:rsid w:val="00651030"/>
    <w:rsid w:val="0065657F"/>
    <w:rsid w:val="00666336"/>
    <w:rsid w:val="00683E42"/>
    <w:rsid w:val="006846BC"/>
    <w:rsid w:val="00685455"/>
    <w:rsid w:val="006A2F18"/>
    <w:rsid w:val="006A5DD9"/>
    <w:rsid w:val="006B2915"/>
    <w:rsid w:val="006B56D7"/>
    <w:rsid w:val="006C0B63"/>
    <w:rsid w:val="006C7601"/>
    <w:rsid w:val="006D16AA"/>
    <w:rsid w:val="006E59C5"/>
    <w:rsid w:val="006F66AC"/>
    <w:rsid w:val="00701AC5"/>
    <w:rsid w:val="00711D81"/>
    <w:rsid w:val="0074576C"/>
    <w:rsid w:val="00754BA5"/>
    <w:rsid w:val="007562C3"/>
    <w:rsid w:val="0077042F"/>
    <w:rsid w:val="007909BA"/>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D2EFE"/>
    <w:rsid w:val="009E0429"/>
    <w:rsid w:val="009F5211"/>
    <w:rsid w:val="00A42352"/>
    <w:rsid w:val="00A527E4"/>
    <w:rsid w:val="00A5640D"/>
    <w:rsid w:val="00A729D6"/>
    <w:rsid w:val="00A80629"/>
    <w:rsid w:val="00A938BF"/>
    <w:rsid w:val="00AE2C57"/>
    <w:rsid w:val="00AF4615"/>
    <w:rsid w:val="00B50DF8"/>
    <w:rsid w:val="00B54EA0"/>
    <w:rsid w:val="00B60EFB"/>
    <w:rsid w:val="00B62D92"/>
    <w:rsid w:val="00B65366"/>
    <w:rsid w:val="00B77807"/>
    <w:rsid w:val="00B940E9"/>
    <w:rsid w:val="00BA1206"/>
    <w:rsid w:val="00BC7FE6"/>
    <w:rsid w:val="00BE3709"/>
    <w:rsid w:val="00BF040A"/>
    <w:rsid w:val="00CB6CC8"/>
    <w:rsid w:val="00CC4C93"/>
    <w:rsid w:val="00CE4480"/>
    <w:rsid w:val="00D120D2"/>
    <w:rsid w:val="00D20D7C"/>
    <w:rsid w:val="00D26FCA"/>
    <w:rsid w:val="00D6152F"/>
    <w:rsid w:val="00D61F48"/>
    <w:rsid w:val="00D6407C"/>
    <w:rsid w:val="00D87AF7"/>
    <w:rsid w:val="00DA120C"/>
    <w:rsid w:val="00DC4BEF"/>
    <w:rsid w:val="00E07C55"/>
    <w:rsid w:val="00E10628"/>
    <w:rsid w:val="00E144CD"/>
    <w:rsid w:val="00E2292B"/>
    <w:rsid w:val="00E46F01"/>
    <w:rsid w:val="00EA6E28"/>
    <w:rsid w:val="00F0752A"/>
    <w:rsid w:val="00F378D0"/>
    <w:rsid w:val="00F76668"/>
    <w:rsid w:val="00F76A7F"/>
    <w:rsid w:val="00F838E1"/>
    <w:rsid w:val="00F842DC"/>
    <w:rsid w:val="00F876FF"/>
    <w:rsid w:val="00F93A89"/>
    <w:rsid w:val="00F968F7"/>
    <w:rsid w:val="00F970FA"/>
    <w:rsid w:val="00FA060E"/>
    <w:rsid w:val="00FA2721"/>
    <w:rsid w:val="00FA3D11"/>
    <w:rsid w:val="00FE4BB2"/>
    <w:rsid w:val="00FF3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3C10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styleId="UnresolvedMention">
    <w:name w:val="Unresolved Mention"/>
    <w:basedOn w:val="DefaultParagraphFont"/>
    <w:uiPriority w:val="99"/>
    <w:semiHidden/>
    <w:unhideWhenUsed/>
    <w:rsid w:val="00D61F48"/>
    <w:rPr>
      <w:color w:val="605E5C"/>
      <w:shd w:val="clear" w:color="auto" w:fill="E1DFDD"/>
    </w:rPr>
  </w:style>
  <w:style w:type="table" w:styleId="TableGrid">
    <w:name w:val="Table Grid"/>
    <w:basedOn w:val="TableNormal"/>
    <w:rsid w:val="00D6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be-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7</Pages>
  <Words>3111</Words>
  <Characters>17733</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Kumar, Gayathri S. (CDC/DDID/NCEZID/DGMQ)</cp:lastModifiedBy>
  <cp:revision>6</cp:revision>
  <cp:lastPrinted>2007-09-19T09:02:00Z</cp:lastPrinted>
  <dcterms:created xsi:type="dcterms:W3CDTF">2020-01-17T19:05:00Z</dcterms:created>
  <dcterms:modified xsi:type="dcterms:W3CDTF">2020-01-17T22:10:00Z</dcterms:modified>
</cp:coreProperties>
</file>