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3BDD" w14:textId="77777777" w:rsidR="00335D4E" w:rsidRPr="00335D4E" w:rsidRDefault="00335D4E" w:rsidP="00335D4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335D4E">
        <w:rPr>
          <w:rFonts w:eastAsia="Times New Roman" w:cstheme="minorHAnsi"/>
          <w:b/>
          <w:sz w:val="24"/>
          <w:szCs w:val="24"/>
        </w:rPr>
        <w:t>Antibody epitope repertoire analysis</w:t>
      </w:r>
      <w:proofErr w:type="gramEnd"/>
      <w:r w:rsidRPr="00335D4E">
        <w:rPr>
          <w:rFonts w:eastAsia="Times New Roman" w:cstheme="minorHAnsi"/>
          <w:b/>
          <w:sz w:val="24"/>
          <w:szCs w:val="24"/>
        </w:rPr>
        <w:t xml:space="preserve"> enables rapid antigen discovery and multiplex serology</w:t>
      </w:r>
    </w:p>
    <w:p w14:paraId="66DF57FD" w14:textId="77777777" w:rsidR="00335D4E" w:rsidRPr="00335D4E" w:rsidRDefault="00335D4E" w:rsidP="00335D4E">
      <w:pPr>
        <w:keepNext/>
        <w:snapToGri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4"/>
          <w:szCs w:val="24"/>
        </w:rPr>
      </w:pPr>
    </w:p>
    <w:p w14:paraId="213F626C" w14:textId="77777777" w:rsidR="00335D4E" w:rsidRPr="00335D4E" w:rsidRDefault="00335D4E" w:rsidP="00335D4E">
      <w:pPr>
        <w:snapToGrid w:val="0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vertAlign w:val="superscript"/>
        </w:rPr>
      </w:pPr>
      <w:r w:rsidRPr="00335D4E">
        <w:rPr>
          <w:rFonts w:eastAsia="Times New Roman" w:cstheme="minorHAnsi"/>
          <w:color w:val="000000" w:themeColor="text1"/>
          <w:sz w:val="24"/>
          <w:szCs w:val="24"/>
        </w:rPr>
        <w:t>Kathy Kamath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1†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Jack Reifert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1†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Timothy Johnston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Cameron Gable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Robert J. Pantazes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1,2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Hilda N. Rivera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3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 Isabel McAuliffe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3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Sukwan Handali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3</w:t>
      </w:r>
      <w:r w:rsidRPr="00335D4E">
        <w:rPr>
          <w:rFonts w:eastAsia="Times New Roman" w:cstheme="minorHAnsi"/>
          <w:color w:val="000000" w:themeColor="text1"/>
          <w:sz w:val="24"/>
          <w:szCs w:val="24"/>
        </w:rPr>
        <w:t>, Patrick S. Daugherty</w:t>
      </w:r>
      <w:r w:rsidRPr="00335D4E">
        <w:rPr>
          <w:rFonts w:eastAsia="Times New Roman" w:cstheme="minorHAnsi"/>
          <w:color w:val="000000" w:themeColor="text1"/>
          <w:sz w:val="24"/>
          <w:szCs w:val="24"/>
          <w:vertAlign w:val="superscript"/>
        </w:rPr>
        <w:t>1*</w:t>
      </w:r>
    </w:p>
    <w:p w14:paraId="4AA617AD" w14:textId="77777777" w:rsidR="004B7155" w:rsidRPr="00335D4E" w:rsidRDefault="004B7155" w:rsidP="002959AE">
      <w:pPr>
        <w:pStyle w:val="Paragraph"/>
        <w:ind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325DD97" w14:textId="6BF501D8" w:rsidR="002959AE" w:rsidRPr="00335D4E" w:rsidRDefault="00C10D69" w:rsidP="002959AE">
      <w:pPr>
        <w:pStyle w:val="Paragraph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335D4E">
        <w:rPr>
          <w:rFonts w:asciiTheme="minorHAnsi" w:hAnsiTheme="minorHAnsi" w:cstheme="minorHAnsi"/>
          <w:b/>
          <w:sz w:val="22"/>
          <w:szCs w:val="22"/>
        </w:rPr>
        <w:t>Supplementa</w:t>
      </w:r>
      <w:r w:rsidR="00335D4E" w:rsidRPr="00335D4E">
        <w:rPr>
          <w:rFonts w:asciiTheme="minorHAnsi" w:hAnsiTheme="minorHAnsi" w:cstheme="minorHAnsi"/>
          <w:b/>
          <w:sz w:val="22"/>
          <w:szCs w:val="22"/>
        </w:rPr>
        <w:t>ry</w:t>
      </w:r>
      <w:r w:rsidR="002959AE" w:rsidRPr="00335D4E">
        <w:rPr>
          <w:rFonts w:asciiTheme="minorHAnsi" w:hAnsiTheme="minorHAnsi" w:cstheme="minorHAnsi"/>
          <w:b/>
          <w:sz w:val="22"/>
          <w:szCs w:val="22"/>
        </w:rPr>
        <w:t xml:space="preserve"> Methods</w:t>
      </w:r>
      <w:r w:rsidR="00F356C9" w:rsidRPr="00335D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EB2AF29" w14:textId="77777777" w:rsidR="00BA694A" w:rsidRPr="00335D4E" w:rsidRDefault="00335D4E" w:rsidP="004B7155">
      <w:pPr>
        <w:spacing w:line="480" w:lineRule="auto"/>
        <w:rPr>
          <w:rFonts w:cstheme="minorHAnsi"/>
        </w:rPr>
      </w:pPr>
    </w:p>
    <w:p w14:paraId="24AB5CD9" w14:textId="7F802DA2" w:rsidR="00C10D69" w:rsidRPr="00335D4E" w:rsidRDefault="004B7155" w:rsidP="004B7155">
      <w:pPr>
        <w:spacing w:line="480" w:lineRule="auto"/>
        <w:rPr>
          <w:rFonts w:cstheme="minorHAnsi"/>
        </w:rPr>
      </w:pPr>
      <w:r w:rsidRPr="00335D4E">
        <w:rPr>
          <w:rFonts w:cstheme="minorHAnsi"/>
          <w:b/>
        </w:rPr>
        <w:t>Peptide l</w:t>
      </w:r>
      <w:r w:rsidR="00C10D69" w:rsidRPr="00335D4E">
        <w:rPr>
          <w:rFonts w:cstheme="minorHAnsi"/>
          <w:b/>
        </w:rPr>
        <w:t>ibrary preparation</w:t>
      </w:r>
      <w:r w:rsidRPr="00335D4E">
        <w:rPr>
          <w:rFonts w:cstheme="minorHAnsi"/>
          <w:b/>
        </w:rPr>
        <w:t>.</w:t>
      </w:r>
      <w:r w:rsidR="00C10D69" w:rsidRPr="00335D4E">
        <w:rPr>
          <w:rFonts w:cstheme="minorHAnsi"/>
        </w:rPr>
        <w:t xml:space="preserve">  </w:t>
      </w:r>
      <w:proofErr w:type="gramStart"/>
      <w:r w:rsidR="00C10D69" w:rsidRPr="00335D4E">
        <w:rPr>
          <w:rFonts w:cstheme="minorHAnsi"/>
        </w:rPr>
        <w:t xml:space="preserve">Five frozen stocks of </w:t>
      </w:r>
      <w:r w:rsidR="00C10D69" w:rsidRPr="00335D4E">
        <w:rPr>
          <w:rFonts w:cstheme="minorHAnsi"/>
          <w:i/>
          <w:iCs/>
        </w:rPr>
        <w:t xml:space="preserve">Escherichia coli </w:t>
      </w:r>
      <w:r w:rsidR="00C10D69" w:rsidRPr="00335D4E">
        <w:rPr>
          <w:rFonts w:cstheme="minorHAnsi"/>
        </w:rPr>
        <w:t>strain MC1061 [F- araD139 Δ(</w:t>
      </w:r>
      <w:proofErr w:type="spellStart"/>
      <w:r w:rsidR="00C10D69" w:rsidRPr="00335D4E">
        <w:rPr>
          <w:rFonts w:cstheme="minorHAnsi"/>
        </w:rPr>
        <w:t>ara-leu</w:t>
      </w:r>
      <w:proofErr w:type="spellEnd"/>
      <w:r w:rsidR="00C10D69" w:rsidRPr="00335D4E">
        <w:rPr>
          <w:rFonts w:cstheme="minorHAnsi"/>
        </w:rPr>
        <w:t xml:space="preserve">)7696 galE15 galK16 Δ(lac)X74 </w:t>
      </w:r>
      <w:proofErr w:type="spellStart"/>
      <w:r w:rsidR="00C10D69" w:rsidRPr="00335D4E">
        <w:rPr>
          <w:rFonts w:cstheme="minorHAnsi"/>
        </w:rPr>
        <w:t>rpsL</w:t>
      </w:r>
      <w:proofErr w:type="spellEnd"/>
      <w:r w:rsidR="00C10D69" w:rsidRPr="00335D4E">
        <w:rPr>
          <w:rFonts w:cstheme="minorHAnsi"/>
        </w:rPr>
        <w:t xml:space="preserve"> (</w:t>
      </w:r>
      <w:proofErr w:type="spellStart"/>
      <w:r w:rsidR="00C10D69" w:rsidRPr="00335D4E">
        <w:rPr>
          <w:rFonts w:cstheme="minorHAnsi"/>
        </w:rPr>
        <w:t>StrR</w:t>
      </w:r>
      <w:proofErr w:type="spellEnd"/>
      <w:r w:rsidR="00C10D69" w:rsidRPr="00335D4E">
        <w:rPr>
          <w:rFonts w:cstheme="minorHAnsi"/>
        </w:rPr>
        <w:t>) hsdR2 (</w:t>
      </w:r>
      <w:proofErr w:type="spellStart"/>
      <w:r w:rsidR="00C10D69" w:rsidRPr="00335D4E">
        <w:rPr>
          <w:rFonts w:cstheme="minorHAnsi"/>
        </w:rPr>
        <w:t>rK</w:t>
      </w:r>
      <w:proofErr w:type="spellEnd"/>
      <w:r w:rsidR="00C10D69" w:rsidRPr="00335D4E">
        <w:rPr>
          <w:rFonts w:cstheme="minorHAnsi"/>
        </w:rPr>
        <w:t xml:space="preserve">- </w:t>
      </w:r>
      <w:proofErr w:type="spellStart"/>
      <w:r w:rsidR="00C10D69" w:rsidRPr="00335D4E">
        <w:rPr>
          <w:rFonts w:cstheme="minorHAnsi"/>
        </w:rPr>
        <w:t>mK</w:t>
      </w:r>
      <w:proofErr w:type="spellEnd"/>
      <w:r w:rsidR="00C10D69" w:rsidRPr="00335D4E">
        <w:rPr>
          <w:rFonts w:cstheme="minorHAnsi"/>
        </w:rPr>
        <w:t xml:space="preserve">+) </w:t>
      </w:r>
      <w:proofErr w:type="spellStart"/>
      <w:r w:rsidR="00C10D69" w:rsidRPr="00335D4E">
        <w:rPr>
          <w:rFonts w:cstheme="minorHAnsi"/>
        </w:rPr>
        <w:t>mcrA</w:t>
      </w:r>
      <w:proofErr w:type="spellEnd"/>
      <w:r w:rsidR="00C10D69" w:rsidRPr="00335D4E">
        <w:rPr>
          <w:rFonts w:cstheme="minorHAnsi"/>
        </w:rPr>
        <w:t xml:space="preserve"> mcrB1] with surface display vector pB33eCPX (each containing 8×10</w:t>
      </w:r>
      <w:r w:rsidR="00C10D69" w:rsidRPr="00335D4E">
        <w:rPr>
          <w:rFonts w:cstheme="minorHAnsi"/>
          <w:vertAlign w:val="superscript"/>
        </w:rPr>
        <w:t>10</w:t>
      </w:r>
      <w:r w:rsidR="00C10D69" w:rsidRPr="00335D4E">
        <w:rPr>
          <w:rFonts w:cstheme="minorHAnsi"/>
        </w:rPr>
        <w:t xml:space="preserve"> cells, 10-fold the diversity of the 12-mer X12 library), were inoculated into five 2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L baffled flasks of 500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mL LB (10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g/L tryptone, 5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g/L yeast extract, and 10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 xml:space="preserve">g/L </w:t>
      </w:r>
      <w:proofErr w:type="spellStart"/>
      <w:r w:rsidR="00C10D69" w:rsidRPr="00335D4E">
        <w:rPr>
          <w:rFonts w:cstheme="minorHAnsi"/>
        </w:rPr>
        <w:t>NaCl</w:t>
      </w:r>
      <w:proofErr w:type="spellEnd"/>
      <w:r w:rsidR="00C10D69" w:rsidRPr="00335D4E">
        <w:rPr>
          <w:rFonts w:cstheme="minorHAnsi"/>
        </w:rPr>
        <w:t>) supplemented with 34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µg/mL chloramphenicol.</w:t>
      </w:r>
      <w:proofErr w:type="gramEnd"/>
      <w:r w:rsidR="00C10D69" w:rsidRPr="00335D4E">
        <w:rPr>
          <w:rFonts w:cstheme="minorHAnsi"/>
        </w:rPr>
        <w:t xml:space="preserve">  The flasks were incubated with vigorous shaking (300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rpm) at 37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°C until the cells grew to OD</w:t>
      </w:r>
      <w:r w:rsidR="00C10D69" w:rsidRPr="00335D4E">
        <w:rPr>
          <w:rFonts w:cstheme="minorHAnsi"/>
        </w:rPr>
        <w:softHyphen/>
      </w:r>
      <w:r w:rsidR="00C10D69" w:rsidRPr="00335D4E">
        <w:rPr>
          <w:rFonts w:cstheme="minorHAnsi"/>
          <w:vertAlign w:val="subscript"/>
        </w:rPr>
        <w:t>600</w:t>
      </w:r>
      <w:r w:rsidR="00C10D69" w:rsidRPr="00335D4E">
        <w:rPr>
          <w:rFonts w:cstheme="minorHAnsi"/>
        </w:rPr>
        <w:t xml:space="preserve"> = 1.2. Peptide expression </w:t>
      </w:r>
      <w:proofErr w:type="gramStart"/>
      <w:r w:rsidR="00C10D69" w:rsidRPr="00335D4E">
        <w:rPr>
          <w:rFonts w:cstheme="minorHAnsi"/>
        </w:rPr>
        <w:t>was induced</w:t>
      </w:r>
      <w:proofErr w:type="gramEnd"/>
      <w:r w:rsidR="00C10D69" w:rsidRPr="00335D4E">
        <w:rPr>
          <w:rFonts w:cstheme="minorHAnsi"/>
        </w:rPr>
        <w:t xml:space="preserve"> with L-(+)-arabinose at a final concentration of 0.02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 xml:space="preserve">% </w:t>
      </w:r>
      <w:proofErr w:type="spellStart"/>
      <w:r w:rsidR="00C10D69" w:rsidRPr="00335D4E">
        <w:rPr>
          <w:rFonts w:cstheme="minorHAnsi"/>
        </w:rPr>
        <w:t>wt</w:t>
      </w:r>
      <w:proofErr w:type="spellEnd"/>
      <w:r w:rsidR="00C10D69" w:rsidRPr="00335D4E">
        <w:rPr>
          <w:rFonts w:cstheme="minorHAnsi"/>
        </w:rPr>
        <w:t>/</w:t>
      </w:r>
      <w:proofErr w:type="spellStart"/>
      <w:r w:rsidR="00C10D69" w:rsidRPr="00335D4E">
        <w:rPr>
          <w:rFonts w:cstheme="minorHAnsi"/>
        </w:rPr>
        <w:t>vol</w:t>
      </w:r>
      <w:proofErr w:type="spellEnd"/>
      <w:r w:rsidR="00C10D69" w:rsidRPr="00335D4E">
        <w:rPr>
          <w:rFonts w:cstheme="minorHAnsi"/>
        </w:rPr>
        <w:t xml:space="preserve"> for one hour. Cells </w:t>
      </w:r>
      <w:proofErr w:type="gramStart"/>
      <w:r w:rsidR="00C10D69" w:rsidRPr="00335D4E">
        <w:rPr>
          <w:rFonts w:cstheme="minorHAnsi"/>
        </w:rPr>
        <w:t>were collected by centrifugation (3500</w:t>
      </w:r>
      <w:r w:rsidR="00251C9F" w:rsidRPr="00335D4E">
        <w:rPr>
          <w:rFonts w:cstheme="minorHAnsi"/>
        </w:rPr>
        <w:t xml:space="preserve"> </w:t>
      </w:r>
      <w:proofErr w:type="spellStart"/>
      <w:r w:rsidR="00C10D69" w:rsidRPr="00335D4E">
        <w:rPr>
          <w:rFonts w:cstheme="minorHAnsi"/>
        </w:rPr>
        <w:t>rcf</w:t>
      </w:r>
      <w:proofErr w:type="spellEnd"/>
      <w:r w:rsidR="00C10D69" w:rsidRPr="00335D4E">
        <w:rPr>
          <w:rFonts w:cstheme="minorHAnsi"/>
        </w:rPr>
        <w:t xml:space="preserve"> for 30 minutes) and resuspended in cold phosphate buffered saline containing 15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% glycerol (PBSG) as a cryoprotectant</w:t>
      </w:r>
      <w:proofErr w:type="gramEnd"/>
      <w:r w:rsidR="00C10D69" w:rsidRPr="00335D4E">
        <w:rPr>
          <w:rFonts w:cstheme="minorHAnsi"/>
        </w:rPr>
        <w:t>. The cell suspension was divided into wells of a 96-deep-well plate to yield 8×10</w:t>
      </w:r>
      <w:r w:rsidR="00C10D69" w:rsidRPr="00335D4E">
        <w:rPr>
          <w:rFonts w:cstheme="minorHAnsi"/>
          <w:vertAlign w:val="superscript"/>
        </w:rPr>
        <w:t>10</w:t>
      </w:r>
      <w:r w:rsidR="00C10D69" w:rsidRPr="00335D4E">
        <w:rPr>
          <w:rFonts w:cstheme="minorHAnsi"/>
        </w:rPr>
        <w:t xml:space="preserve"> cells per well (10-fold the X12 diversity), frozen, and stored at </w:t>
      </w:r>
      <w:proofErr w:type="gramStart"/>
      <w:r w:rsidR="00C10D69" w:rsidRPr="00335D4E">
        <w:rPr>
          <w:rFonts w:cstheme="minorHAnsi"/>
        </w:rPr>
        <w:t>-80</w:t>
      </w:r>
      <w:r w:rsidR="00251C9F" w:rsidRPr="00335D4E">
        <w:rPr>
          <w:rFonts w:cstheme="minorHAnsi"/>
        </w:rPr>
        <w:t xml:space="preserve"> </w:t>
      </w:r>
      <w:r w:rsidR="00C10D69" w:rsidRPr="00335D4E">
        <w:rPr>
          <w:rFonts w:cstheme="minorHAnsi"/>
        </w:rPr>
        <w:t>°C</w:t>
      </w:r>
      <w:proofErr w:type="gramEnd"/>
      <w:r w:rsidR="00C10D69" w:rsidRPr="00335D4E">
        <w:rPr>
          <w:rFonts w:cstheme="minorHAnsi"/>
        </w:rPr>
        <w:t xml:space="preserve"> until use in screening. </w:t>
      </w:r>
    </w:p>
    <w:p w14:paraId="005AA3F0" w14:textId="77777777" w:rsidR="004B7155" w:rsidRPr="00335D4E" w:rsidRDefault="004B7155" w:rsidP="004B7155">
      <w:pPr>
        <w:spacing w:line="480" w:lineRule="auto"/>
        <w:rPr>
          <w:rFonts w:cstheme="minorHAnsi"/>
        </w:rPr>
      </w:pPr>
    </w:p>
    <w:p w14:paraId="5D15C6B3" w14:textId="18654120" w:rsidR="00C10D69" w:rsidRPr="00335D4E" w:rsidRDefault="00C10D69" w:rsidP="004B7155">
      <w:pPr>
        <w:spacing w:line="480" w:lineRule="auto"/>
        <w:rPr>
          <w:rFonts w:cstheme="minorHAnsi"/>
        </w:rPr>
      </w:pPr>
      <w:r w:rsidRPr="00335D4E">
        <w:rPr>
          <w:rFonts w:cstheme="minorHAnsi"/>
          <w:b/>
        </w:rPr>
        <w:t>Library selection</w:t>
      </w:r>
      <w:r w:rsidR="004B7155" w:rsidRPr="00335D4E">
        <w:rPr>
          <w:rFonts w:cstheme="minorHAnsi"/>
          <w:b/>
        </w:rPr>
        <w:t>.</w:t>
      </w:r>
      <w:r w:rsidRPr="00335D4E">
        <w:rPr>
          <w:rFonts w:cstheme="minorHAnsi"/>
        </w:rPr>
        <w:t xml:space="preserve"> The X12 library plate </w:t>
      </w:r>
      <w:proofErr w:type="gramStart"/>
      <w:r w:rsidRPr="00335D4E">
        <w:rPr>
          <w:rFonts w:cstheme="minorHAnsi"/>
        </w:rPr>
        <w:t>was thawed</w:t>
      </w:r>
      <w:proofErr w:type="gramEnd"/>
      <w:r w:rsidRPr="00335D4E">
        <w:rPr>
          <w:rFonts w:cstheme="minorHAnsi"/>
        </w:rPr>
        <w:t xml:space="preserve"> and specimen serum was added to each well achieving a final dilution of 1:25 immediately followed by thorough mixing by pipetting.  Serum antibodies bind to antigen mimic peptides expressed on the surface of the bacteria during a one-hour primary incubation carried out at 4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°C with constant orbital shaking (800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rpm). The cells were then collected by centrifugation (3500</w:t>
      </w:r>
      <w:r w:rsidR="00251C9F"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rcf</w:t>
      </w:r>
      <w:proofErr w:type="spellEnd"/>
      <w:r w:rsidRPr="00335D4E">
        <w:rPr>
          <w:rFonts w:cstheme="minorHAnsi"/>
        </w:rPr>
        <w:t>) for 7 minutes, the supernatant was removed, and the cell pellets were washed by resuspending fully in 750</w:t>
      </w:r>
      <w:r w:rsidR="00251C9F"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uL</w:t>
      </w:r>
      <w:proofErr w:type="spellEnd"/>
      <w:r w:rsidRPr="00335D4E">
        <w:rPr>
          <w:rFonts w:cstheme="minorHAnsi"/>
        </w:rPr>
        <w:t xml:space="preserve"> PBS + 0.0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 xml:space="preserve">5% Tween-20 (PBST). The washed cells </w:t>
      </w:r>
      <w:proofErr w:type="gramStart"/>
      <w:r w:rsidRPr="00335D4E">
        <w:rPr>
          <w:rFonts w:cstheme="minorHAnsi"/>
        </w:rPr>
        <w:t>were again collected</w:t>
      </w:r>
      <w:proofErr w:type="gramEnd"/>
      <w:r w:rsidRPr="00335D4E">
        <w:rPr>
          <w:rFonts w:cstheme="minorHAnsi"/>
        </w:rPr>
        <w:t xml:space="preserve"> by centrifugation (3500</w:t>
      </w:r>
      <w:r w:rsidR="00251C9F"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rcf</w:t>
      </w:r>
      <w:proofErr w:type="spellEnd"/>
      <w:r w:rsidRPr="00335D4E">
        <w:rPr>
          <w:rFonts w:cstheme="minorHAnsi"/>
        </w:rPr>
        <w:t xml:space="preserve">) for 5 minutes and the PBST supernatant was removed.  Cell </w:t>
      </w:r>
      <w:r w:rsidRPr="00335D4E">
        <w:rPr>
          <w:rFonts w:cstheme="minorHAnsi"/>
        </w:rPr>
        <w:lastRenderedPageBreak/>
        <w:t xml:space="preserve">pellets were </w:t>
      </w:r>
      <w:proofErr w:type="spellStart"/>
      <w:r w:rsidRPr="00335D4E">
        <w:rPr>
          <w:rFonts w:cstheme="minorHAnsi"/>
        </w:rPr>
        <w:t>resuspended</w:t>
      </w:r>
      <w:proofErr w:type="spellEnd"/>
      <w:r w:rsidRPr="00335D4E">
        <w:rPr>
          <w:rFonts w:cstheme="minorHAnsi"/>
        </w:rPr>
        <w:t xml:space="preserve"> in 750</w:t>
      </w:r>
      <w:r w:rsidR="00251C9F"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uL</w:t>
      </w:r>
      <w:proofErr w:type="spellEnd"/>
      <w:r w:rsidRPr="00335D4E">
        <w:rPr>
          <w:rFonts w:cstheme="minorHAnsi"/>
        </w:rPr>
        <w:t xml:space="preserve"> PBS and mixed thoroughly with 50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 Protein A/G Sera-Mag </w:t>
      </w:r>
      <w:proofErr w:type="spellStart"/>
      <w:r w:rsidRPr="00335D4E">
        <w:rPr>
          <w:rFonts w:cstheme="minorHAnsi"/>
        </w:rPr>
        <w:t>SpeedBeads</w:t>
      </w:r>
      <w:proofErr w:type="spellEnd"/>
      <w:r w:rsidRPr="00335D4E">
        <w:rPr>
          <w:rFonts w:cstheme="minorHAnsi"/>
        </w:rPr>
        <w:t xml:space="preserve"> (GE Life Sciences, 17152104010350) achieving a final concentration of 6.25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 xml:space="preserve">% the beads’ stock concentration. The plate </w:t>
      </w:r>
      <w:proofErr w:type="gramStart"/>
      <w:r w:rsidRPr="00335D4E">
        <w:rPr>
          <w:rFonts w:cstheme="minorHAnsi"/>
        </w:rPr>
        <w:t>was incubated</w:t>
      </w:r>
      <w:proofErr w:type="gramEnd"/>
      <w:r w:rsidRPr="00335D4E">
        <w:rPr>
          <w:rFonts w:cstheme="minorHAnsi"/>
        </w:rPr>
        <w:t xml:space="preserve"> for one hour at 4°C with orbital shaking (800 rpm). Bead-bound cells </w:t>
      </w:r>
      <w:proofErr w:type="gramStart"/>
      <w:r w:rsidRPr="00335D4E">
        <w:rPr>
          <w:rFonts w:cstheme="minorHAnsi"/>
        </w:rPr>
        <w:t>were captured</w:t>
      </w:r>
      <w:proofErr w:type="gramEnd"/>
      <w:r w:rsidRPr="00335D4E">
        <w:rPr>
          <w:rFonts w:cstheme="minorHAnsi"/>
        </w:rPr>
        <w:t xml:space="preserve"> in the plate using a Magnum FLX 96-ring magnet (</w:t>
      </w:r>
      <w:proofErr w:type="spellStart"/>
      <w:r w:rsidRPr="00335D4E">
        <w:rPr>
          <w:rFonts w:cstheme="minorHAnsi"/>
        </w:rPr>
        <w:t>Alpaqua</w:t>
      </w:r>
      <w:proofErr w:type="spellEnd"/>
      <w:r w:rsidRPr="00335D4E">
        <w:rPr>
          <w:rFonts w:cstheme="minorHAnsi"/>
        </w:rPr>
        <w:t xml:space="preserve">, A000400) for 15 minutes until all beads were separated.  Unbound cells in the supernatant </w:t>
      </w:r>
      <w:proofErr w:type="gramStart"/>
      <w:r w:rsidRPr="00335D4E">
        <w:rPr>
          <w:rFonts w:cstheme="minorHAnsi"/>
        </w:rPr>
        <w:t>were removed</w:t>
      </w:r>
      <w:proofErr w:type="gramEnd"/>
      <w:r w:rsidRPr="00335D4E">
        <w:rPr>
          <w:rFonts w:cstheme="minorHAnsi"/>
        </w:rPr>
        <w:t xml:space="preserve"> by gentle pipetting so as not to disturb the beads, leaving only those cells bound to A/G beads. To exclude residual unbound cells and wash non-antibody interactions of cells to beads, the beads </w:t>
      </w:r>
      <w:proofErr w:type="gramStart"/>
      <w:r w:rsidRPr="00335D4E">
        <w:rPr>
          <w:rFonts w:cstheme="minorHAnsi"/>
        </w:rPr>
        <w:t>were washed</w:t>
      </w:r>
      <w:proofErr w:type="gramEnd"/>
      <w:r w:rsidRPr="00335D4E">
        <w:rPr>
          <w:rFonts w:cstheme="minorHAnsi"/>
        </w:rPr>
        <w:t xml:space="preserve"> by removing from the magnet, </w:t>
      </w:r>
      <w:proofErr w:type="spellStart"/>
      <w:r w:rsidRPr="00335D4E">
        <w:rPr>
          <w:rFonts w:cstheme="minorHAnsi"/>
        </w:rPr>
        <w:t>resuspending</w:t>
      </w:r>
      <w:proofErr w:type="spellEnd"/>
      <w:r w:rsidRPr="00335D4E">
        <w:rPr>
          <w:rFonts w:cstheme="minorHAnsi"/>
        </w:rPr>
        <w:t xml:space="preserve"> in 750</w:t>
      </w:r>
      <w:r w:rsidR="00251C9F"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uL</w:t>
      </w:r>
      <w:proofErr w:type="spellEnd"/>
      <w:r w:rsidRPr="00335D4E">
        <w:rPr>
          <w:rFonts w:cstheme="minorHAnsi"/>
        </w:rPr>
        <w:t xml:space="preserve"> PBST, and then returning to the magnet for 15 minutes. The supernatant </w:t>
      </w:r>
      <w:proofErr w:type="gramStart"/>
      <w:r w:rsidRPr="00335D4E">
        <w:rPr>
          <w:rFonts w:cstheme="minorHAnsi"/>
        </w:rPr>
        <w:t>was removed</w:t>
      </w:r>
      <w:proofErr w:type="gramEnd"/>
      <w:r w:rsidRPr="00335D4E">
        <w:rPr>
          <w:rFonts w:cstheme="minorHAnsi"/>
        </w:rPr>
        <w:t xml:space="preserve"> by gentle pipetting after the beads were securely magnetized.  After repeating this bead washing 5x, and washed beads and cells were resuspended in 750uL LB with 34µg/mL chloramphenicol and 0.2% </w:t>
      </w:r>
      <w:proofErr w:type="spellStart"/>
      <w:r w:rsidRPr="00335D4E">
        <w:rPr>
          <w:rFonts w:cstheme="minorHAnsi"/>
        </w:rPr>
        <w:t>wt</w:t>
      </w:r>
      <w:proofErr w:type="spellEnd"/>
      <w:r w:rsidRPr="00335D4E">
        <w:rPr>
          <w:rFonts w:cstheme="minorHAnsi"/>
        </w:rPr>
        <w:t>/</w:t>
      </w:r>
      <w:proofErr w:type="spellStart"/>
      <w:r w:rsidRPr="00335D4E">
        <w:rPr>
          <w:rFonts w:cstheme="minorHAnsi"/>
        </w:rPr>
        <w:t>vol</w:t>
      </w:r>
      <w:proofErr w:type="spellEnd"/>
      <w:r w:rsidRPr="00335D4E">
        <w:rPr>
          <w:rFonts w:cstheme="minorHAnsi"/>
        </w:rPr>
        <w:t xml:space="preserve"> glucose directly in the 96-deep-well plate and grown overnight with shaking (300 rpm) at 37°C.  </w:t>
      </w:r>
    </w:p>
    <w:p w14:paraId="58BC2DBE" w14:textId="77777777" w:rsidR="004B7155" w:rsidRPr="00335D4E" w:rsidRDefault="004B7155" w:rsidP="004B7155">
      <w:pPr>
        <w:spacing w:line="480" w:lineRule="auto"/>
        <w:rPr>
          <w:rFonts w:cstheme="minorHAnsi"/>
        </w:rPr>
      </w:pPr>
    </w:p>
    <w:p w14:paraId="2774A103" w14:textId="783E1BE8" w:rsidR="00C10D69" w:rsidRPr="00335D4E" w:rsidRDefault="00C10D69" w:rsidP="004B7155">
      <w:pPr>
        <w:spacing w:line="480" w:lineRule="auto"/>
        <w:rPr>
          <w:rFonts w:cstheme="minorHAnsi"/>
        </w:rPr>
      </w:pPr>
      <w:r w:rsidRPr="00335D4E">
        <w:rPr>
          <w:rFonts w:cstheme="minorHAnsi"/>
          <w:b/>
        </w:rPr>
        <w:t>Generation of selected peptide amplicon libraries for each patient</w:t>
      </w:r>
      <w:r w:rsidR="004B7155" w:rsidRPr="00335D4E">
        <w:rPr>
          <w:rFonts w:cstheme="minorHAnsi"/>
          <w:b/>
        </w:rPr>
        <w:t>.</w:t>
      </w:r>
      <w:r w:rsidRPr="00335D4E">
        <w:rPr>
          <w:rFonts w:cstheme="minorHAnsi"/>
          <w:i/>
        </w:rPr>
        <w:t xml:space="preserve"> </w:t>
      </w:r>
      <w:r w:rsidRPr="00335D4E">
        <w:rPr>
          <w:rFonts w:cstheme="minorHAnsi"/>
        </w:rPr>
        <w:t xml:space="preserve">After growth, cells </w:t>
      </w:r>
      <w:proofErr w:type="gramStart"/>
      <w:r w:rsidRPr="00335D4E">
        <w:rPr>
          <w:rFonts w:cstheme="minorHAnsi"/>
        </w:rPr>
        <w:t>were collected</w:t>
      </w:r>
      <w:proofErr w:type="gramEnd"/>
      <w:r w:rsidRPr="00335D4E">
        <w:rPr>
          <w:rFonts w:cstheme="minorHAnsi"/>
        </w:rPr>
        <w:t xml:space="preserve"> by centrifugation (3500rcf for 10 minutes) and the supernatant was discarded. Plasmids were isolated in 96-well format using the Montage Plasmid </w:t>
      </w:r>
      <w:proofErr w:type="spellStart"/>
      <w:r w:rsidRPr="00335D4E">
        <w:rPr>
          <w:rFonts w:cstheme="minorHAnsi"/>
        </w:rPr>
        <w:t>Miniprep</w:t>
      </w:r>
      <w:r w:rsidRPr="00335D4E">
        <w:rPr>
          <w:rFonts w:cstheme="minorHAnsi"/>
          <w:vertAlign w:val="subscript"/>
        </w:rPr>
        <w:t>HTS</w:t>
      </w:r>
      <w:proofErr w:type="spellEnd"/>
      <w:r w:rsidRPr="00335D4E">
        <w:rPr>
          <w:rFonts w:cstheme="minorHAnsi"/>
        </w:rPr>
        <w:t xml:space="preserve"> Kit (</w:t>
      </w:r>
      <w:proofErr w:type="spellStart"/>
      <w:r w:rsidRPr="00335D4E">
        <w:rPr>
          <w:rFonts w:cstheme="minorHAnsi"/>
        </w:rPr>
        <w:t>MilliPore</w:t>
      </w:r>
      <w:proofErr w:type="spellEnd"/>
      <w:r w:rsidRPr="00335D4E">
        <w:rPr>
          <w:rFonts w:cstheme="minorHAnsi"/>
        </w:rPr>
        <w:t xml:space="preserve">, LSKP09604) on a </w:t>
      </w:r>
      <w:proofErr w:type="spellStart"/>
      <w:r w:rsidRPr="00335D4E">
        <w:rPr>
          <w:rFonts w:cstheme="minorHAnsi"/>
        </w:rPr>
        <w:t>Multiscreen</w:t>
      </w:r>
      <w:r w:rsidRPr="00335D4E">
        <w:rPr>
          <w:rFonts w:cstheme="minorHAnsi"/>
          <w:vertAlign w:val="subscript"/>
        </w:rPr>
        <w:t>HTS</w:t>
      </w:r>
      <w:proofErr w:type="spellEnd"/>
      <w:r w:rsidRPr="00335D4E">
        <w:rPr>
          <w:rFonts w:cstheme="minorHAnsi"/>
        </w:rPr>
        <w:t xml:space="preserve"> Vacuum Manifold (</w:t>
      </w:r>
      <w:proofErr w:type="spellStart"/>
      <w:r w:rsidRPr="00335D4E">
        <w:rPr>
          <w:rFonts w:cstheme="minorHAnsi"/>
        </w:rPr>
        <w:t>MilliPore</w:t>
      </w:r>
      <w:proofErr w:type="spellEnd"/>
      <w:r w:rsidRPr="00335D4E">
        <w:rPr>
          <w:rFonts w:cstheme="minorHAnsi"/>
        </w:rPr>
        <w:t xml:space="preserve">, MSVMHTS00) following the “Plasmid DNA—Full Lysate” protocol in the product literature. </w:t>
      </w:r>
      <w:r w:rsidR="004B7155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 xml:space="preserve">NGS ready amplicon preparation </w:t>
      </w:r>
      <w:proofErr w:type="gramStart"/>
      <w:r w:rsidR="004B7155" w:rsidRPr="00335D4E">
        <w:rPr>
          <w:rFonts w:cstheme="minorHAnsi"/>
        </w:rPr>
        <w:t>was</w:t>
      </w:r>
      <w:r w:rsidRPr="00335D4E">
        <w:rPr>
          <w:rFonts w:cstheme="minorHAnsi"/>
        </w:rPr>
        <w:t xml:space="preserve"> achieved</w:t>
      </w:r>
      <w:proofErr w:type="gramEnd"/>
      <w:r w:rsidRPr="00335D4E">
        <w:rPr>
          <w:rFonts w:cstheme="minorHAnsi"/>
        </w:rPr>
        <w:t xml:space="preserve"> through two rounds of PCR.  The first round amplifie</w:t>
      </w:r>
      <w:r w:rsidR="004B7155" w:rsidRPr="00335D4E">
        <w:rPr>
          <w:rFonts w:cstheme="minorHAnsi"/>
        </w:rPr>
        <w:t>d</w:t>
      </w:r>
      <w:r w:rsidRPr="00335D4E">
        <w:rPr>
          <w:rFonts w:cstheme="minorHAnsi"/>
        </w:rPr>
        <w:t xml:space="preserve"> the variable “X12” peptide region of the plasmid DNA. The second round of PCR barcodes each patient amplicon library with sample-specific indexing primers for data demultiplexing after sequencing. KAPA </w:t>
      </w:r>
      <w:proofErr w:type="spellStart"/>
      <w:r w:rsidRPr="00335D4E">
        <w:rPr>
          <w:rFonts w:cstheme="minorHAnsi"/>
        </w:rPr>
        <w:t>HiFi</w:t>
      </w:r>
      <w:proofErr w:type="spellEnd"/>
      <w:r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HotStart</w:t>
      </w:r>
      <w:proofErr w:type="spellEnd"/>
      <w:r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ReadyMix</w:t>
      </w:r>
      <w:proofErr w:type="spellEnd"/>
      <w:r w:rsidRPr="00335D4E">
        <w:rPr>
          <w:rFonts w:cstheme="minorHAnsi"/>
        </w:rPr>
        <w:t xml:space="preserve"> (KAPA </w:t>
      </w:r>
      <w:proofErr w:type="spellStart"/>
      <w:r w:rsidRPr="00335D4E">
        <w:rPr>
          <w:rFonts w:cstheme="minorHAnsi"/>
        </w:rPr>
        <w:t>Biosystems</w:t>
      </w:r>
      <w:proofErr w:type="spellEnd"/>
      <w:r w:rsidRPr="00335D4E">
        <w:rPr>
          <w:rFonts w:cstheme="minorHAnsi"/>
        </w:rPr>
        <w:t xml:space="preserve">, KK2612) </w:t>
      </w:r>
      <w:proofErr w:type="gramStart"/>
      <w:r w:rsidRPr="00335D4E">
        <w:rPr>
          <w:rFonts w:cstheme="minorHAnsi"/>
        </w:rPr>
        <w:t>was used</w:t>
      </w:r>
      <w:proofErr w:type="gramEnd"/>
      <w:r w:rsidRPr="00335D4E">
        <w:rPr>
          <w:rFonts w:cstheme="minorHAnsi"/>
        </w:rPr>
        <w:t xml:space="preserve"> as the polymerase master mix for both PCR steps.  Plasmids (2.5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L/well) </w:t>
      </w:r>
      <w:proofErr w:type="gramStart"/>
      <w:r w:rsidRPr="00335D4E">
        <w:rPr>
          <w:rFonts w:cstheme="minorHAnsi"/>
        </w:rPr>
        <w:t>were used</w:t>
      </w:r>
      <w:proofErr w:type="gramEnd"/>
      <w:r w:rsidRPr="00335D4E">
        <w:rPr>
          <w:rFonts w:cstheme="minorHAnsi"/>
        </w:rPr>
        <w:t xml:space="preserve"> as template for a first round PCR with 12.5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 of KAPA </w:t>
      </w:r>
      <w:proofErr w:type="spellStart"/>
      <w:r w:rsidRPr="00335D4E">
        <w:rPr>
          <w:rFonts w:cstheme="minorHAnsi"/>
        </w:rPr>
        <w:t>ReadyMix</w:t>
      </w:r>
      <w:proofErr w:type="spellEnd"/>
      <w:r w:rsidRPr="00335D4E">
        <w:rPr>
          <w:rFonts w:cstheme="minorHAnsi"/>
        </w:rPr>
        <w:t xml:space="preserve"> and 5uL each of 1uM forward and reverse primers.  The primers (Integrated </w:t>
      </w:r>
      <w:r w:rsidRPr="00335D4E">
        <w:rPr>
          <w:rFonts w:cstheme="minorHAnsi"/>
        </w:rPr>
        <w:lastRenderedPageBreak/>
        <w:t>DNA Technologies) contain annealing regions that flank the X12 sequence (indicated in bold) and adapter regions specific to the Illumina index primers used in the second round PCR.</w:t>
      </w:r>
    </w:p>
    <w:p w14:paraId="4051BDB7" w14:textId="77777777" w:rsidR="00C10D69" w:rsidRPr="00335D4E" w:rsidRDefault="00C10D69" w:rsidP="004B7155">
      <w:pPr>
        <w:spacing w:line="480" w:lineRule="auto"/>
        <w:ind w:left="360" w:hanging="360"/>
        <w:rPr>
          <w:rFonts w:cstheme="minorHAnsi"/>
        </w:rPr>
      </w:pPr>
      <w:r w:rsidRPr="00335D4E">
        <w:rPr>
          <w:rFonts w:cstheme="minorHAnsi"/>
        </w:rPr>
        <w:t>Forward primer: TCGTCGGCAGCGTCAGATGTGTATAAGAGACAGVBHDV</w:t>
      </w:r>
      <w:r w:rsidRPr="00335D4E">
        <w:rPr>
          <w:rFonts w:cstheme="minorHAnsi"/>
          <w:b/>
          <w:bCs/>
        </w:rPr>
        <w:t>CCAGTCTGGCCAGGG</w:t>
      </w:r>
    </w:p>
    <w:p w14:paraId="1AE7F637" w14:textId="77777777" w:rsidR="00C10D69" w:rsidRPr="00335D4E" w:rsidRDefault="00C10D69" w:rsidP="004B7155">
      <w:pPr>
        <w:spacing w:line="480" w:lineRule="auto"/>
        <w:rPr>
          <w:rFonts w:cstheme="minorHAnsi"/>
        </w:rPr>
      </w:pPr>
      <w:r w:rsidRPr="00335D4E">
        <w:rPr>
          <w:rFonts w:cstheme="minorHAnsi"/>
        </w:rPr>
        <w:t>Reverse primer: GTCTCGTGGGCTCGGAGATGTGTATAAGAGACAG</w:t>
      </w:r>
      <w:r w:rsidRPr="00335D4E">
        <w:rPr>
          <w:rFonts w:cstheme="minorHAnsi"/>
          <w:b/>
        </w:rPr>
        <w:t>GTGATGCCGTAGTACTGG</w:t>
      </w:r>
    </w:p>
    <w:p w14:paraId="4FDD6290" w14:textId="1099015F" w:rsidR="00C10D69" w:rsidRPr="00335D4E" w:rsidRDefault="00C10D69" w:rsidP="004B7155">
      <w:pPr>
        <w:spacing w:line="480" w:lineRule="auto"/>
        <w:rPr>
          <w:rFonts w:cstheme="minorHAnsi"/>
        </w:rPr>
      </w:pPr>
      <w:r w:rsidRPr="00335D4E">
        <w:rPr>
          <w:rFonts w:cstheme="minorHAnsi"/>
        </w:rPr>
        <w:t>A series of five degenerate bases in the forward primer, VBHDV (following IUPAC codes)</w:t>
      </w:r>
      <w:proofErr w:type="gramStart"/>
      <w:r w:rsidRPr="00335D4E">
        <w:rPr>
          <w:rFonts w:cstheme="minorHAnsi"/>
        </w:rPr>
        <w:t>,</w:t>
      </w:r>
      <w:proofErr w:type="gramEnd"/>
      <w:r w:rsidRPr="00335D4E">
        <w:rPr>
          <w:rFonts w:cstheme="minorHAnsi"/>
        </w:rPr>
        <w:t xml:space="preserve"> provide base diversity for the first five reads of the sequencing on the </w:t>
      </w:r>
      <w:proofErr w:type="spellStart"/>
      <w:r w:rsidRPr="00335D4E">
        <w:rPr>
          <w:rFonts w:cstheme="minorHAnsi"/>
        </w:rPr>
        <w:t>NextSeq</w:t>
      </w:r>
      <w:proofErr w:type="spellEnd"/>
      <w:r w:rsidRPr="00335D4E">
        <w:rPr>
          <w:rFonts w:cstheme="minorHAnsi"/>
        </w:rPr>
        <w:t xml:space="preserve"> platform. These five base pairs </w:t>
      </w:r>
      <w:proofErr w:type="gramStart"/>
      <w:r w:rsidRPr="00335D4E">
        <w:rPr>
          <w:rFonts w:cstheme="minorHAnsi"/>
        </w:rPr>
        <w:t>were designed</w:t>
      </w:r>
      <w:proofErr w:type="gramEnd"/>
      <w:r w:rsidRPr="00335D4E">
        <w:rPr>
          <w:rFonts w:cstheme="minorHAnsi"/>
        </w:rPr>
        <w:t xml:space="preserve"> to be non-complementary to the template to avoid bias during primer annealing.  To reduce non-specific products, a touchdown PCR protocol was used with an initial annealing temperature of 72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°C with a decrease of 0.5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°C per cycle for 14 cycles, followed by 10 cycles with annealing at 6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 xml:space="preserve">5°C. The </w:t>
      </w:r>
      <w:proofErr w:type="gramStart"/>
      <w:r w:rsidRPr="00335D4E">
        <w:rPr>
          <w:rFonts w:cstheme="minorHAnsi"/>
        </w:rPr>
        <w:t>25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>L</w:t>
      </w:r>
      <w:proofErr w:type="gramEnd"/>
      <w:r w:rsidRPr="00335D4E">
        <w:rPr>
          <w:rFonts w:cstheme="minorHAnsi"/>
        </w:rPr>
        <w:t xml:space="preserve"> primary PCR product was purified using 30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 Mag-Bind </w:t>
      </w:r>
      <w:proofErr w:type="spellStart"/>
      <w:r w:rsidRPr="00335D4E">
        <w:rPr>
          <w:rFonts w:cstheme="minorHAnsi"/>
        </w:rPr>
        <w:t>TotalPure</w:t>
      </w:r>
      <w:proofErr w:type="spellEnd"/>
      <w:r w:rsidRPr="00335D4E">
        <w:rPr>
          <w:rFonts w:cstheme="minorHAnsi"/>
        </w:rPr>
        <w:t xml:space="preserve"> NGS Beads (Omega Bio-</w:t>
      </w:r>
      <w:proofErr w:type="spellStart"/>
      <w:r w:rsidRPr="00335D4E">
        <w:rPr>
          <w:rFonts w:cstheme="minorHAnsi"/>
        </w:rPr>
        <w:t>Tek</w:t>
      </w:r>
      <w:proofErr w:type="spellEnd"/>
      <w:r w:rsidRPr="00335D4E">
        <w:rPr>
          <w:rFonts w:cstheme="minorHAnsi"/>
        </w:rPr>
        <w:t>, M1378-02) according to the manufacturer’s protocol.  The second round PCR (8 cycles, 70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 xml:space="preserve">°C annealing temperature) was performed using </w:t>
      </w:r>
      <w:proofErr w:type="spellStart"/>
      <w:r w:rsidRPr="00335D4E">
        <w:rPr>
          <w:rFonts w:cstheme="minorHAnsi"/>
        </w:rPr>
        <w:t>Nextera</w:t>
      </w:r>
      <w:proofErr w:type="spellEnd"/>
      <w:r w:rsidRPr="00335D4E">
        <w:rPr>
          <w:rFonts w:cstheme="minorHAnsi"/>
        </w:rPr>
        <w:t xml:space="preserve"> XT index primers (Illumina, FC-131-2001) which introduce sample specific 8 base pair indices on the 5’ and 3’ termini of the amplicon for sample demultiplexing.  PCR 1 product (5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L) </w:t>
      </w:r>
      <w:proofErr w:type="gramStart"/>
      <w:r w:rsidRPr="00335D4E">
        <w:rPr>
          <w:rFonts w:cstheme="minorHAnsi"/>
        </w:rPr>
        <w:t>was used</w:t>
      </w:r>
      <w:proofErr w:type="gramEnd"/>
      <w:r w:rsidRPr="00335D4E">
        <w:rPr>
          <w:rFonts w:cstheme="minorHAnsi"/>
        </w:rPr>
        <w:t xml:space="preserve"> as a template for the second PCR with 5uL each of forward and reverse indexing primers, 10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 </w:t>
      </w:r>
      <w:proofErr w:type="spellStart"/>
      <w:r w:rsidRPr="00335D4E">
        <w:rPr>
          <w:rFonts w:cstheme="minorHAnsi"/>
        </w:rPr>
        <w:t>Tris-HCl</w:t>
      </w:r>
      <w:proofErr w:type="spellEnd"/>
      <w:r w:rsidRPr="00335D4E">
        <w:rPr>
          <w:rFonts w:cstheme="minorHAnsi"/>
        </w:rPr>
        <w:t xml:space="preserve"> and 25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 of KAPA </w:t>
      </w:r>
      <w:proofErr w:type="spellStart"/>
      <w:r w:rsidRPr="00335D4E">
        <w:rPr>
          <w:rFonts w:cstheme="minorHAnsi"/>
        </w:rPr>
        <w:t>ReadyMix</w:t>
      </w:r>
      <w:proofErr w:type="spellEnd"/>
      <w:r w:rsidRPr="00335D4E">
        <w:rPr>
          <w:rFonts w:cstheme="minorHAnsi"/>
        </w:rPr>
        <w:t>.  The PCR product (50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L) </w:t>
      </w:r>
      <w:proofErr w:type="gramStart"/>
      <w:r w:rsidRPr="00335D4E">
        <w:rPr>
          <w:rFonts w:cstheme="minorHAnsi"/>
        </w:rPr>
        <w:t>was cleaned up</w:t>
      </w:r>
      <w:proofErr w:type="gramEnd"/>
      <w:r w:rsidRPr="00335D4E">
        <w:rPr>
          <w:rFonts w:cstheme="minorHAnsi"/>
        </w:rPr>
        <w:t xml:space="preserve"> with 56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 Omega Mag-Bind </w:t>
      </w:r>
      <w:proofErr w:type="spellStart"/>
      <w:r w:rsidRPr="00335D4E">
        <w:rPr>
          <w:rFonts w:cstheme="minorHAnsi"/>
        </w:rPr>
        <w:t>TotalPure</w:t>
      </w:r>
      <w:proofErr w:type="spellEnd"/>
      <w:r w:rsidRPr="00335D4E">
        <w:rPr>
          <w:rFonts w:cstheme="minorHAnsi"/>
        </w:rPr>
        <w:t xml:space="preserve"> NGS Beads per reaction.  </w:t>
      </w:r>
    </w:p>
    <w:p w14:paraId="4C757950" w14:textId="77777777" w:rsidR="004B7155" w:rsidRPr="00335D4E" w:rsidRDefault="004B7155" w:rsidP="004B7155">
      <w:pPr>
        <w:spacing w:line="480" w:lineRule="auto"/>
        <w:rPr>
          <w:rFonts w:cstheme="minorHAnsi"/>
        </w:rPr>
      </w:pPr>
    </w:p>
    <w:p w14:paraId="7B1B0C32" w14:textId="0C0B6238" w:rsidR="00C10D69" w:rsidRPr="00335D4E" w:rsidRDefault="00C10D69" w:rsidP="004B7155">
      <w:pPr>
        <w:spacing w:line="480" w:lineRule="auto"/>
        <w:rPr>
          <w:rFonts w:cstheme="minorHAnsi"/>
        </w:rPr>
      </w:pPr>
      <w:r w:rsidRPr="00335D4E">
        <w:rPr>
          <w:rFonts w:cstheme="minorHAnsi"/>
          <w:b/>
        </w:rPr>
        <w:t>DNA quantitation, normalization, and pooling</w:t>
      </w:r>
      <w:r w:rsidR="004B7155" w:rsidRPr="00335D4E">
        <w:rPr>
          <w:rFonts w:cstheme="minorHAnsi"/>
          <w:b/>
        </w:rPr>
        <w:t xml:space="preserve">. </w:t>
      </w:r>
      <w:r w:rsidRPr="00335D4E">
        <w:rPr>
          <w:rFonts w:cstheme="minorHAnsi"/>
        </w:rPr>
        <w:t xml:space="preserve">A 96-well quantitation </w:t>
      </w:r>
      <w:proofErr w:type="gramStart"/>
      <w:r w:rsidRPr="00335D4E">
        <w:rPr>
          <w:rFonts w:cstheme="minorHAnsi"/>
        </w:rPr>
        <w:t>was performed</w:t>
      </w:r>
      <w:proofErr w:type="gramEnd"/>
      <w:r w:rsidRPr="00335D4E">
        <w:rPr>
          <w:rFonts w:cstheme="minorHAnsi"/>
        </w:rPr>
        <w:t xml:space="preserve"> using the Qubit dsDNA High Sensitivity assay (Invitrogen, Q32851) adapted for a microplate fluorimeter (</w:t>
      </w:r>
      <w:proofErr w:type="spellStart"/>
      <w:r w:rsidRPr="00335D4E">
        <w:rPr>
          <w:rFonts w:cstheme="minorHAnsi"/>
        </w:rPr>
        <w:t>Tecan</w:t>
      </w:r>
      <w:proofErr w:type="spellEnd"/>
      <w:r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SPECTRAFlour</w:t>
      </w:r>
      <w:proofErr w:type="spellEnd"/>
      <w:r w:rsidRPr="00335D4E">
        <w:rPr>
          <w:rFonts w:cstheme="minorHAnsi"/>
        </w:rPr>
        <w:t xml:space="preserve"> Plus) measuring fluorescence excitation at 485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nm and emission at 535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nm.  Positive (100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ng) and negative (0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>ng) controls, included with the Qubit kit, were added to the plate as standards along with 2</w:t>
      </w:r>
      <w:r w:rsidR="00251C9F" w:rsidRPr="00335D4E">
        <w:rPr>
          <w:rFonts w:cstheme="minorHAnsi"/>
        </w:rPr>
        <w:t xml:space="preserve"> µ</w:t>
      </w:r>
      <w:r w:rsidRPr="00335D4E">
        <w:rPr>
          <w:rFonts w:cstheme="minorHAnsi"/>
        </w:rPr>
        <w:t xml:space="preserve">L of each PCR product diluted 1:100 in Qbit reagent for quantitation. The fluorescence data </w:t>
      </w:r>
      <w:proofErr w:type="gramStart"/>
      <w:r w:rsidRPr="00335D4E">
        <w:rPr>
          <w:rFonts w:cstheme="minorHAnsi"/>
        </w:rPr>
        <w:t>were used</w:t>
      </w:r>
      <w:proofErr w:type="gramEnd"/>
      <w:r w:rsidRPr="00335D4E">
        <w:rPr>
          <w:rFonts w:cstheme="minorHAnsi"/>
        </w:rPr>
        <w:t xml:space="preserve"> to calculate DNA concentration in each well based on the kit standards.  To normalize the </w:t>
      </w:r>
      <w:r w:rsidRPr="00335D4E">
        <w:rPr>
          <w:rFonts w:cstheme="minorHAnsi"/>
        </w:rPr>
        <w:lastRenderedPageBreak/>
        <w:t xml:space="preserve">DNA and achieve equal loading of each patient sample on NGS, the DNA in each well was diluted with </w:t>
      </w:r>
      <w:proofErr w:type="spellStart"/>
      <w:r w:rsidRPr="00335D4E">
        <w:rPr>
          <w:rFonts w:cstheme="minorHAnsi"/>
        </w:rPr>
        <w:t>Tris</w:t>
      </w:r>
      <w:proofErr w:type="spellEnd"/>
      <w:r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HCl</w:t>
      </w:r>
      <w:proofErr w:type="spellEnd"/>
      <w:r w:rsidRPr="00335D4E">
        <w:rPr>
          <w:rFonts w:cstheme="minorHAnsi"/>
        </w:rPr>
        <w:t xml:space="preserve"> (pH 8.5, 10</w:t>
      </w:r>
      <w:r w:rsidR="00251C9F"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mM</w:t>
      </w:r>
      <w:proofErr w:type="spellEnd"/>
      <w:r w:rsidRPr="00335D4E">
        <w:rPr>
          <w:rFonts w:cstheme="minorHAnsi"/>
        </w:rPr>
        <w:t xml:space="preserve">) to </w:t>
      </w:r>
      <w:proofErr w:type="gramStart"/>
      <w:r w:rsidRPr="00335D4E">
        <w:rPr>
          <w:rFonts w:cstheme="minorHAnsi"/>
        </w:rPr>
        <w:t>4</w:t>
      </w:r>
      <w:proofErr w:type="gramEnd"/>
      <w:r w:rsidR="00251C9F" w:rsidRPr="00335D4E">
        <w:rPr>
          <w:rFonts w:cstheme="minorHAnsi"/>
        </w:rPr>
        <w:t xml:space="preserve"> </w:t>
      </w:r>
      <w:proofErr w:type="spellStart"/>
      <w:r w:rsidRPr="00335D4E">
        <w:rPr>
          <w:rFonts w:cstheme="minorHAnsi"/>
        </w:rPr>
        <w:t>nM</w:t>
      </w:r>
      <w:proofErr w:type="spellEnd"/>
      <w:r w:rsidRPr="00335D4E">
        <w:rPr>
          <w:rFonts w:cstheme="minorHAnsi"/>
        </w:rPr>
        <w:t xml:space="preserve"> and an equal volume from each well was pooled in a Lo-Bind DNA tube for sequencing.</w:t>
      </w:r>
    </w:p>
    <w:p w14:paraId="2DA9A1A9" w14:textId="77777777" w:rsidR="004B7155" w:rsidRPr="00335D4E" w:rsidRDefault="004B7155" w:rsidP="004B7155">
      <w:pPr>
        <w:spacing w:line="480" w:lineRule="auto"/>
        <w:rPr>
          <w:rFonts w:cstheme="minorHAnsi"/>
        </w:rPr>
      </w:pPr>
    </w:p>
    <w:p w14:paraId="57AFCADB" w14:textId="2BC3B3B2" w:rsidR="00C10D69" w:rsidRPr="00335D4E" w:rsidRDefault="00C10D69" w:rsidP="004B7155">
      <w:pPr>
        <w:spacing w:line="480" w:lineRule="auto"/>
        <w:rPr>
          <w:rFonts w:cstheme="minorHAnsi"/>
        </w:rPr>
      </w:pPr>
      <w:r w:rsidRPr="00335D4E">
        <w:rPr>
          <w:rFonts w:cstheme="minorHAnsi"/>
          <w:b/>
          <w:bCs/>
        </w:rPr>
        <w:t>NGS of amplicon pool</w:t>
      </w:r>
      <w:r w:rsidR="004B7155" w:rsidRPr="00335D4E">
        <w:rPr>
          <w:rFonts w:cstheme="minorHAnsi"/>
          <w:b/>
          <w:bCs/>
        </w:rPr>
        <w:t>.</w:t>
      </w:r>
      <w:r w:rsidRPr="00335D4E">
        <w:rPr>
          <w:rFonts w:cstheme="minorHAnsi"/>
          <w:bCs/>
        </w:rPr>
        <w:t xml:space="preserve"> </w:t>
      </w:r>
      <w:r w:rsidRPr="00335D4E">
        <w:rPr>
          <w:rFonts w:cstheme="minorHAnsi"/>
        </w:rPr>
        <w:t xml:space="preserve">The sample pool was prepared for sequencing according to specifications of the Illumina </w:t>
      </w:r>
      <w:proofErr w:type="spellStart"/>
      <w:r w:rsidRPr="00335D4E">
        <w:rPr>
          <w:rFonts w:cstheme="minorHAnsi"/>
        </w:rPr>
        <w:t>NextSeq</w:t>
      </w:r>
      <w:proofErr w:type="spellEnd"/>
      <w:r w:rsidRPr="00335D4E">
        <w:rPr>
          <w:rFonts w:cstheme="minorHAnsi"/>
        </w:rPr>
        <w:t xml:space="preserve"> 500.  Due to the low diversity in the adapter regions of the amplicon after the first five bases, </w:t>
      </w:r>
      <w:proofErr w:type="spellStart"/>
      <w:r w:rsidRPr="00335D4E">
        <w:rPr>
          <w:rFonts w:cstheme="minorHAnsi"/>
        </w:rPr>
        <w:t>PhiX</w:t>
      </w:r>
      <w:proofErr w:type="spellEnd"/>
      <w:r w:rsidRPr="00335D4E">
        <w:rPr>
          <w:rFonts w:cstheme="minorHAnsi"/>
        </w:rPr>
        <w:t xml:space="preserve"> Run Control (Illumina, FC-110-3001) was included at 40</w:t>
      </w:r>
      <w:r w:rsidR="00251C9F" w:rsidRPr="00335D4E">
        <w:rPr>
          <w:rFonts w:cstheme="minorHAnsi"/>
        </w:rPr>
        <w:t xml:space="preserve"> </w:t>
      </w:r>
      <w:r w:rsidRPr="00335D4E">
        <w:rPr>
          <w:rFonts w:cstheme="minorHAnsi"/>
        </w:rPr>
        <w:t xml:space="preserve">% of the final DNA pool.  The pool was sequenced using a High Output v2, </w:t>
      </w:r>
      <w:proofErr w:type="gramStart"/>
      <w:r w:rsidRPr="00335D4E">
        <w:rPr>
          <w:rFonts w:cstheme="minorHAnsi"/>
        </w:rPr>
        <w:t>75 cycle</w:t>
      </w:r>
      <w:proofErr w:type="gramEnd"/>
      <w:r w:rsidRPr="00335D4E">
        <w:rPr>
          <w:rFonts w:cstheme="minorHAnsi"/>
        </w:rPr>
        <w:t xml:space="preserve"> kit (Illumina, FC-404-2005). </w:t>
      </w:r>
    </w:p>
    <w:p w14:paraId="554AC003" w14:textId="07BACF32" w:rsidR="00E60DD2" w:rsidRPr="00335D4E" w:rsidRDefault="00E60DD2" w:rsidP="004B7155">
      <w:pPr>
        <w:spacing w:line="480" w:lineRule="auto"/>
        <w:rPr>
          <w:rFonts w:cstheme="minorHAnsi"/>
        </w:rPr>
      </w:pPr>
    </w:p>
    <w:sectPr w:rsidR="00E60DD2" w:rsidRPr="0033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9F1"/>
    <w:multiLevelType w:val="hybridMultilevel"/>
    <w:tmpl w:val="415CEFE6"/>
    <w:lvl w:ilvl="0" w:tplc="D0AE502C">
      <w:start w:val="1"/>
      <w:numFmt w:val="decimal"/>
      <w:lvlText w:val="%1)"/>
      <w:lvlJc w:val="left"/>
      <w:pPr>
        <w:ind w:left="39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DF909D4"/>
    <w:multiLevelType w:val="hybridMultilevel"/>
    <w:tmpl w:val="99EA1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D1EB6"/>
    <w:multiLevelType w:val="hybridMultilevel"/>
    <w:tmpl w:val="93B4D8BC"/>
    <w:lvl w:ilvl="0" w:tplc="330836BE">
      <w:start w:val="1"/>
      <w:numFmt w:val="decimal"/>
      <w:lvlText w:val="%1)"/>
      <w:lvlJc w:val="left"/>
      <w:pPr>
        <w:ind w:left="43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7A6C63F4"/>
    <w:multiLevelType w:val="hybridMultilevel"/>
    <w:tmpl w:val="0426976A"/>
    <w:lvl w:ilvl="0" w:tplc="F51E42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AE"/>
    <w:rsid w:val="00001C88"/>
    <w:rsid w:val="000A6AE9"/>
    <w:rsid w:val="000B5D10"/>
    <w:rsid w:val="00147681"/>
    <w:rsid w:val="001C6D35"/>
    <w:rsid w:val="001D3D44"/>
    <w:rsid w:val="001D7B9B"/>
    <w:rsid w:val="001F1BFC"/>
    <w:rsid w:val="00251C9F"/>
    <w:rsid w:val="002639E4"/>
    <w:rsid w:val="002959AE"/>
    <w:rsid w:val="003063FD"/>
    <w:rsid w:val="00313E28"/>
    <w:rsid w:val="00335D4E"/>
    <w:rsid w:val="003739E2"/>
    <w:rsid w:val="003E399E"/>
    <w:rsid w:val="00411C1E"/>
    <w:rsid w:val="004B7155"/>
    <w:rsid w:val="004D5BA5"/>
    <w:rsid w:val="00513E5C"/>
    <w:rsid w:val="005208ED"/>
    <w:rsid w:val="0054304C"/>
    <w:rsid w:val="00577284"/>
    <w:rsid w:val="005A4551"/>
    <w:rsid w:val="005F1547"/>
    <w:rsid w:val="00637913"/>
    <w:rsid w:val="006A658D"/>
    <w:rsid w:val="006E5761"/>
    <w:rsid w:val="00735461"/>
    <w:rsid w:val="007547DA"/>
    <w:rsid w:val="00755534"/>
    <w:rsid w:val="007616CC"/>
    <w:rsid w:val="00813F70"/>
    <w:rsid w:val="008522AB"/>
    <w:rsid w:val="008522B1"/>
    <w:rsid w:val="0085583D"/>
    <w:rsid w:val="008970EE"/>
    <w:rsid w:val="008A3D42"/>
    <w:rsid w:val="008E352E"/>
    <w:rsid w:val="008E7AA1"/>
    <w:rsid w:val="008F534E"/>
    <w:rsid w:val="009A7A3C"/>
    <w:rsid w:val="00A718A1"/>
    <w:rsid w:val="00AB6F82"/>
    <w:rsid w:val="00AD6595"/>
    <w:rsid w:val="00C10D69"/>
    <w:rsid w:val="00C20FAA"/>
    <w:rsid w:val="00C45969"/>
    <w:rsid w:val="00CC7D7A"/>
    <w:rsid w:val="00CF7287"/>
    <w:rsid w:val="00D43B01"/>
    <w:rsid w:val="00D71FAB"/>
    <w:rsid w:val="00D74585"/>
    <w:rsid w:val="00DC765E"/>
    <w:rsid w:val="00DE4338"/>
    <w:rsid w:val="00E02566"/>
    <w:rsid w:val="00E60DD2"/>
    <w:rsid w:val="00E76B3E"/>
    <w:rsid w:val="00ED1284"/>
    <w:rsid w:val="00ED79B6"/>
    <w:rsid w:val="00EF2190"/>
    <w:rsid w:val="00F23E92"/>
    <w:rsid w:val="00F356C9"/>
    <w:rsid w:val="00F65466"/>
    <w:rsid w:val="00F749FE"/>
    <w:rsid w:val="00F86A35"/>
    <w:rsid w:val="00FA7677"/>
    <w:rsid w:val="00FB116C"/>
    <w:rsid w:val="00F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8D1F"/>
  <w15:chartTrackingRefBased/>
  <w15:docId w15:val="{04581ED3-CF38-4610-A93E-FE92E653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73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59AE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9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3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9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1284"/>
    <w:rPr>
      <w:color w:val="808080"/>
    </w:rPr>
  </w:style>
  <w:style w:type="paragraph" w:styleId="ListParagraph">
    <w:name w:val="List Paragraph"/>
    <w:basedOn w:val="Normal"/>
    <w:uiPriority w:val="34"/>
    <w:qFormat/>
    <w:rsid w:val="00FB11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5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D765-DE27-4F06-A7B0-437D38D4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Reifert</dc:creator>
  <cp:keywords/>
  <dc:description/>
  <cp:lastModifiedBy>Kathy Kamath</cp:lastModifiedBy>
  <cp:revision>2</cp:revision>
  <dcterms:created xsi:type="dcterms:W3CDTF">2020-02-20T19:25:00Z</dcterms:created>
  <dcterms:modified xsi:type="dcterms:W3CDTF">2020-02-20T19:25:00Z</dcterms:modified>
</cp:coreProperties>
</file>