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3ECF5" w14:textId="02D06FD1" w:rsidR="008F10AE" w:rsidRDefault="00292412" w:rsidP="008F10AE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Supplemental T</w:t>
      </w:r>
      <w:bookmarkStart w:id="0" w:name="_GoBack"/>
      <w:bookmarkEnd w:id="0"/>
      <w:r w:rsidR="00482E78">
        <w:rPr>
          <w:rFonts w:ascii="Arial" w:eastAsia="Times New Roman" w:hAnsi="Arial" w:cs="Arial"/>
          <w:b/>
          <w:bCs/>
          <w:color w:val="000000"/>
          <w:sz w:val="16"/>
          <w:szCs w:val="16"/>
        </w:rPr>
        <w:t>able 1</w:t>
      </w:r>
      <w:r w:rsidR="008F10AE" w:rsidRPr="00E904A6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. </w:t>
      </w:r>
      <w:r w:rsidR="008F10AE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Demographic characteristics by insurance status </w:t>
      </w:r>
      <w:r w:rsidR="008F10AE" w:rsidRPr="00E904A6">
        <w:rPr>
          <w:rFonts w:ascii="Arial" w:eastAsia="Times New Roman" w:hAnsi="Arial" w:cs="Arial"/>
          <w:b/>
          <w:bCs/>
          <w:color w:val="000000"/>
          <w:sz w:val="16"/>
          <w:szCs w:val="16"/>
        </w:rPr>
        <w:t>of patients diagnosed with invasive colorectal cancer, by period of diagnosis in California, 1997-2014</w:t>
      </w:r>
    </w:p>
    <w:tbl>
      <w:tblPr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483"/>
        <w:gridCol w:w="670"/>
        <w:gridCol w:w="661"/>
        <w:gridCol w:w="670"/>
        <w:gridCol w:w="572"/>
        <w:gridCol w:w="670"/>
        <w:gridCol w:w="661"/>
        <w:gridCol w:w="670"/>
        <w:gridCol w:w="572"/>
        <w:gridCol w:w="670"/>
        <w:gridCol w:w="572"/>
        <w:gridCol w:w="670"/>
      </w:tblGrid>
      <w:tr w:rsidR="008F10AE" w:rsidRPr="00FF27DD" w14:paraId="592FD003" w14:textId="77777777" w:rsidTr="008D4C8C">
        <w:trPr>
          <w:trHeight w:val="22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47AD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2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51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Period of diagnosis 1997-2002</w:t>
            </w:r>
          </w:p>
        </w:tc>
      </w:tr>
      <w:tr w:rsidR="008F10AE" w:rsidRPr="00FF27DD" w14:paraId="0BB3B161" w14:textId="77777777" w:rsidTr="008D4C8C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DDD5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B89E69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 insurance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5FB06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Private only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6003EC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Medicare only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274674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Medicare+ Private only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ABD21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Any Public/ Medicaid/ Military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8A84D8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Unk</w:t>
            </w:r>
            <w:proofErr w:type="spellEnd"/>
          </w:p>
        </w:tc>
      </w:tr>
      <w:tr w:rsidR="008D4C8C" w:rsidRPr="00FF27DD" w14:paraId="6AE3F755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E97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2DAB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AB7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4415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0D1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D45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52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DDA6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217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D05C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7F2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015A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762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8D4C8C" w:rsidRPr="00FF27DD" w14:paraId="78BCCC51" w14:textId="77777777" w:rsidTr="008D4C8C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5C0F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Age at diagnosis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7FB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832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3A1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770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A4C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5B7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A10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F62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9AE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3EA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79B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F3A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D4C8C" w:rsidRPr="00FF27DD" w14:paraId="14C13C10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3549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&lt;50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271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A5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28.8%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4F8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4772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95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2F8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3E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04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2DA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576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EE4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B85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EC0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15.5%</w:t>
            </w:r>
          </w:p>
        </w:tc>
      </w:tr>
      <w:tr w:rsidR="008D4C8C" w:rsidRPr="00FF27DD" w14:paraId="22C4FB33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207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50-75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D1E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B69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65.3%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10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18451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F83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65D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B99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41.9%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F98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81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9C3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408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58.3%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038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A67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57.5%</w:t>
            </w:r>
          </w:p>
        </w:tc>
      </w:tr>
      <w:tr w:rsidR="008D4C8C" w:rsidRPr="00FF27DD" w14:paraId="53378D72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9097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76+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F27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BD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806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506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2B4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5576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258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56.9%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9F0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B8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57.9%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7B3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18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DE7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8A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27.0%</w:t>
            </w:r>
          </w:p>
        </w:tc>
      </w:tr>
      <w:tr w:rsidR="008D4C8C" w:rsidRPr="00FF27DD" w14:paraId="180FF608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3E23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Sex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718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CF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482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DA6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AFC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3E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9EA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D2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8F6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B33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E3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0CA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D4C8C" w:rsidRPr="00FF27DD" w14:paraId="7D67506E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8B0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323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03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57.9%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87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16441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8DB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0F6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D6A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46.9%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8DE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B5B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B9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DBF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55.3%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ECC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16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50.8%</w:t>
            </w:r>
          </w:p>
        </w:tc>
      </w:tr>
      <w:tr w:rsidR="008D4C8C" w:rsidRPr="00FF27DD" w14:paraId="7E967C14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7562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205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D0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D48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D0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03A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977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53.1%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EDC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7735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41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470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0B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13C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86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49.2%</w:t>
            </w:r>
          </w:p>
        </w:tc>
      </w:tr>
      <w:tr w:rsidR="008D4C8C" w:rsidRPr="00FF27DD" w14:paraId="7BA4E869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0459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B88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DA8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518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18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2F3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FA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3D8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42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63E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157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A6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13F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D4C8C" w:rsidRPr="00FF27DD" w14:paraId="77B9EB8D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0EFE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White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C9B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481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43.3%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CB8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21889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D2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39A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6961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E9D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71.0%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F62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11735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468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79.6%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D67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38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23A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4B3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59.9%</w:t>
            </w:r>
          </w:p>
        </w:tc>
      </w:tr>
      <w:tr w:rsidR="008D4C8C" w:rsidRPr="00FF27DD" w14:paraId="53DA66C7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6740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Black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D2C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C01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B7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A6F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CC9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9BC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738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93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8AD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291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F56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6A2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7.0%</w:t>
            </w:r>
          </w:p>
        </w:tc>
      </w:tr>
      <w:tr w:rsidR="008D4C8C" w:rsidRPr="00FF27DD" w14:paraId="2AA7848C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C49E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9E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B46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24.5%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0A7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DC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FA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EA2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DE9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2B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53D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0E2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176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BD5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17.4%</w:t>
            </w:r>
          </w:p>
        </w:tc>
      </w:tr>
      <w:tr w:rsidR="008D4C8C" w:rsidRPr="00FF27DD" w14:paraId="3DEFFD72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A92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Asian/Pacific Islander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97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9FC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B40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FF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0F9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ACF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71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361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40E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1C3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EBA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592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9.6%</w:t>
            </w:r>
          </w:p>
        </w:tc>
      </w:tr>
      <w:tr w:rsidR="008D4C8C" w:rsidRPr="00FF27DD" w14:paraId="646E8511" w14:textId="77777777" w:rsidTr="008D4C8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00C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1F9D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598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9D20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10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57D5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6D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111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3B2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B560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860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6C68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74D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6.1%</w:t>
            </w:r>
          </w:p>
        </w:tc>
      </w:tr>
      <w:tr w:rsidR="008F10AE" w:rsidRPr="00FF27DD" w14:paraId="3E00997D" w14:textId="77777777" w:rsidTr="008D4C8C">
        <w:trPr>
          <w:trHeight w:val="240"/>
        </w:trPr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E17" w14:textId="77777777" w:rsidR="008F10AE" w:rsidRPr="00FF27DD" w:rsidRDefault="008F10AE" w:rsidP="00631F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27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8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E4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Period of diagnosis 2003-2008</w:t>
            </w:r>
          </w:p>
        </w:tc>
      </w:tr>
      <w:tr w:rsidR="00AE2E1D" w:rsidRPr="00FF27DD" w14:paraId="5E76251B" w14:textId="77777777" w:rsidTr="00AE2E1D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2CDF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Age at diagnosis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66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734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05F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FED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82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2DB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BC9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CBE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E98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E7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C3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678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2E1D" w:rsidRPr="00FF27DD" w14:paraId="5EE7C63A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5F69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&lt;50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0D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87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27.5%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248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E2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2D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82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852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62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64A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7EB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AAA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63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15.6%</w:t>
            </w:r>
          </w:p>
        </w:tc>
      </w:tr>
      <w:tr w:rsidR="00AE2E1D" w:rsidRPr="00FF27DD" w14:paraId="4FC1614B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85A5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50-75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FE5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23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66.7%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E29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18851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42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AF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AF6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208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4BD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091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19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17D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4DB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59.9%</w:t>
            </w:r>
          </w:p>
        </w:tc>
      </w:tr>
      <w:tr w:rsidR="00AE2E1D" w:rsidRPr="00FF27DD" w14:paraId="269BAA38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9F8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76+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31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8E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4A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3BE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20.7%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8CE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336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52.6%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FCC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EE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58.2%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E22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7A2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479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83D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24.5%</w:t>
            </w:r>
          </w:p>
        </w:tc>
      </w:tr>
      <w:tr w:rsidR="00AE2E1D" w:rsidRPr="00FF27DD" w14:paraId="59B66B7A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FB63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Sex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E50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EBC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E78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867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018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AB4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7F1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815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69C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02C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A16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D7D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2E1D" w:rsidRPr="00FF27DD" w14:paraId="46C08DFA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1F81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7F3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40C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57.6%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2B8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16179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89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52.8%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FD1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73C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50.4%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7EA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6790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35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47.8%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BA3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7F2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51.8%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5EC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B7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56.4%</w:t>
            </w:r>
          </w:p>
        </w:tc>
      </w:tr>
      <w:tr w:rsidR="00AE2E1D" w:rsidRPr="00FF27DD" w14:paraId="173EA9A8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94AC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770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357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42.4%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01B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14459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BE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47.2%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EDB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207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49.6%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EAF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E3F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52.2%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4E1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480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48.2%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256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5A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43.6%</w:t>
            </w:r>
          </w:p>
        </w:tc>
      </w:tr>
      <w:tr w:rsidR="00AE2E1D" w:rsidRPr="00FF27DD" w14:paraId="22397AD7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3EE9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694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B39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954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535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C69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645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DD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43F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A39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72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7F6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E8B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2E1D" w:rsidRPr="00FF27DD" w14:paraId="0C2DF717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32A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White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298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086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37.3%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11F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19538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27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63.8%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12E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987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96D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FFE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875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2E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43.1%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118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D6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52.1%</w:t>
            </w:r>
          </w:p>
        </w:tc>
      </w:tr>
      <w:tr w:rsidR="00AE2E1D" w:rsidRPr="00FF27DD" w14:paraId="52FBE3F9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F4B0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Black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DAC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F22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D7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06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C86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F5F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5A8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C2C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3EA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D3D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3E3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816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7.3%</w:t>
            </w:r>
          </w:p>
        </w:tc>
      </w:tr>
      <w:tr w:rsidR="00AE2E1D" w:rsidRPr="00FF27DD" w14:paraId="1A6E00B8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BC33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A3D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CC4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3AE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973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EBC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003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3BE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008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45A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3FB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24.7%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D2F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DBA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20.6%</w:t>
            </w:r>
          </w:p>
        </w:tc>
      </w:tr>
      <w:tr w:rsidR="00AE2E1D" w:rsidRPr="00FF27DD" w14:paraId="01F9660A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6545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Asian/Pacific Islander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B40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221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16.6%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0F1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E8C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0B0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267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11.5%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E81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6E4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B5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9E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0EC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E6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11.2%</w:t>
            </w:r>
          </w:p>
        </w:tc>
      </w:tr>
      <w:tr w:rsidR="00AE2E1D" w:rsidRPr="00FF27DD" w14:paraId="0E8D183D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4A53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C3C6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5D9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E5FF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849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20E6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A8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5B2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E08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13ED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510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F12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31D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8.8%</w:t>
            </w:r>
          </w:p>
        </w:tc>
      </w:tr>
      <w:tr w:rsidR="008F10AE" w:rsidRPr="00FF27DD" w14:paraId="6406CC97" w14:textId="77777777" w:rsidTr="008D4C8C">
        <w:trPr>
          <w:trHeight w:val="240"/>
        </w:trPr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928F" w14:textId="77777777" w:rsidR="008F10AE" w:rsidRPr="00FF27DD" w:rsidRDefault="008F10AE" w:rsidP="00631F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27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8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4CD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Period of diagnosis 2009-2014</w:t>
            </w:r>
          </w:p>
        </w:tc>
      </w:tr>
      <w:tr w:rsidR="00AE2E1D" w:rsidRPr="00FF27DD" w14:paraId="7D470DED" w14:textId="77777777" w:rsidTr="00AE2E1D">
        <w:trPr>
          <w:trHeight w:val="2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99B0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Age at diagnosis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729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D468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500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E82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8E4B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E82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9435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8D11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C0E3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73AC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5198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1DD4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2E1D" w:rsidRPr="00FF27DD" w14:paraId="3E69A785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3AFB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&lt;50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68A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4B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23.9%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DFD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411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273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500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E6F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00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88B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69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408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3A7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14%</w:t>
            </w:r>
          </w:p>
        </w:tc>
      </w:tr>
      <w:tr w:rsidR="00AE2E1D" w:rsidRPr="00FF27DD" w14:paraId="3745AABE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6D4F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50-75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14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BC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71.6%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4BA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18909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AB7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F83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8B4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51.7%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F0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2F4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C24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8693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0CB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8F2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D05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64%</w:t>
            </w:r>
          </w:p>
        </w:tc>
      </w:tr>
      <w:tr w:rsidR="00AE2E1D" w:rsidRPr="00FF27DD" w14:paraId="7E684E27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0EA6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76+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9EB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C27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4B1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6E8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E05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550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05E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A3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712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C4F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50F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BDC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22%</w:t>
            </w:r>
          </w:p>
        </w:tc>
      </w:tr>
      <w:tr w:rsidR="00AE2E1D" w:rsidRPr="00FF27DD" w14:paraId="020858DD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2D40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Sex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620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E41C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BF6B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3D05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B7CB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B75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70A2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B7A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56C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850D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FE17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54C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2E1D" w:rsidRPr="00FF27DD" w14:paraId="750C8147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A54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EA2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F8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59.2%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72F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2A5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52.7%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4A0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2C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52.1%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FD8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B52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48.6%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765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7756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199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53.9%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6C0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8C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55%</w:t>
            </w:r>
          </w:p>
        </w:tc>
      </w:tr>
      <w:tr w:rsidR="00AE2E1D" w:rsidRPr="00FF27DD" w14:paraId="724EAC0C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74B4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D9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1F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40.8%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E11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13866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F97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F01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B1F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47.9%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18E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6973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933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55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309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46.1%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42C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E83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45%</w:t>
            </w:r>
          </w:p>
        </w:tc>
      </w:tr>
      <w:tr w:rsidR="00AE2E1D" w:rsidRPr="00FF27DD" w14:paraId="1B36B336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4F88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1F5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4DC4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4944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B9A6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1090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3683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FD08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3A6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5AD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DE6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7ABB" w14:textId="77777777" w:rsidR="008F10AE" w:rsidRPr="00FF27DD" w:rsidRDefault="008F10AE" w:rsidP="006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1A3F" w14:textId="77777777" w:rsidR="008F10AE" w:rsidRPr="00FF27DD" w:rsidRDefault="008F10AE" w:rsidP="0063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2E1D" w:rsidRPr="00FF27DD" w14:paraId="160E80CA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EDAB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White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84C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717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60A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141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57.0%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2D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54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59.7%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CEF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25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72.8%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690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704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4BF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9D2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42%</w:t>
            </w:r>
          </w:p>
        </w:tc>
      </w:tr>
      <w:tr w:rsidR="00AE2E1D" w:rsidRPr="00FF27DD" w14:paraId="4FAAD2A3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1E2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Black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766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051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1BA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7BB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732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342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906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C3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2D0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BF4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278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BE2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</w:tr>
      <w:tr w:rsidR="00AE2E1D" w:rsidRPr="00FF27DD" w14:paraId="54554DAC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8EA7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9BE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A5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FA6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15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29F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8DAC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17.2%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C80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4B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E94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36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CA38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BB7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21%</w:t>
            </w:r>
          </w:p>
        </w:tc>
      </w:tr>
      <w:tr w:rsidR="00AE2E1D" w:rsidRPr="00FF27DD" w14:paraId="441ED669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94FA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Asian/Pacific Islander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1E5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3863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E677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150E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B246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86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0A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98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5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04D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A95A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B37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11%</w:t>
            </w:r>
          </w:p>
        </w:tc>
      </w:tr>
      <w:tr w:rsidR="00AE2E1D" w:rsidRPr="00FF27DD" w14:paraId="511633D1" w14:textId="77777777" w:rsidTr="00AE2E1D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443F" w14:textId="77777777" w:rsidR="008F10AE" w:rsidRPr="00FF27DD" w:rsidRDefault="008F10AE" w:rsidP="00631F1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176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ACB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F4F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97F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FE2F2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5B6B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9FB39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B485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4FAB4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A190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C071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28F" w14:textId="77777777" w:rsidR="008F10AE" w:rsidRPr="00FF27DD" w:rsidRDefault="008F10AE" w:rsidP="0063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2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20%</w:t>
            </w:r>
          </w:p>
        </w:tc>
      </w:tr>
    </w:tbl>
    <w:p w14:paraId="28C1D70E" w14:textId="77777777" w:rsidR="008F10AE" w:rsidRDefault="008F10AE" w:rsidP="00943AD1">
      <w:pPr>
        <w:rPr>
          <w:rFonts w:ascii="Arial" w:hAnsi="Arial" w:cs="Arial"/>
          <w:b/>
          <w:sz w:val="16"/>
          <w:szCs w:val="16"/>
        </w:rPr>
        <w:sectPr w:rsidR="008F10AE" w:rsidSect="008F10AE"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1661FB1D" w14:textId="47EB4BA5" w:rsidR="008F10AE" w:rsidRDefault="008F10AE" w:rsidP="00943AD1">
      <w:pPr>
        <w:rPr>
          <w:rFonts w:ascii="Arial" w:hAnsi="Arial" w:cs="Arial"/>
          <w:b/>
          <w:sz w:val="16"/>
          <w:szCs w:val="16"/>
        </w:rPr>
      </w:pPr>
    </w:p>
    <w:p w14:paraId="496367E0" w14:textId="429A6E4C" w:rsidR="00943AD1" w:rsidRPr="00167855" w:rsidRDefault="00943AD1" w:rsidP="00943AD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Supplemental T</w:t>
      </w:r>
      <w:r w:rsidRPr="006E6BEC">
        <w:rPr>
          <w:rFonts w:ascii="Arial" w:hAnsi="Arial" w:cs="Arial"/>
          <w:b/>
          <w:sz w:val="16"/>
          <w:szCs w:val="16"/>
        </w:rPr>
        <w:t>able</w:t>
      </w:r>
      <w:r w:rsidR="00E345E9">
        <w:rPr>
          <w:rFonts w:ascii="Arial" w:hAnsi="Arial" w:cs="Arial"/>
          <w:b/>
          <w:sz w:val="16"/>
          <w:szCs w:val="16"/>
        </w:rPr>
        <w:t xml:space="preserve"> </w:t>
      </w:r>
      <w:r w:rsidR="008F10AE">
        <w:rPr>
          <w:rFonts w:ascii="Arial" w:hAnsi="Arial" w:cs="Arial"/>
          <w:b/>
          <w:sz w:val="16"/>
          <w:szCs w:val="16"/>
        </w:rPr>
        <w:t>2</w:t>
      </w:r>
      <w:r w:rsidRPr="006E6BEC">
        <w:rPr>
          <w:rFonts w:ascii="Arial" w:hAnsi="Arial" w:cs="Arial"/>
          <w:b/>
          <w:sz w:val="16"/>
          <w:szCs w:val="16"/>
        </w:rPr>
        <w:t xml:space="preserve">. </w:t>
      </w:r>
      <w:r w:rsidR="0057332E" w:rsidRPr="006E6BEC">
        <w:rPr>
          <w:rFonts w:ascii="Arial" w:hAnsi="Arial" w:cs="Arial"/>
          <w:b/>
          <w:sz w:val="16"/>
          <w:szCs w:val="16"/>
        </w:rPr>
        <w:t>Multivaria</w:t>
      </w:r>
      <w:r w:rsidR="0057332E">
        <w:rPr>
          <w:rFonts w:ascii="Arial" w:hAnsi="Arial" w:cs="Arial"/>
          <w:b/>
          <w:sz w:val="16"/>
          <w:szCs w:val="16"/>
        </w:rPr>
        <w:t>bl</w:t>
      </w:r>
      <w:r w:rsidR="0057332E" w:rsidRPr="006E6BEC">
        <w:rPr>
          <w:rFonts w:ascii="Arial" w:hAnsi="Arial" w:cs="Arial"/>
          <w:b/>
          <w:sz w:val="16"/>
          <w:szCs w:val="16"/>
        </w:rPr>
        <w:t xml:space="preserve">e adjusted hazard ratios (HR) and 95% </w:t>
      </w:r>
      <w:r w:rsidR="0057332E">
        <w:rPr>
          <w:rFonts w:ascii="Arial" w:hAnsi="Arial" w:cs="Arial"/>
          <w:b/>
          <w:sz w:val="16"/>
          <w:szCs w:val="16"/>
        </w:rPr>
        <w:t>confidence interval (</w:t>
      </w:r>
      <w:r w:rsidR="0057332E" w:rsidRPr="006E6BEC">
        <w:rPr>
          <w:rFonts w:ascii="Arial" w:hAnsi="Arial" w:cs="Arial"/>
          <w:b/>
          <w:sz w:val="16"/>
          <w:szCs w:val="16"/>
        </w:rPr>
        <w:t>CI</w:t>
      </w:r>
      <w:r w:rsidR="0057332E">
        <w:rPr>
          <w:rFonts w:ascii="Arial" w:hAnsi="Arial" w:cs="Arial"/>
          <w:b/>
          <w:sz w:val="16"/>
          <w:szCs w:val="16"/>
        </w:rPr>
        <w:t>)</w:t>
      </w:r>
      <w:r w:rsidR="0057332E" w:rsidRPr="006E6BEC">
        <w:rPr>
          <w:rFonts w:ascii="Arial" w:hAnsi="Arial" w:cs="Arial"/>
          <w:b/>
          <w:sz w:val="16"/>
          <w:szCs w:val="16"/>
        </w:rPr>
        <w:t xml:space="preserve"> estimates for </w:t>
      </w:r>
      <w:r w:rsidR="0067118A">
        <w:rPr>
          <w:rFonts w:ascii="Arial" w:hAnsi="Arial" w:cs="Arial"/>
          <w:b/>
          <w:sz w:val="16"/>
          <w:szCs w:val="16"/>
        </w:rPr>
        <w:t>5-year</w:t>
      </w:r>
      <w:r w:rsidR="0057332E">
        <w:rPr>
          <w:rFonts w:ascii="Arial" w:hAnsi="Arial" w:cs="Arial"/>
          <w:b/>
          <w:sz w:val="16"/>
          <w:szCs w:val="16"/>
        </w:rPr>
        <w:t xml:space="preserve"> </w:t>
      </w:r>
      <w:r w:rsidR="00566EA2">
        <w:rPr>
          <w:rFonts w:ascii="Arial" w:hAnsi="Arial" w:cs="Arial"/>
          <w:b/>
          <w:sz w:val="16"/>
          <w:szCs w:val="16"/>
        </w:rPr>
        <w:t xml:space="preserve">death from </w:t>
      </w:r>
      <w:r w:rsidR="0057332E" w:rsidRPr="006E6BEC">
        <w:rPr>
          <w:rFonts w:ascii="Arial" w:hAnsi="Arial" w:cs="Arial"/>
          <w:b/>
          <w:sz w:val="16"/>
          <w:szCs w:val="16"/>
        </w:rPr>
        <w:t>all cause</w:t>
      </w:r>
      <w:r w:rsidR="00566EA2">
        <w:rPr>
          <w:rFonts w:ascii="Arial" w:hAnsi="Arial" w:cs="Arial"/>
          <w:b/>
          <w:sz w:val="16"/>
          <w:szCs w:val="16"/>
        </w:rPr>
        <w:t>s</w:t>
      </w:r>
      <w:r w:rsidR="0057332E" w:rsidRPr="006E6BEC">
        <w:rPr>
          <w:rFonts w:ascii="Arial" w:hAnsi="Arial" w:cs="Arial"/>
          <w:b/>
          <w:sz w:val="16"/>
          <w:szCs w:val="16"/>
        </w:rPr>
        <w:t xml:space="preserve"> by period of diagnosis, California 1997-2014</w:t>
      </w:r>
      <w:r w:rsidR="0057332E">
        <w:rPr>
          <w:rFonts w:ascii="Arial" w:hAnsi="Arial" w:cs="Arial"/>
          <w:b/>
          <w:sz w:val="16"/>
          <w:szCs w:val="16"/>
        </w:rPr>
        <w:t xml:space="preserve">, </w:t>
      </w:r>
      <w:r w:rsidR="0067118A">
        <w:rPr>
          <w:rFonts w:ascii="Arial" w:hAnsi="Arial" w:cs="Arial"/>
          <w:b/>
          <w:sz w:val="16"/>
          <w:szCs w:val="16"/>
        </w:rPr>
        <w:t xml:space="preserve">with </w:t>
      </w:r>
      <w:r w:rsidR="0057332E">
        <w:rPr>
          <w:rFonts w:ascii="Arial" w:hAnsi="Arial" w:cs="Arial"/>
          <w:b/>
          <w:sz w:val="16"/>
          <w:szCs w:val="16"/>
        </w:rPr>
        <w:t>follow-up through 2016</w:t>
      </w:r>
      <w:r w:rsidR="0067118A">
        <w:rPr>
          <w:rFonts w:ascii="Arial" w:hAnsi="Arial" w:cs="Arial"/>
          <w:b/>
          <w:sz w:val="16"/>
          <w:szCs w:val="16"/>
        </w:rPr>
        <w:t>.</w:t>
      </w:r>
    </w:p>
    <w:tbl>
      <w:tblPr>
        <w:tblW w:w="12520" w:type="dxa"/>
        <w:tblLook w:val="04A0" w:firstRow="1" w:lastRow="0" w:firstColumn="1" w:lastColumn="0" w:noHBand="0" w:noVBand="1"/>
      </w:tblPr>
      <w:tblGrid>
        <w:gridCol w:w="2720"/>
        <w:gridCol w:w="1240"/>
        <w:gridCol w:w="1540"/>
        <w:gridCol w:w="1240"/>
        <w:gridCol w:w="1420"/>
        <w:gridCol w:w="1240"/>
        <w:gridCol w:w="1420"/>
        <w:gridCol w:w="1700"/>
      </w:tblGrid>
      <w:tr w:rsidR="00987926" w:rsidRPr="00987926" w14:paraId="18FD1D5D" w14:textId="77777777" w:rsidTr="00987926">
        <w:trPr>
          <w:trHeight w:val="225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8C369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D5CBA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Period of diagnosis 1997-2002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B0D4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Period of diagnosis 2003-2008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6875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Period of diagnosis 2009-2014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085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Interaction</w:t>
            </w:r>
          </w:p>
        </w:tc>
      </w:tr>
      <w:tr w:rsidR="00987926" w:rsidRPr="00987926" w14:paraId="60A71741" w14:textId="77777777" w:rsidTr="00987926">
        <w:trPr>
          <w:trHeight w:val="22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339B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48B57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No. of  deaths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4DC4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HR (95% CI)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E24C9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No. of  deaths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5D890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HR (95% CI)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E1BFDD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No. of  deaths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A70ED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HR (95% CI)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26AA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</w:tr>
      <w:tr w:rsidR="00987926" w:rsidRPr="00987926" w14:paraId="7C891A84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0E1B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CE1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2F9B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32B1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5A90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0ADF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EE92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1DB2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0.154</w:t>
            </w:r>
          </w:p>
        </w:tc>
      </w:tr>
      <w:tr w:rsidR="00987926" w:rsidRPr="00987926" w14:paraId="4B6935E1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686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White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42A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22,117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3ECD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8F325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6E2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8A11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055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4C5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01D26A05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CA30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Black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57EC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D353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 (1.02-1.12)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1E1C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C33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 (1.00-1.10)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527F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C767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 (0.97-1.08)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783C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4FF34EF8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B97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850E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5992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 (0.88-0.95)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30C5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3C9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 (0.85-0.92)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5774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AFCA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 (0.85-0.92)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BFCA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72436D53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ED6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Asian/Pacific Islander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DF36B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0405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 (0.80-0.87)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1DD7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9BC5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 (0.78-0.84)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4A62B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6BAE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 (0.85-0.92)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48F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701A3B8D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FF04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Neighborhood SES quintile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0BA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F4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049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C647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388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FB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FA3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1896D6AF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7A2C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1st (lowest)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BDD4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51AC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 (1.28-1.39)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6FD71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963E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 (1.21-1.32)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19939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EB3C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 (1.18-1.30)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3A3B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0.178</w:t>
            </w:r>
          </w:p>
        </w:tc>
      </w:tr>
      <w:tr w:rsidR="00987926" w:rsidRPr="00987926" w14:paraId="698F1CFC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A49B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5AE85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E07C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 (1.18-1.28)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C96B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D595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 (1.19-1.28)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6216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F3C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 (1.15-1.25)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116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656C0769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124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E3A3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1F1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 (1.14-1.23)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1D2F7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FD3C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 (1.13-1.22)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DC6C7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B448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 (1.08-1.18)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EE4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30B0F31A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507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A6E3C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4D3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 (1.06-1.14)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8AB7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E83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 (1.09-1.18)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46B10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3CDA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 (1.01-1.10)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14C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5FDAEF1B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F4E7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5th (highest)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20E33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6A8F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B3FC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1B1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FC04A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D18B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24E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2E3C035E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D9EA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Insurance status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D08F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CD0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609D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3D6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798D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E3C7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FCB3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987926" w:rsidRPr="00987926" w14:paraId="74920785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AA9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insurance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C33F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1729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 (0.98-1.19)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76079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0753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 (1.07-1.29)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F07A5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E98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 (1.13-1.37)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CC44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662201BA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69B6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Private only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F3046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05F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6869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846D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1FBE1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95A5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98A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3539D599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A4E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 only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3051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CA1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 (1.12-1.21)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7FE32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89B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 (1.22-1.33)*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E675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0AE" w14:textId="2DBBCD4A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 (1.25-1.39)</w:t>
            </w:r>
            <w:r w:rsidR="00894042" w:rsidRPr="009E67D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4AD7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2C6DA54D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0F7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Medicare+Private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73A2A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2D35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 (1.08-1.15)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1CD4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AAEF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 (1.09-1.16)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67C53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C67" w14:textId="683786DC" w:rsidR="00987926" w:rsidRPr="00987926" w:rsidRDefault="00894042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 (1.14-1.23)</w:t>
            </w:r>
            <w:r w:rsidRPr="009E67D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37F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7926" w:rsidRPr="00987926" w14:paraId="34851844" w14:textId="77777777" w:rsidTr="00987926">
        <w:trPr>
          <w:trHeight w:val="2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3F9C" w14:textId="77777777" w:rsidR="00987926" w:rsidRPr="00987926" w:rsidRDefault="00987926" w:rsidP="0098792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Any Public/Medicaid/Military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405D4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A521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 (1.08-1.18)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BBA6E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E6D3" w14:textId="77777777" w:rsidR="00987926" w:rsidRPr="00987926" w:rsidRDefault="00987926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 (1.22-1.31)*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316D3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541" w14:textId="27602A50" w:rsidR="00987926" w:rsidRPr="00987926" w:rsidRDefault="00894042" w:rsidP="00987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 (1.25-1.34)</w:t>
            </w:r>
            <w:r w:rsidRPr="009E67D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7F8" w14:textId="77777777" w:rsidR="00987926" w:rsidRPr="00987926" w:rsidRDefault="00987926" w:rsidP="0098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79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11938472" w14:textId="0B9D008E" w:rsidR="0067118A" w:rsidRDefault="00CE5BFB" w:rsidP="006711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Cox regression models</w:t>
      </w:r>
      <w:r w:rsidR="0067118A">
        <w:rPr>
          <w:rFonts w:ascii="Arial" w:hAnsi="Arial" w:cs="Arial"/>
          <w:sz w:val="16"/>
          <w:szCs w:val="16"/>
        </w:rPr>
        <w:t xml:space="preserve"> stratified by chemotherapy and</w:t>
      </w:r>
      <w:r w:rsidR="0067118A" w:rsidRPr="006E6BEC">
        <w:rPr>
          <w:rFonts w:ascii="Arial" w:hAnsi="Arial" w:cs="Arial"/>
          <w:sz w:val="16"/>
          <w:szCs w:val="16"/>
        </w:rPr>
        <w:t xml:space="preserve"> adjusted for</w:t>
      </w:r>
      <w:r>
        <w:rPr>
          <w:rFonts w:ascii="Arial" w:hAnsi="Arial" w:cs="Arial"/>
          <w:sz w:val="16"/>
          <w:szCs w:val="16"/>
        </w:rPr>
        <w:t xml:space="preserve"> year of diagnosis,</w:t>
      </w:r>
      <w:r w:rsidR="0067118A" w:rsidRPr="006E6BEC">
        <w:rPr>
          <w:rFonts w:ascii="Arial" w:hAnsi="Arial" w:cs="Arial"/>
          <w:sz w:val="16"/>
          <w:szCs w:val="16"/>
        </w:rPr>
        <w:t xml:space="preserve"> age, sex, marital status, AJCC stage, </w:t>
      </w:r>
      <w:proofErr w:type="spellStart"/>
      <w:r w:rsidR="0067118A" w:rsidRPr="006E6BEC">
        <w:rPr>
          <w:rFonts w:ascii="Arial" w:hAnsi="Arial" w:cs="Arial"/>
          <w:sz w:val="16"/>
          <w:szCs w:val="16"/>
        </w:rPr>
        <w:t>subsite</w:t>
      </w:r>
      <w:proofErr w:type="spellEnd"/>
      <w:r w:rsidR="0067118A" w:rsidRPr="006E6BEC">
        <w:rPr>
          <w:rFonts w:ascii="Arial" w:hAnsi="Arial" w:cs="Arial"/>
          <w:sz w:val="16"/>
          <w:szCs w:val="16"/>
        </w:rPr>
        <w:t>, lymph nodes positive, tumor size, tumor grade, surgery, radiation, urbanization level</w:t>
      </w:r>
      <w:r>
        <w:rPr>
          <w:rFonts w:ascii="Arial" w:hAnsi="Arial" w:cs="Arial"/>
          <w:sz w:val="16"/>
          <w:szCs w:val="16"/>
        </w:rPr>
        <w:t xml:space="preserve">, </w:t>
      </w:r>
      <w:r w:rsidR="0067118A" w:rsidRPr="006E6BEC">
        <w:rPr>
          <w:rFonts w:ascii="Arial" w:hAnsi="Arial" w:cs="Arial"/>
          <w:sz w:val="16"/>
          <w:szCs w:val="16"/>
        </w:rPr>
        <w:t xml:space="preserve">whether or </w:t>
      </w:r>
      <w:r w:rsidR="0067118A" w:rsidRPr="00B0786D">
        <w:rPr>
          <w:rFonts w:ascii="Arial" w:hAnsi="Arial" w:cs="Arial"/>
          <w:sz w:val="16"/>
          <w:szCs w:val="16"/>
        </w:rPr>
        <w:t xml:space="preserve">not patients were </w:t>
      </w:r>
      <w:r w:rsidR="0067118A" w:rsidRPr="00B0786D">
        <w:rPr>
          <w:rFonts w:ascii="Arial" w:eastAsia="Times New Roman" w:hAnsi="Arial" w:cs="Arial"/>
          <w:bCs/>
          <w:color w:val="000000"/>
          <w:sz w:val="16"/>
          <w:szCs w:val="16"/>
        </w:rPr>
        <w:t>seen at an NCI-designated cancer center</w:t>
      </w:r>
      <w:r>
        <w:rPr>
          <w:rFonts w:ascii="Arial" w:eastAsia="Times New Roman" w:hAnsi="Arial" w:cs="Arial"/>
          <w:bCs/>
          <w:color w:val="000000"/>
          <w:sz w:val="16"/>
          <w:szCs w:val="16"/>
        </w:rPr>
        <w:t>, and clustering by block group</w:t>
      </w:r>
      <w:r w:rsidR="0067118A" w:rsidRPr="00B0786D">
        <w:rPr>
          <w:rFonts w:ascii="Arial" w:hAnsi="Arial" w:cs="Arial"/>
          <w:sz w:val="16"/>
          <w:szCs w:val="16"/>
        </w:rPr>
        <w:t>.</w:t>
      </w:r>
      <w:r w:rsidR="0067118A">
        <w:rPr>
          <w:rFonts w:ascii="Arial" w:hAnsi="Arial" w:cs="Arial"/>
          <w:sz w:val="16"/>
          <w:szCs w:val="16"/>
        </w:rPr>
        <w:t xml:space="preserve"> </w:t>
      </w:r>
      <w:r w:rsidR="00B20ED8">
        <w:rPr>
          <w:rFonts w:ascii="Arial" w:hAnsi="Arial" w:cs="Arial"/>
          <w:sz w:val="16"/>
          <w:szCs w:val="16"/>
        </w:rPr>
        <w:t>Cases with unknown race/ethnicity, neighborhood SES quintile, and insurance status were included in the model</w:t>
      </w:r>
      <w:r w:rsidR="00D54096">
        <w:rPr>
          <w:rFonts w:ascii="Arial" w:hAnsi="Arial" w:cs="Arial"/>
          <w:sz w:val="16"/>
          <w:szCs w:val="16"/>
        </w:rPr>
        <w:t>s</w:t>
      </w:r>
      <w:r w:rsidR="00B20ED8">
        <w:rPr>
          <w:rFonts w:ascii="Arial" w:hAnsi="Arial" w:cs="Arial"/>
          <w:sz w:val="16"/>
          <w:szCs w:val="16"/>
        </w:rPr>
        <w:t xml:space="preserve"> (results not shown).</w:t>
      </w:r>
    </w:p>
    <w:p w14:paraId="79005A42" w14:textId="1A67A3C1" w:rsidR="001957D3" w:rsidRPr="00841E62" w:rsidRDefault="00894042" w:rsidP="006B5FAD">
      <w:pPr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spellStart"/>
      <w:r w:rsidRPr="009E67D6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a</w:t>
      </w:r>
      <w:r w:rsidR="00D7277F">
        <w:rPr>
          <w:rFonts w:ascii="Arial" w:hAnsi="Arial" w:cs="Arial"/>
          <w:sz w:val="16"/>
          <w:szCs w:val="16"/>
        </w:rPr>
        <w:t>Significantly</w:t>
      </w:r>
      <w:proofErr w:type="spellEnd"/>
      <w:r w:rsidR="00D7277F">
        <w:rPr>
          <w:rFonts w:ascii="Arial" w:hAnsi="Arial" w:cs="Arial"/>
          <w:sz w:val="16"/>
          <w:szCs w:val="16"/>
        </w:rPr>
        <w:t xml:space="preserve"> different </w:t>
      </w:r>
      <w:r w:rsidR="00CE5BFB">
        <w:rPr>
          <w:rFonts w:ascii="Arial" w:hAnsi="Arial" w:cs="Arial"/>
          <w:sz w:val="16"/>
          <w:szCs w:val="16"/>
        </w:rPr>
        <w:t>from</w:t>
      </w:r>
      <w:r w:rsidR="00D7277F">
        <w:rPr>
          <w:rFonts w:ascii="Arial" w:hAnsi="Arial" w:cs="Arial"/>
          <w:sz w:val="16"/>
          <w:szCs w:val="16"/>
        </w:rPr>
        <w:t xml:space="preserve"> 1997-2002 (</w:t>
      </w:r>
      <w:r w:rsidR="00CE5BFB">
        <w:rPr>
          <w:rFonts w:ascii="Arial" w:hAnsi="Arial" w:cs="Arial"/>
          <w:sz w:val="16"/>
          <w:szCs w:val="16"/>
        </w:rPr>
        <w:t xml:space="preserve">individual cross-product </w:t>
      </w:r>
      <w:r w:rsidR="00D7277F">
        <w:rPr>
          <w:rFonts w:ascii="Arial" w:hAnsi="Arial" w:cs="Arial"/>
          <w:sz w:val="16"/>
          <w:szCs w:val="16"/>
        </w:rPr>
        <w:t>interaction</w:t>
      </w:r>
      <w:r w:rsidR="00CE5BFB">
        <w:rPr>
          <w:rFonts w:ascii="Arial" w:hAnsi="Arial" w:cs="Arial"/>
          <w:sz w:val="16"/>
          <w:szCs w:val="16"/>
        </w:rPr>
        <w:t xml:space="preserve"> term</w:t>
      </w:r>
      <w:r w:rsidR="00D7277F">
        <w:rPr>
          <w:rFonts w:ascii="Arial" w:hAnsi="Arial" w:cs="Arial"/>
          <w:sz w:val="16"/>
          <w:szCs w:val="16"/>
        </w:rPr>
        <w:t xml:space="preserve"> p-value &lt;0.05</w:t>
      </w:r>
      <w:r w:rsidR="00CE5BFB">
        <w:rPr>
          <w:rFonts w:ascii="Arial" w:hAnsi="Arial" w:cs="Arial"/>
          <w:sz w:val="16"/>
          <w:szCs w:val="16"/>
        </w:rPr>
        <w:t xml:space="preserve"> in the overall model</w:t>
      </w:r>
    </w:p>
    <w:sectPr w:rsidR="001957D3" w:rsidRPr="00841E62" w:rsidSect="00482E78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D1"/>
    <w:rsid w:val="00051567"/>
    <w:rsid w:val="00117837"/>
    <w:rsid w:val="00122ACF"/>
    <w:rsid w:val="001957D3"/>
    <w:rsid w:val="0027576E"/>
    <w:rsid w:val="00292412"/>
    <w:rsid w:val="002D616D"/>
    <w:rsid w:val="00482E78"/>
    <w:rsid w:val="004F7BE2"/>
    <w:rsid w:val="00501DEE"/>
    <w:rsid w:val="005178D3"/>
    <w:rsid w:val="0052170B"/>
    <w:rsid w:val="00555D13"/>
    <w:rsid w:val="00566EA2"/>
    <w:rsid w:val="005729E2"/>
    <w:rsid w:val="0057332E"/>
    <w:rsid w:val="005A1FA4"/>
    <w:rsid w:val="00631F11"/>
    <w:rsid w:val="00644BF9"/>
    <w:rsid w:val="0067118A"/>
    <w:rsid w:val="006B5FAD"/>
    <w:rsid w:val="006D45C9"/>
    <w:rsid w:val="00731D5E"/>
    <w:rsid w:val="00795087"/>
    <w:rsid w:val="00841E62"/>
    <w:rsid w:val="008934F0"/>
    <w:rsid w:val="00894042"/>
    <w:rsid w:val="008D4C8C"/>
    <w:rsid w:val="008F10AE"/>
    <w:rsid w:val="00943AD1"/>
    <w:rsid w:val="00987926"/>
    <w:rsid w:val="00A458A2"/>
    <w:rsid w:val="00AE2E1D"/>
    <w:rsid w:val="00B20ED8"/>
    <w:rsid w:val="00B751F1"/>
    <w:rsid w:val="00BD226F"/>
    <w:rsid w:val="00C51A4C"/>
    <w:rsid w:val="00CE5BFB"/>
    <w:rsid w:val="00D26F99"/>
    <w:rsid w:val="00D54096"/>
    <w:rsid w:val="00D7277F"/>
    <w:rsid w:val="00D85B2A"/>
    <w:rsid w:val="00E345E9"/>
    <w:rsid w:val="00E904A6"/>
    <w:rsid w:val="00E927FC"/>
    <w:rsid w:val="00E956CB"/>
    <w:rsid w:val="00F017E5"/>
    <w:rsid w:val="00FB03D7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67E0"/>
  <w15:chartTrackingRefBased/>
  <w15:docId w15:val="{3FA6BB32-15EE-4DFC-B9A5-5286570D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B36F9-4529-4C12-9B28-A03B5C24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UCSF-DEB\SFCC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Oh, Debby</dc:creator>
  <cp:keywords/>
  <dc:description/>
  <cp:lastModifiedBy>Oh, Debora L</cp:lastModifiedBy>
  <cp:revision>2</cp:revision>
  <dcterms:created xsi:type="dcterms:W3CDTF">2020-03-19T21:48:00Z</dcterms:created>
  <dcterms:modified xsi:type="dcterms:W3CDTF">2020-03-19T21:48:00Z</dcterms:modified>
</cp:coreProperties>
</file>