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FA21" w14:textId="77777777" w:rsidR="00F72BFA" w:rsidRPr="009C1CD7" w:rsidRDefault="00F72BFA" w:rsidP="00F72BFA">
      <w:pPr>
        <w:pStyle w:val="Heading1"/>
        <w:rPr>
          <w:lang w:val="fr-FR"/>
        </w:rPr>
      </w:pPr>
      <w:bookmarkStart w:id="0" w:name="_GoBack"/>
      <w:bookmarkEnd w:id="0"/>
      <w:r w:rsidRPr="009C1CD7">
        <w:rPr>
          <w:lang w:val="fr-FR"/>
        </w:rPr>
        <w:t>Abstract</w:t>
      </w:r>
    </w:p>
    <w:p w14:paraId="7500A8CD" w14:textId="408DFB8B" w:rsidR="00F72BFA" w:rsidRPr="009C1CD7" w:rsidRDefault="009C1CD7" w:rsidP="00F72BFA">
      <w:pPr>
        <w:pStyle w:val="Heading2"/>
        <w:rPr>
          <w:lang w:val="fr-FR"/>
        </w:rPr>
      </w:pPr>
      <w:r>
        <w:rPr>
          <w:lang w:val="fr-FR"/>
        </w:rPr>
        <w:t>Contexte</w:t>
      </w:r>
    </w:p>
    <w:p w14:paraId="39CB4241" w14:textId="2125F3AC" w:rsidR="009C1CD7" w:rsidRDefault="009C1CD7" w:rsidP="00F72BFA">
      <w:pPr>
        <w:rPr>
          <w:lang w:val="fr-FR"/>
        </w:rPr>
      </w:pPr>
      <w:r>
        <w:rPr>
          <w:lang w:val="fr-FR"/>
        </w:rPr>
        <w:t xml:space="preserve">Les enfants </w:t>
      </w:r>
      <w:r w:rsidR="00933B3A">
        <w:rPr>
          <w:lang w:val="fr-FR"/>
        </w:rPr>
        <w:t>M</w:t>
      </w:r>
      <w:r>
        <w:rPr>
          <w:lang w:val="fr-FR"/>
        </w:rPr>
        <w:t xml:space="preserve">alnutris </w:t>
      </w:r>
      <w:r w:rsidR="00933B3A">
        <w:rPr>
          <w:lang w:val="fr-FR"/>
        </w:rPr>
        <w:t>A</w:t>
      </w:r>
      <w:r>
        <w:rPr>
          <w:lang w:val="fr-FR"/>
        </w:rPr>
        <w:t>igu</w:t>
      </w:r>
      <w:r w:rsidR="00933B3A">
        <w:rPr>
          <w:lang w:val="fr-FR"/>
        </w:rPr>
        <w:t>s</w:t>
      </w:r>
      <w:r>
        <w:rPr>
          <w:lang w:val="fr-FR"/>
        </w:rPr>
        <w:t xml:space="preserve"> </w:t>
      </w:r>
      <w:r w:rsidR="00933B3A">
        <w:rPr>
          <w:lang w:val="fr-FR"/>
        </w:rPr>
        <w:t>S</w:t>
      </w:r>
      <w:r w:rsidR="00CF69F4">
        <w:rPr>
          <w:lang w:val="fr-FR"/>
        </w:rPr>
        <w:t>évère</w:t>
      </w:r>
      <w:r w:rsidR="00933B3A">
        <w:rPr>
          <w:lang w:val="fr-FR"/>
        </w:rPr>
        <w:t>s</w:t>
      </w:r>
      <w:r>
        <w:rPr>
          <w:lang w:val="fr-FR"/>
        </w:rPr>
        <w:t xml:space="preserve"> </w:t>
      </w:r>
      <w:r w:rsidR="00CF69F4">
        <w:rPr>
          <w:lang w:val="fr-FR"/>
        </w:rPr>
        <w:t xml:space="preserve">(MAS) </w:t>
      </w:r>
      <w:r>
        <w:rPr>
          <w:lang w:val="fr-FR"/>
        </w:rPr>
        <w:t xml:space="preserve">sont traités à domicile à l’aide des </w:t>
      </w:r>
      <w:r w:rsidR="00933B3A">
        <w:rPr>
          <w:lang w:val="fr-FR"/>
        </w:rPr>
        <w:t>A</w:t>
      </w:r>
      <w:r>
        <w:rPr>
          <w:lang w:val="fr-FR"/>
        </w:rPr>
        <w:t xml:space="preserve">liments </w:t>
      </w:r>
      <w:r w:rsidR="00933B3A">
        <w:rPr>
          <w:lang w:val="fr-FR"/>
        </w:rPr>
        <w:t>Thérapeutiques P</w:t>
      </w:r>
      <w:r>
        <w:rPr>
          <w:lang w:val="fr-FR"/>
        </w:rPr>
        <w:t>rêt</w:t>
      </w:r>
      <w:r w:rsidR="00933B3A">
        <w:rPr>
          <w:lang w:val="fr-FR"/>
        </w:rPr>
        <w:t>s</w:t>
      </w:r>
      <w:r>
        <w:rPr>
          <w:lang w:val="fr-FR"/>
        </w:rPr>
        <w:t xml:space="preserve"> à l’</w:t>
      </w:r>
      <w:r w:rsidR="00933B3A">
        <w:rPr>
          <w:lang w:val="fr-FR"/>
        </w:rPr>
        <w:t>E</w:t>
      </w:r>
      <w:r>
        <w:rPr>
          <w:lang w:val="fr-FR"/>
        </w:rPr>
        <w:t>mploi (ATPE). A présent, la quantité d’ATPE prescrit</w:t>
      </w:r>
      <w:r w:rsidR="00933B3A">
        <w:rPr>
          <w:lang w:val="fr-FR"/>
        </w:rPr>
        <w:t>e</w:t>
      </w:r>
      <w:r>
        <w:rPr>
          <w:lang w:val="fr-FR"/>
        </w:rPr>
        <w:t xml:space="preserve"> est déterminé</w:t>
      </w:r>
      <w:r w:rsidR="00933B3A">
        <w:rPr>
          <w:lang w:val="fr-FR"/>
        </w:rPr>
        <w:t>e</w:t>
      </w:r>
      <w:r>
        <w:rPr>
          <w:lang w:val="fr-FR"/>
        </w:rPr>
        <w:t xml:space="preserve"> selon le poids de l’enfant </w:t>
      </w:r>
      <w:r w:rsidR="001720A7">
        <w:rPr>
          <w:lang w:val="fr-FR"/>
        </w:rPr>
        <w:t>afin</w:t>
      </w:r>
      <w:r>
        <w:rPr>
          <w:lang w:val="fr-FR"/>
        </w:rPr>
        <w:t xml:space="preserve"> de couvrir 100% de</w:t>
      </w:r>
      <w:r w:rsidR="00933B3A">
        <w:rPr>
          <w:lang w:val="fr-FR"/>
        </w:rPr>
        <w:t xml:space="preserve"> se</w:t>
      </w:r>
      <w:r>
        <w:rPr>
          <w:lang w:val="fr-FR"/>
        </w:rPr>
        <w:t xml:space="preserve">s besoins jusqu’à </w:t>
      </w:r>
      <w:r w:rsidR="00933B3A">
        <w:rPr>
          <w:lang w:val="fr-FR"/>
        </w:rPr>
        <w:t xml:space="preserve">la </w:t>
      </w:r>
      <w:r>
        <w:rPr>
          <w:lang w:val="fr-FR"/>
        </w:rPr>
        <w:t>sortie du traitement. Néanmoins,</w:t>
      </w:r>
      <w:r w:rsidR="001720A7">
        <w:rPr>
          <w:lang w:val="fr-FR"/>
        </w:rPr>
        <w:t xml:space="preserve"> la dose </w:t>
      </w:r>
      <w:r w:rsidR="00CF69F4">
        <w:rPr>
          <w:lang w:val="fr-FR"/>
        </w:rPr>
        <w:t xml:space="preserve">est </w:t>
      </w:r>
      <w:r w:rsidR="00933B3A">
        <w:rPr>
          <w:lang w:val="fr-FR"/>
        </w:rPr>
        <w:t>questionnée</w:t>
      </w:r>
      <w:r w:rsidR="00CF69F4">
        <w:rPr>
          <w:lang w:val="fr-FR"/>
        </w:rPr>
        <w:t xml:space="preserve"> car </w:t>
      </w:r>
      <w:r w:rsidR="00933B3A">
        <w:rPr>
          <w:lang w:val="fr-FR"/>
        </w:rPr>
        <w:t xml:space="preserve">elle </w:t>
      </w:r>
      <w:r w:rsidR="00CF69F4">
        <w:rPr>
          <w:lang w:val="fr-FR"/>
        </w:rPr>
        <w:t xml:space="preserve">semble être </w:t>
      </w:r>
      <w:r w:rsidR="001720A7">
        <w:rPr>
          <w:lang w:val="fr-FR"/>
        </w:rPr>
        <w:t>partagé</w:t>
      </w:r>
      <w:r w:rsidR="00933B3A">
        <w:rPr>
          <w:lang w:val="fr-FR"/>
        </w:rPr>
        <w:t>e</w:t>
      </w:r>
      <w:r w:rsidR="001720A7">
        <w:rPr>
          <w:lang w:val="fr-FR"/>
        </w:rPr>
        <w:t xml:space="preserve"> donnant lieu à </w:t>
      </w:r>
      <w:r w:rsidR="00CF69F4">
        <w:rPr>
          <w:lang w:val="fr-FR"/>
        </w:rPr>
        <w:t xml:space="preserve">un cout-efficacité </w:t>
      </w:r>
      <w:r w:rsidR="00933B3A">
        <w:rPr>
          <w:lang w:val="fr-FR"/>
        </w:rPr>
        <w:t>moindre</w:t>
      </w:r>
      <w:r w:rsidR="00CF69F4">
        <w:rPr>
          <w:lang w:val="fr-FR"/>
        </w:rPr>
        <w:t xml:space="preserve"> du traitement de la MAS. Nous avons investigué l’efficacité d’une dose réduite d’ATPE dans la prise en charge communautaire de la MAS.</w:t>
      </w:r>
    </w:p>
    <w:p w14:paraId="284C2587" w14:textId="25924079" w:rsidR="00F72BFA" w:rsidRPr="009C1CD7" w:rsidRDefault="00CF69F4" w:rsidP="00F72BFA">
      <w:pPr>
        <w:pStyle w:val="Heading2"/>
        <w:rPr>
          <w:lang w:val="fr-FR"/>
        </w:rPr>
      </w:pPr>
      <w:r>
        <w:rPr>
          <w:lang w:val="fr-FR"/>
        </w:rPr>
        <w:t xml:space="preserve">Méthodes </w:t>
      </w:r>
      <w:r w:rsidR="006B4535">
        <w:rPr>
          <w:lang w:val="fr-FR"/>
        </w:rPr>
        <w:t xml:space="preserve">et </w:t>
      </w:r>
      <w:r w:rsidR="006B4535" w:rsidRPr="009C1CD7">
        <w:rPr>
          <w:lang w:val="fr-FR"/>
        </w:rPr>
        <w:t>Résultats</w:t>
      </w:r>
    </w:p>
    <w:p w14:paraId="42AD57FC" w14:textId="51508DF4" w:rsidR="00CF69F4" w:rsidRDefault="00676DBE" w:rsidP="00F72BFA">
      <w:pPr>
        <w:rPr>
          <w:lang w:val="fr-FR"/>
        </w:rPr>
      </w:pPr>
      <w:r>
        <w:rPr>
          <w:lang w:val="fr-FR"/>
        </w:rPr>
        <w:t>Nous avons mené un essai</w:t>
      </w:r>
      <w:r w:rsidR="00CF69F4">
        <w:rPr>
          <w:lang w:val="fr-FR"/>
        </w:rPr>
        <w:t xml:space="preserve"> randomisé testant la non-infériorité de la vélocité de gain de poids chez les enfants MAS recevant a) une dose standard d’ATPE pendant </w:t>
      </w:r>
      <w:proofErr w:type="gramStart"/>
      <w:r w:rsidR="00CF69F4">
        <w:rPr>
          <w:lang w:val="fr-FR"/>
        </w:rPr>
        <w:t>deux semaines suivi</w:t>
      </w:r>
      <w:r w:rsidR="00933B3A">
        <w:rPr>
          <w:lang w:val="fr-FR"/>
        </w:rPr>
        <w:t>e</w:t>
      </w:r>
      <w:proofErr w:type="gramEnd"/>
      <w:r w:rsidR="00CF69F4">
        <w:rPr>
          <w:lang w:val="fr-FR"/>
        </w:rPr>
        <w:t xml:space="preserve"> d’une réduction de la dose (</w:t>
      </w:r>
      <w:r w:rsidR="00933B3A">
        <w:rPr>
          <w:lang w:val="fr-FR"/>
        </w:rPr>
        <w:t xml:space="preserve">dose </w:t>
      </w:r>
      <w:r w:rsidR="00CF69F4">
        <w:rPr>
          <w:lang w:val="fr-FR"/>
        </w:rPr>
        <w:t>réduite), comparé</w:t>
      </w:r>
      <w:r w:rsidR="00933B3A">
        <w:rPr>
          <w:lang w:val="fr-FR"/>
        </w:rPr>
        <w:t>e</w:t>
      </w:r>
      <w:r w:rsidR="00CF69F4">
        <w:rPr>
          <w:lang w:val="fr-FR"/>
        </w:rPr>
        <w:t xml:space="preserve"> à b) une dose standard d’ATPE durant </w:t>
      </w:r>
      <w:r>
        <w:rPr>
          <w:lang w:val="fr-FR"/>
        </w:rPr>
        <w:t>tout le traitement (</w:t>
      </w:r>
      <w:r w:rsidR="00933B3A">
        <w:rPr>
          <w:lang w:val="fr-FR"/>
        </w:rPr>
        <w:t xml:space="preserve">dose </w:t>
      </w:r>
      <w:r>
        <w:rPr>
          <w:lang w:val="fr-FR"/>
        </w:rPr>
        <w:t>standard). Une différence moye</w:t>
      </w:r>
      <w:r w:rsidR="007E6B84">
        <w:rPr>
          <w:lang w:val="fr-FR"/>
        </w:rPr>
        <w:t>nn</w:t>
      </w:r>
      <w:r>
        <w:rPr>
          <w:lang w:val="fr-FR"/>
        </w:rPr>
        <w:t>e de 0.0 g/kg/j était attendu</w:t>
      </w:r>
      <w:r w:rsidR="00933B3A">
        <w:rPr>
          <w:lang w:val="fr-FR"/>
        </w:rPr>
        <w:t>e</w:t>
      </w:r>
      <w:r>
        <w:rPr>
          <w:lang w:val="fr-FR"/>
        </w:rPr>
        <w:t xml:space="preserve"> avec une marge de non-infériorité fixé</w:t>
      </w:r>
      <w:r w:rsidR="00933B3A">
        <w:rPr>
          <w:lang w:val="fr-FR"/>
        </w:rPr>
        <w:t>e</w:t>
      </w:r>
      <w:r>
        <w:rPr>
          <w:lang w:val="fr-FR"/>
        </w:rPr>
        <w:t xml:space="preserve"> à -0.5 g/kg/j. </w:t>
      </w:r>
      <w:r w:rsidR="007E6B84">
        <w:rPr>
          <w:lang w:val="fr-FR"/>
        </w:rPr>
        <w:t>Des modèles mixtes</w:t>
      </w:r>
      <w:r>
        <w:rPr>
          <w:lang w:val="fr-FR"/>
        </w:rPr>
        <w:t xml:space="preserve"> linéaires et logistiques ont été réalisés avec le site d’étude et l’équipe comme effets aléatoires. </w:t>
      </w:r>
    </w:p>
    <w:p w14:paraId="4FC76003" w14:textId="5B0D4249" w:rsidR="00F72BFA" w:rsidRPr="00914E7F" w:rsidRDefault="00676DBE" w:rsidP="00914E7F">
      <w:pPr>
        <w:rPr>
          <w:lang w:val="fr-FR"/>
        </w:rPr>
      </w:pPr>
      <w:r>
        <w:rPr>
          <w:lang w:val="fr-FR"/>
        </w:rPr>
        <w:tab/>
        <w:t xml:space="preserve"> Entre octobre 2016 et juillet 2018, 801 enfants avec MAS sans complication âgés de 6-59 mois ont été admis dans 10 centre</w:t>
      </w:r>
      <w:r w:rsidR="00933B3A">
        <w:rPr>
          <w:lang w:val="fr-FR"/>
        </w:rPr>
        <w:t>s</w:t>
      </w:r>
      <w:r>
        <w:rPr>
          <w:lang w:val="fr-FR"/>
        </w:rPr>
        <w:t xml:space="preserve"> de santé communautaires au Burkina Faso. </w:t>
      </w:r>
      <w:r w:rsidRPr="00676DBE">
        <w:rPr>
          <w:lang w:val="fr-FR"/>
        </w:rPr>
        <w:t>A l’admission, l’âge moyen (</w:t>
      </w:r>
      <w:r w:rsidRPr="00676DBE">
        <w:rPr>
          <w:rFonts w:cs="Arial"/>
          <w:lang w:val="fr-FR"/>
        </w:rPr>
        <w:t>±</w:t>
      </w:r>
      <w:r w:rsidRPr="00676DBE">
        <w:rPr>
          <w:lang w:val="fr-FR"/>
        </w:rPr>
        <w:t>ET) était de 13.4 mois (</w:t>
      </w:r>
      <w:r w:rsidRPr="00676DBE">
        <w:rPr>
          <w:rFonts w:cs="Arial"/>
          <w:lang w:val="fr-FR"/>
        </w:rPr>
        <w:t>±</w:t>
      </w:r>
      <w:r w:rsidRPr="00676DBE">
        <w:rPr>
          <w:lang w:val="fr-FR"/>
        </w:rPr>
        <w:t>8.7),</w:t>
      </w:r>
      <w:r w:rsidR="00933B3A">
        <w:rPr>
          <w:lang w:val="fr-FR"/>
        </w:rPr>
        <w:t xml:space="preserve"> </w:t>
      </w:r>
      <w:r w:rsidRPr="00676DBE">
        <w:rPr>
          <w:lang w:val="fr-FR"/>
        </w:rPr>
        <w:t>49% étai</w:t>
      </w:r>
      <w:r>
        <w:rPr>
          <w:lang w:val="fr-FR"/>
        </w:rPr>
        <w:t>en</w:t>
      </w:r>
      <w:r w:rsidRPr="00676DBE">
        <w:rPr>
          <w:lang w:val="fr-FR"/>
        </w:rPr>
        <w:t xml:space="preserve">t </w:t>
      </w:r>
      <w:r w:rsidR="00933B3A">
        <w:rPr>
          <w:lang w:val="fr-FR"/>
        </w:rPr>
        <w:t>de sexe masculin</w:t>
      </w:r>
      <w:r w:rsidR="00933B3A" w:rsidRPr="00676DBE">
        <w:rPr>
          <w:lang w:val="fr-FR"/>
        </w:rPr>
        <w:t xml:space="preserve"> </w:t>
      </w:r>
      <w:r w:rsidRPr="00676DBE">
        <w:rPr>
          <w:lang w:val="fr-FR"/>
        </w:rPr>
        <w:t xml:space="preserve">et </w:t>
      </w:r>
      <w:r>
        <w:rPr>
          <w:lang w:val="fr-FR"/>
        </w:rPr>
        <w:t>le poids moyen éta</w:t>
      </w:r>
      <w:r w:rsidR="00933B3A">
        <w:rPr>
          <w:lang w:val="fr-FR"/>
        </w:rPr>
        <w:t>i</w:t>
      </w:r>
      <w:r>
        <w:rPr>
          <w:lang w:val="fr-FR"/>
        </w:rPr>
        <w:t xml:space="preserve">t de 6.2 kg </w:t>
      </w:r>
      <w:r w:rsidRPr="009C1CD7">
        <w:rPr>
          <w:lang w:val="fr-FR"/>
        </w:rPr>
        <w:t>(</w:t>
      </w:r>
      <w:r w:rsidRPr="009C1CD7">
        <w:rPr>
          <w:rFonts w:cs="Arial"/>
          <w:lang w:val="fr-FR"/>
        </w:rPr>
        <w:t>±</w:t>
      </w:r>
      <w:r w:rsidRPr="009C1CD7">
        <w:rPr>
          <w:lang w:val="fr-FR"/>
        </w:rPr>
        <w:t>1.3).</w:t>
      </w:r>
      <w:r>
        <w:rPr>
          <w:lang w:val="fr-FR"/>
        </w:rPr>
        <w:t xml:space="preserve"> La vélocité de gain de poids moyen</w:t>
      </w:r>
      <w:r w:rsidR="00933B3A">
        <w:rPr>
          <w:lang w:val="fr-FR"/>
        </w:rPr>
        <w:t>ne</w:t>
      </w:r>
      <w:r>
        <w:rPr>
          <w:lang w:val="fr-FR"/>
        </w:rPr>
        <w:t xml:space="preserve"> éta</w:t>
      </w:r>
      <w:r w:rsidR="00933B3A">
        <w:rPr>
          <w:lang w:val="fr-FR"/>
        </w:rPr>
        <w:t>i</w:t>
      </w:r>
      <w:r>
        <w:rPr>
          <w:lang w:val="fr-FR"/>
        </w:rPr>
        <w:t>t de 3.4 g/kg/j et n’était pas différent</w:t>
      </w:r>
      <w:r w:rsidR="00933B3A">
        <w:rPr>
          <w:lang w:val="fr-FR"/>
        </w:rPr>
        <w:t>e</w:t>
      </w:r>
      <w:r>
        <w:rPr>
          <w:lang w:val="fr-FR"/>
        </w:rPr>
        <w:t xml:space="preserve"> entre les bras d</w:t>
      </w:r>
      <w:r w:rsidR="00933B3A">
        <w:rPr>
          <w:lang w:val="fr-FR"/>
        </w:rPr>
        <w:t>e l</w:t>
      </w:r>
      <w:r>
        <w:rPr>
          <w:lang w:val="fr-FR"/>
        </w:rPr>
        <w:t>’étude (Δ 0.0 g/kg/</w:t>
      </w:r>
      <w:proofErr w:type="gramStart"/>
      <w:r>
        <w:rPr>
          <w:lang w:val="fr-FR"/>
        </w:rPr>
        <w:t>j</w:t>
      </w:r>
      <w:r w:rsidRPr="009C1CD7">
        <w:rPr>
          <w:lang w:val="fr-FR"/>
        </w:rPr>
        <w:t>;</w:t>
      </w:r>
      <w:proofErr w:type="gramEnd"/>
      <w:r w:rsidRPr="009C1CD7">
        <w:rPr>
          <w:lang w:val="fr-FR"/>
        </w:rPr>
        <w:t xml:space="preserve"> </w:t>
      </w:r>
      <w:r>
        <w:rPr>
          <w:lang w:val="fr-FR"/>
        </w:rPr>
        <w:t>CI</w:t>
      </w:r>
      <w:r w:rsidRPr="009C1CD7">
        <w:rPr>
          <w:lang w:val="fr-FR"/>
        </w:rPr>
        <w:t xml:space="preserve"> </w:t>
      </w:r>
      <w:r w:rsidR="007E6B84" w:rsidRPr="009C1CD7">
        <w:rPr>
          <w:lang w:val="fr-FR"/>
        </w:rPr>
        <w:t xml:space="preserve">95% </w:t>
      </w:r>
      <w:r w:rsidRPr="009C1CD7">
        <w:rPr>
          <w:lang w:val="fr-FR"/>
        </w:rPr>
        <w:t>-0.4, 0.4; p=0.92)</w:t>
      </w:r>
      <w:r w:rsidR="00914E7F">
        <w:rPr>
          <w:lang w:val="fr-FR"/>
        </w:rPr>
        <w:t xml:space="preserve"> confirmant la </w:t>
      </w:r>
      <w:r w:rsidR="00914E7F" w:rsidRPr="009C1CD7">
        <w:rPr>
          <w:lang w:val="fr-FR"/>
        </w:rPr>
        <w:t>non-infériori</w:t>
      </w:r>
      <w:r w:rsidR="00914E7F">
        <w:rPr>
          <w:lang w:val="fr-FR"/>
        </w:rPr>
        <w:t>té</w:t>
      </w:r>
      <w:r w:rsidR="00914E7F" w:rsidRPr="009C1CD7">
        <w:rPr>
          <w:lang w:val="fr-FR"/>
        </w:rPr>
        <w:t xml:space="preserve"> </w:t>
      </w:r>
      <w:r w:rsidR="00914E7F">
        <w:rPr>
          <w:lang w:val="fr-FR"/>
        </w:rPr>
        <w:t xml:space="preserve">(p=0.013). </w:t>
      </w:r>
      <w:r w:rsidR="00914E7F" w:rsidRPr="00914E7F">
        <w:rPr>
          <w:lang w:val="fr-FR"/>
        </w:rPr>
        <w:t>Cependant, après deux semaines la vélocité de gain de</w:t>
      </w:r>
      <w:r w:rsidR="00933B3A">
        <w:rPr>
          <w:lang w:val="fr-FR"/>
        </w:rPr>
        <w:t xml:space="preserve"> poids</w:t>
      </w:r>
      <w:r w:rsidR="00914E7F" w:rsidRPr="00914E7F">
        <w:rPr>
          <w:lang w:val="fr-FR"/>
        </w:rPr>
        <w:t xml:space="preserve"> était significativement plus faible avec la dose réduite avec une moyenne de 2.3</w:t>
      </w:r>
      <w:r w:rsidR="00914E7F">
        <w:rPr>
          <w:lang w:val="fr-FR"/>
        </w:rPr>
        <w:t xml:space="preserve"> </w:t>
      </w:r>
      <w:r w:rsidR="00914E7F" w:rsidRPr="00914E7F">
        <w:rPr>
          <w:lang w:val="fr-FR"/>
        </w:rPr>
        <w:t>g/kg</w:t>
      </w:r>
      <w:r w:rsidR="00914E7F">
        <w:rPr>
          <w:lang w:val="fr-FR"/>
        </w:rPr>
        <w:t>/j comparé</w:t>
      </w:r>
      <w:r w:rsidR="00933B3A">
        <w:rPr>
          <w:lang w:val="fr-FR"/>
        </w:rPr>
        <w:t>e</w:t>
      </w:r>
      <w:r w:rsidR="00914E7F">
        <w:rPr>
          <w:lang w:val="fr-FR"/>
        </w:rPr>
        <w:t xml:space="preserve"> à 2.7 g/kg/j avec la dose </w:t>
      </w:r>
      <w:r w:rsidR="00914E7F" w:rsidRPr="000A6FB9">
        <w:rPr>
          <w:lang w:val="fr-FR"/>
        </w:rPr>
        <w:t>standard</w:t>
      </w:r>
      <w:r w:rsidR="00F72BFA" w:rsidRPr="000A6FB9">
        <w:rPr>
          <w:lang w:val="fr-FR"/>
        </w:rPr>
        <w:t xml:space="preserve"> (</w:t>
      </w:r>
      <w:r w:rsidR="00F72BFA" w:rsidRPr="000A6FB9">
        <w:rPr>
          <w:rFonts w:cs="Arial"/>
          <w:lang w:val="fr-FR"/>
        </w:rPr>
        <w:t>Δ</w:t>
      </w:r>
      <w:r w:rsidR="00F72BFA" w:rsidRPr="000A6FB9">
        <w:rPr>
          <w:lang w:val="fr-FR"/>
        </w:rPr>
        <w:t xml:space="preserve"> -0.4 g/kg/</w:t>
      </w:r>
      <w:proofErr w:type="gramStart"/>
      <w:r w:rsidR="00F72BFA" w:rsidRPr="000A6FB9">
        <w:rPr>
          <w:lang w:val="fr-FR"/>
        </w:rPr>
        <w:t>d;</w:t>
      </w:r>
      <w:proofErr w:type="gramEnd"/>
      <w:r w:rsidR="00F72BFA" w:rsidRPr="000A6FB9">
        <w:rPr>
          <w:lang w:val="fr-FR"/>
        </w:rPr>
        <w:t xml:space="preserve"> CI </w:t>
      </w:r>
      <w:r w:rsidR="007E6B84" w:rsidRPr="000A6FB9">
        <w:rPr>
          <w:lang w:val="fr-FR"/>
        </w:rPr>
        <w:t xml:space="preserve">95% </w:t>
      </w:r>
      <w:r w:rsidR="00F72BFA" w:rsidRPr="000A6FB9">
        <w:rPr>
          <w:lang w:val="fr-FR"/>
        </w:rPr>
        <w:t>-0.8, -0.02; p=0.041).</w:t>
      </w:r>
    </w:p>
    <w:p w14:paraId="2EBB40C9" w14:textId="26B4C64F" w:rsidR="00F72BFA" w:rsidRDefault="00E57913" w:rsidP="00A47381">
      <w:pPr>
        <w:ind w:firstLine="708"/>
        <w:rPr>
          <w:lang w:val="fr-FR"/>
        </w:rPr>
      </w:pPr>
      <w:r>
        <w:rPr>
          <w:lang w:val="fr-FR"/>
        </w:rPr>
        <w:t xml:space="preserve">La durée de séjour n’était pas </w:t>
      </w:r>
      <w:r w:rsidR="007E6B84">
        <w:rPr>
          <w:lang w:val="fr-FR"/>
        </w:rPr>
        <w:t>différente</w:t>
      </w:r>
      <w:r>
        <w:rPr>
          <w:lang w:val="fr-FR"/>
        </w:rPr>
        <w:t xml:space="preserve"> (</w:t>
      </w:r>
      <w:r w:rsidR="00F72BFA" w:rsidRPr="009C1CD7">
        <w:rPr>
          <w:lang w:val="fr-FR"/>
        </w:rPr>
        <w:t>p=0.73)</w:t>
      </w:r>
      <w:r>
        <w:rPr>
          <w:lang w:val="fr-FR"/>
        </w:rPr>
        <w:t xml:space="preserve"> entre les groupes avec une médiane de </w:t>
      </w:r>
      <w:r w:rsidR="00F72BFA" w:rsidRPr="009C1CD7">
        <w:rPr>
          <w:lang w:val="fr-FR"/>
        </w:rPr>
        <w:t xml:space="preserve">56 </w:t>
      </w:r>
      <w:r>
        <w:rPr>
          <w:lang w:val="fr-FR"/>
        </w:rPr>
        <w:t xml:space="preserve">jours (EI </w:t>
      </w:r>
      <w:r w:rsidR="00F72BFA" w:rsidRPr="009C1CD7">
        <w:rPr>
          <w:lang w:val="fr-FR"/>
        </w:rPr>
        <w:t xml:space="preserve">35, 91) </w:t>
      </w:r>
      <w:r>
        <w:rPr>
          <w:lang w:val="fr-FR"/>
        </w:rPr>
        <w:t>dans les deux bras</w:t>
      </w:r>
      <w:r w:rsidR="00F72BFA" w:rsidRPr="009C1CD7">
        <w:rPr>
          <w:lang w:val="fr-FR"/>
        </w:rPr>
        <w:t xml:space="preserve">. </w:t>
      </w:r>
      <w:r w:rsidRPr="00E57913">
        <w:rPr>
          <w:lang w:val="fr-FR"/>
        </w:rPr>
        <w:t xml:space="preserve">Il n’y avait pas de différence entre la dose réduite et </w:t>
      </w:r>
      <w:r>
        <w:rPr>
          <w:lang w:val="fr-FR"/>
        </w:rPr>
        <w:t xml:space="preserve">la dose </w:t>
      </w:r>
      <w:r w:rsidRPr="00E57913">
        <w:rPr>
          <w:lang w:val="fr-FR"/>
        </w:rPr>
        <w:t xml:space="preserve">standard en termes de taux de guérison </w:t>
      </w:r>
      <w:r w:rsidR="00F72BFA" w:rsidRPr="00E57913">
        <w:rPr>
          <w:lang w:val="fr-FR"/>
        </w:rPr>
        <w:t xml:space="preserve">(52.7% </w:t>
      </w:r>
      <w:r>
        <w:rPr>
          <w:lang w:val="fr-FR"/>
        </w:rPr>
        <w:t>et</w:t>
      </w:r>
      <w:r w:rsidR="00F72BFA" w:rsidRPr="00E57913">
        <w:rPr>
          <w:lang w:val="fr-FR"/>
        </w:rPr>
        <w:t xml:space="preserve"> 55.4</w:t>
      </w:r>
      <w:proofErr w:type="gramStart"/>
      <w:r w:rsidR="00F72BFA" w:rsidRPr="00E57913">
        <w:rPr>
          <w:lang w:val="fr-FR"/>
        </w:rPr>
        <w:t>%;</w:t>
      </w:r>
      <w:proofErr w:type="gramEnd"/>
      <w:r w:rsidR="00F72BFA" w:rsidRPr="00E57913">
        <w:rPr>
          <w:lang w:val="fr-FR"/>
        </w:rPr>
        <w:t xml:space="preserve"> p=0.45), </w:t>
      </w:r>
      <w:r>
        <w:rPr>
          <w:lang w:val="fr-FR"/>
        </w:rPr>
        <w:t>taux de référencement</w:t>
      </w:r>
      <w:r w:rsidR="00F72BFA" w:rsidRPr="00E57913">
        <w:rPr>
          <w:lang w:val="fr-FR"/>
        </w:rPr>
        <w:t xml:space="preserve"> (19.2% </w:t>
      </w:r>
      <w:r>
        <w:rPr>
          <w:lang w:val="fr-FR"/>
        </w:rPr>
        <w:t>et</w:t>
      </w:r>
      <w:r w:rsidR="00F72BFA" w:rsidRPr="00E57913">
        <w:rPr>
          <w:lang w:val="fr-FR"/>
        </w:rPr>
        <w:t xml:space="preserve"> 20.1%; p=0.80), </w:t>
      </w:r>
      <w:r>
        <w:rPr>
          <w:lang w:val="fr-FR"/>
        </w:rPr>
        <w:t>taux d’abandon</w:t>
      </w:r>
      <w:r w:rsidR="00F72BFA" w:rsidRPr="00E57913">
        <w:rPr>
          <w:lang w:val="fr-FR"/>
        </w:rPr>
        <w:t xml:space="preserve"> (12.2% </w:t>
      </w:r>
      <w:r>
        <w:rPr>
          <w:lang w:val="fr-FR"/>
        </w:rPr>
        <w:t>et</w:t>
      </w:r>
      <w:r w:rsidR="00F72BFA" w:rsidRPr="00E57913">
        <w:rPr>
          <w:lang w:val="fr-FR"/>
        </w:rPr>
        <w:t xml:space="preserve"> 8.5%; p=0.088</w:t>
      </w:r>
      <w:r>
        <w:rPr>
          <w:lang w:val="fr-FR"/>
        </w:rPr>
        <w:t>), taux de non-réponse</w:t>
      </w:r>
      <w:r w:rsidR="00F72BFA" w:rsidRPr="00E57913">
        <w:rPr>
          <w:lang w:val="fr-FR"/>
        </w:rPr>
        <w:t xml:space="preserve"> (12.7% </w:t>
      </w:r>
      <w:r>
        <w:rPr>
          <w:lang w:val="fr-FR"/>
        </w:rPr>
        <w:t>et</w:t>
      </w:r>
      <w:r w:rsidR="00F72BFA" w:rsidRPr="00E57913">
        <w:rPr>
          <w:lang w:val="fr-FR"/>
        </w:rPr>
        <w:t xml:space="preserve"> 12.5%; p=0.95), </w:t>
      </w:r>
      <w:r>
        <w:rPr>
          <w:lang w:val="fr-FR"/>
        </w:rPr>
        <w:t>et</w:t>
      </w:r>
      <w:r w:rsidR="00F72BFA" w:rsidRPr="00E57913">
        <w:rPr>
          <w:lang w:val="fr-FR"/>
        </w:rPr>
        <w:t xml:space="preserve"> </w:t>
      </w:r>
      <w:r>
        <w:rPr>
          <w:lang w:val="fr-FR"/>
        </w:rPr>
        <w:t>rechute</w:t>
      </w:r>
      <w:r w:rsidR="00F72BFA" w:rsidRPr="00E57913">
        <w:rPr>
          <w:lang w:val="fr-FR"/>
        </w:rPr>
        <w:t xml:space="preserve"> (2.4% </w:t>
      </w:r>
      <w:r>
        <w:rPr>
          <w:lang w:val="fr-FR"/>
        </w:rPr>
        <w:t>et</w:t>
      </w:r>
      <w:r w:rsidR="00F72BFA" w:rsidRPr="00E57913">
        <w:rPr>
          <w:lang w:val="fr-FR"/>
        </w:rPr>
        <w:t xml:space="preserve"> 1.8%; p=0.69</w:t>
      </w:r>
      <w:r>
        <w:rPr>
          <w:lang w:val="fr-FR"/>
        </w:rPr>
        <w:t>)</w:t>
      </w:r>
      <w:r w:rsidR="00F72BFA" w:rsidRPr="00E57913">
        <w:rPr>
          <w:lang w:val="fr-FR"/>
        </w:rPr>
        <w:t>, respective</w:t>
      </w:r>
      <w:r>
        <w:rPr>
          <w:lang w:val="fr-FR"/>
        </w:rPr>
        <w:t>ment</w:t>
      </w:r>
      <w:r w:rsidR="00F72BFA" w:rsidRPr="00E57913">
        <w:rPr>
          <w:lang w:val="fr-FR"/>
        </w:rPr>
        <w:t>.</w:t>
      </w:r>
      <w:r>
        <w:rPr>
          <w:lang w:val="fr-FR"/>
        </w:rPr>
        <w:t xml:space="preserve"> </w:t>
      </w:r>
      <w:r w:rsidRPr="00A47381">
        <w:rPr>
          <w:lang w:val="fr-FR"/>
        </w:rPr>
        <w:t xml:space="preserve">Néanmoins, la dose réduite avait </w:t>
      </w:r>
      <w:r w:rsidR="007E6B84" w:rsidRPr="00A47381">
        <w:rPr>
          <w:lang w:val="fr-FR"/>
        </w:rPr>
        <w:t>un petit effet négatif</w:t>
      </w:r>
      <w:r w:rsidR="00A47381" w:rsidRPr="00A47381">
        <w:rPr>
          <w:lang w:val="fr-FR"/>
        </w:rPr>
        <w:t xml:space="preserve"> de 0.2 mm/s (</w:t>
      </w:r>
      <w:r w:rsidR="00A47381">
        <w:rPr>
          <w:lang w:val="fr-FR"/>
        </w:rPr>
        <w:t>IC</w:t>
      </w:r>
      <w:r w:rsidR="00A47381" w:rsidRPr="00A47381">
        <w:rPr>
          <w:lang w:val="fr-FR"/>
        </w:rPr>
        <w:t xml:space="preserve"> 95% 0.04, 0.4; p=0.015)</w:t>
      </w:r>
      <w:r w:rsidR="00A47381">
        <w:rPr>
          <w:lang w:val="fr-FR"/>
        </w:rPr>
        <w:t xml:space="preserve"> sur la vélocité de gain de taille avec une moyenne de 2.6 mm/s dans la dose réduite et 2.8 mm/s dans la dose standard. L’impact éta</w:t>
      </w:r>
      <w:r w:rsidR="00933B3A">
        <w:rPr>
          <w:lang w:val="fr-FR"/>
        </w:rPr>
        <w:t>i</w:t>
      </w:r>
      <w:r w:rsidR="00A47381">
        <w:rPr>
          <w:lang w:val="fr-FR"/>
        </w:rPr>
        <w:t xml:space="preserve">t plus prononcé chez </w:t>
      </w:r>
      <w:r w:rsidR="007E6B84">
        <w:rPr>
          <w:lang w:val="fr-FR"/>
        </w:rPr>
        <w:lastRenderedPageBreak/>
        <w:t>les enfants âgés</w:t>
      </w:r>
      <w:r w:rsidR="00A47381">
        <w:rPr>
          <w:lang w:val="fr-FR"/>
        </w:rPr>
        <w:t xml:space="preserve"> de &lt;12 mois </w:t>
      </w:r>
      <w:r w:rsidR="00A47381" w:rsidRPr="009C1CD7">
        <w:rPr>
          <w:lang w:val="fr-FR"/>
        </w:rPr>
        <w:t>(interaction, p=0.019)</w:t>
      </w:r>
      <w:r w:rsidR="00A47381">
        <w:rPr>
          <w:lang w:val="fr-FR"/>
        </w:rPr>
        <w:t xml:space="preserve"> qui gagnaient </w:t>
      </w:r>
      <w:r w:rsidR="00F72BFA" w:rsidRPr="009C1CD7">
        <w:rPr>
          <w:lang w:val="fr-FR"/>
        </w:rPr>
        <w:t xml:space="preserve">2.8 </w:t>
      </w:r>
      <w:r w:rsidR="00A47381">
        <w:rPr>
          <w:lang w:val="fr-FR"/>
        </w:rPr>
        <w:t xml:space="preserve">mm/s avec la dose réduite et </w:t>
      </w:r>
      <w:r w:rsidR="00F72BFA" w:rsidRPr="009C1CD7">
        <w:rPr>
          <w:lang w:val="fr-FR"/>
        </w:rPr>
        <w:t xml:space="preserve">3.1 </w:t>
      </w:r>
      <w:r w:rsidR="00A47381">
        <w:rPr>
          <w:lang w:val="fr-FR"/>
        </w:rPr>
        <w:t>mm/s avec la dose standard</w:t>
      </w:r>
      <w:r w:rsidR="00F72BFA" w:rsidRPr="009C1CD7">
        <w:rPr>
          <w:lang w:val="fr-FR"/>
        </w:rPr>
        <w:t xml:space="preserve"> (</w:t>
      </w:r>
      <w:r w:rsidR="00F72BFA" w:rsidRPr="009C1CD7">
        <w:rPr>
          <w:rFonts w:cs="Arial"/>
          <w:lang w:val="fr-FR"/>
        </w:rPr>
        <w:t>Δ</w:t>
      </w:r>
      <w:r w:rsidR="00F72BFA" w:rsidRPr="009C1CD7">
        <w:rPr>
          <w:lang w:val="fr-FR"/>
        </w:rPr>
        <w:t xml:space="preserve"> -0.4 mm/</w:t>
      </w:r>
      <w:proofErr w:type="gramStart"/>
      <w:r w:rsidR="00F72BFA" w:rsidRPr="009C1CD7">
        <w:rPr>
          <w:lang w:val="fr-FR"/>
        </w:rPr>
        <w:t>w;</w:t>
      </w:r>
      <w:proofErr w:type="gramEnd"/>
      <w:r w:rsidR="00F72BFA" w:rsidRPr="009C1CD7">
        <w:rPr>
          <w:lang w:val="fr-FR"/>
        </w:rPr>
        <w:t xml:space="preserve"> I</w:t>
      </w:r>
      <w:r w:rsidR="00A47381">
        <w:rPr>
          <w:lang w:val="fr-FR"/>
        </w:rPr>
        <w:t>C</w:t>
      </w:r>
      <w:r w:rsidR="00F72BFA" w:rsidRPr="009C1CD7">
        <w:rPr>
          <w:lang w:val="fr-FR"/>
        </w:rPr>
        <w:t xml:space="preserve"> </w:t>
      </w:r>
      <w:r w:rsidR="00A47381" w:rsidRPr="009C1CD7">
        <w:rPr>
          <w:lang w:val="fr-FR"/>
        </w:rPr>
        <w:t>95%</w:t>
      </w:r>
      <w:r w:rsidR="00A47381">
        <w:rPr>
          <w:lang w:val="fr-FR"/>
        </w:rPr>
        <w:t xml:space="preserve"> </w:t>
      </w:r>
      <w:r w:rsidR="00F72BFA" w:rsidRPr="009C1CD7">
        <w:rPr>
          <w:lang w:val="fr-FR"/>
        </w:rPr>
        <w:t xml:space="preserve">-0.6, -0.2; p&lt;0.001). </w:t>
      </w:r>
    </w:p>
    <w:p w14:paraId="49ECC207" w14:textId="7ABF8FC9" w:rsidR="007E6B84" w:rsidRPr="009C1CD7" w:rsidRDefault="007E6B84" w:rsidP="00A47381">
      <w:pPr>
        <w:ind w:firstLine="708"/>
        <w:rPr>
          <w:lang w:val="fr-FR"/>
        </w:rPr>
      </w:pPr>
      <w:r>
        <w:rPr>
          <w:lang w:val="fr-FR"/>
        </w:rPr>
        <w:t xml:space="preserve">Les limites incluent </w:t>
      </w:r>
      <w:r w:rsidR="00933B3A">
        <w:rPr>
          <w:lang w:val="fr-FR"/>
        </w:rPr>
        <w:t>le fait que</w:t>
      </w:r>
      <w:r>
        <w:rPr>
          <w:lang w:val="fr-FR"/>
        </w:rPr>
        <w:t xml:space="preserve"> </w:t>
      </w:r>
      <w:r w:rsidR="00933B3A">
        <w:rPr>
          <w:lang w:val="fr-FR"/>
        </w:rPr>
        <w:t xml:space="preserve">les </w:t>
      </w:r>
      <w:r>
        <w:rPr>
          <w:lang w:val="fr-FR"/>
        </w:rPr>
        <w:t xml:space="preserve">participants </w:t>
      </w:r>
      <w:r w:rsidR="00933B3A">
        <w:rPr>
          <w:lang w:val="fr-FR"/>
        </w:rPr>
        <w:t xml:space="preserve">n’étaient pas en aveugle vis-à-vis de </w:t>
      </w:r>
      <w:r>
        <w:rPr>
          <w:lang w:val="fr-FR"/>
        </w:rPr>
        <w:t>la dose d’ATPE reçu</w:t>
      </w:r>
      <w:r w:rsidR="00933B3A">
        <w:rPr>
          <w:lang w:val="fr-FR"/>
        </w:rPr>
        <w:t>e,</w:t>
      </w:r>
      <w:r>
        <w:rPr>
          <w:lang w:val="fr-FR"/>
        </w:rPr>
        <w:t xml:space="preserve"> et l’exclusion de tous les enfants avec un test d’appétit négatif. Les résultats sont généralisables à un contexte de sécurité alimentaire et a des populations de MAS jeunes. </w:t>
      </w:r>
    </w:p>
    <w:p w14:paraId="096C26C5" w14:textId="77777777" w:rsidR="00F72BFA" w:rsidRPr="009C1CD7" w:rsidRDefault="00F72BFA" w:rsidP="00F72BFA">
      <w:pPr>
        <w:pStyle w:val="Heading2"/>
        <w:rPr>
          <w:lang w:val="fr-FR"/>
        </w:rPr>
      </w:pPr>
      <w:r w:rsidRPr="009C1CD7">
        <w:rPr>
          <w:lang w:val="fr-FR"/>
        </w:rPr>
        <w:t>Conclusions</w:t>
      </w:r>
    </w:p>
    <w:p w14:paraId="79193DA6" w14:textId="2574BFE0" w:rsidR="007E6B84" w:rsidRDefault="007E6B84" w:rsidP="00F72BFA">
      <w:pPr>
        <w:rPr>
          <w:lang w:val="fr-FR"/>
        </w:rPr>
      </w:pPr>
      <w:r>
        <w:rPr>
          <w:lang w:val="fr-FR"/>
        </w:rPr>
        <w:t xml:space="preserve">La réduction de la dose d’ATPE </w:t>
      </w:r>
      <w:r w:rsidR="00695B87">
        <w:rPr>
          <w:lang w:val="fr-FR"/>
        </w:rPr>
        <w:t>chez</w:t>
      </w:r>
      <w:r w:rsidR="00933B3A">
        <w:rPr>
          <w:lang w:val="fr-FR"/>
        </w:rPr>
        <w:t xml:space="preserve"> les</w:t>
      </w:r>
      <w:r>
        <w:rPr>
          <w:lang w:val="fr-FR"/>
        </w:rPr>
        <w:t xml:space="preserve"> enfants MAS après 2 semaines de traitement n’a pas réduit la vélocité de gain de poids ou de PB ni impacté la guérison ou </w:t>
      </w:r>
      <w:r w:rsidR="006B4535">
        <w:rPr>
          <w:lang w:val="fr-FR"/>
        </w:rPr>
        <w:t>prolongé</w:t>
      </w:r>
      <w:r w:rsidR="00AD7D8B">
        <w:rPr>
          <w:lang w:val="fr-FR"/>
        </w:rPr>
        <w:t xml:space="preserve"> la durée de traitement. Cependant, </w:t>
      </w:r>
      <w:r w:rsidR="00933B3A">
        <w:rPr>
          <w:lang w:val="fr-FR"/>
        </w:rPr>
        <w:t xml:space="preserve">elle </w:t>
      </w:r>
      <w:r w:rsidR="00544F28">
        <w:rPr>
          <w:lang w:val="fr-FR"/>
        </w:rPr>
        <w:t xml:space="preserve">a eu un petit </w:t>
      </w:r>
      <w:r w:rsidR="006B4535">
        <w:rPr>
          <w:lang w:val="fr-FR"/>
        </w:rPr>
        <w:t>effet</w:t>
      </w:r>
      <w:r w:rsidR="00544F28">
        <w:rPr>
          <w:lang w:val="fr-FR"/>
        </w:rPr>
        <w:t xml:space="preserve"> </w:t>
      </w:r>
      <w:r w:rsidR="006B4535">
        <w:rPr>
          <w:lang w:val="fr-FR"/>
        </w:rPr>
        <w:t>négatif</w:t>
      </w:r>
      <w:r w:rsidR="00544F28">
        <w:rPr>
          <w:lang w:val="fr-FR"/>
        </w:rPr>
        <w:t xml:space="preserve"> significatif sur la croissance linéaire, surtout parmi les plus jeunes. L</w:t>
      </w:r>
      <w:r w:rsidR="006B4535">
        <w:rPr>
          <w:lang w:val="fr-FR"/>
        </w:rPr>
        <w:t>e</w:t>
      </w:r>
      <w:r w:rsidR="00933B3A">
        <w:rPr>
          <w:lang w:val="fr-FR"/>
        </w:rPr>
        <w:t>s</w:t>
      </w:r>
      <w:r w:rsidR="006B4535">
        <w:rPr>
          <w:lang w:val="fr-FR"/>
        </w:rPr>
        <w:t xml:space="preserve"> </w:t>
      </w:r>
      <w:r w:rsidR="00695B87">
        <w:rPr>
          <w:lang w:val="fr-FR"/>
        </w:rPr>
        <w:t xml:space="preserve">effets </w:t>
      </w:r>
      <w:r w:rsidR="006B4535">
        <w:rPr>
          <w:lang w:val="fr-FR"/>
        </w:rPr>
        <w:t>potentiel</w:t>
      </w:r>
      <w:r w:rsidR="00933B3A">
        <w:rPr>
          <w:lang w:val="fr-FR"/>
        </w:rPr>
        <w:t>s</w:t>
      </w:r>
      <w:r w:rsidR="006B4535">
        <w:rPr>
          <w:lang w:val="fr-FR"/>
        </w:rPr>
        <w:t xml:space="preserve"> de la réduction de la dose d’ATPE dans un programme de routine sur les résultats </w:t>
      </w:r>
      <w:r w:rsidR="00695B87">
        <w:rPr>
          <w:lang w:val="fr-FR"/>
        </w:rPr>
        <w:t>du traitement</w:t>
      </w:r>
      <w:r w:rsidR="006B4535">
        <w:rPr>
          <w:lang w:val="fr-FR"/>
        </w:rPr>
        <w:t xml:space="preserve"> devraient être investigués avant une mise à l’échelle. </w:t>
      </w:r>
    </w:p>
    <w:p w14:paraId="5776AFC9" w14:textId="4309F4FE" w:rsidR="00F72BFA" w:rsidRPr="009C1CD7" w:rsidRDefault="006B4535" w:rsidP="00F72BFA">
      <w:pPr>
        <w:pStyle w:val="Heading2"/>
        <w:rPr>
          <w:lang w:val="fr-FR"/>
        </w:rPr>
      </w:pPr>
      <w:r>
        <w:rPr>
          <w:lang w:val="fr-FR"/>
        </w:rPr>
        <w:t>R</w:t>
      </w:r>
      <w:r w:rsidRPr="009C1CD7">
        <w:rPr>
          <w:lang w:val="fr-FR"/>
        </w:rPr>
        <w:t xml:space="preserve">egistration </w:t>
      </w:r>
      <w:r>
        <w:rPr>
          <w:lang w:val="fr-FR"/>
        </w:rPr>
        <w:t>de l’essai</w:t>
      </w:r>
    </w:p>
    <w:p w14:paraId="7F42978B" w14:textId="719A7112" w:rsidR="00F72BFA" w:rsidRPr="009C1CD7" w:rsidRDefault="006B4535" w:rsidP="00F72BFA">
      <w:pPr>
        <w:rPr>
          <w:rStyle w:val="Hyperlink"/>
          <w:lang w:val="fr-FR"/>
        </w:rPr>
      </w:pPr>
      <w:r>
        <w:rPr>
          <w:lang w:val="fr-FR"/>
        </w:rPr>
        <w:t>R</w:t>
      </w:r>
      <w:r w:rsidRPr="009C1CD7">
        <w:rPr>
          <w:lang w:val="fr-FR"/>
        </w:rPr>
        <w:t>egistr</w:t>
      </w:r>
      <w:r>
        <w:rPr>
          <w:lang w:val="fr-FR"/>
        </w:rPr>
        <w:t>e</w:t>
      </w:r>
      <w:r w:rsidRPr="009C1CD7">
        <w:rPr>
          <w:lang w:val="fr-FR"/>
        </w:rPr>
        <w:t xml:space="preserve"> </w:t>
      </w:r>
      <w:r w:rsidR="00F72BFA" w:rsidRPr="009C1CD7">
        <w:rPr>
          <w:lang w:val="fr-FR"/>
        </w:rPr>
        <w:t xml:space="preserve">ISRCTN </w:t>
      </w:r>
      <w:r w:rsidR="00F72BFA" w:rsidRPr="009C1CD7">
        <w:rPr>
          <w:rStyle w:val="Hyperlink"/>
          <w:lang w:val="fr-FR"/>
        </w:rPr>
        <w:t>ISRCTN50039021</w:t>
      </w:r>
    </w:p>
    <w:p w14:paraId="38BCB46B" w14:textId="77777777" w:rsidR="0006362F" w:rsidRPr="009C1CD7" w:rsidRDefault="0006362F">
      <w:pPr>
        <w:rPr>
          <w:lang w:val="fr-FR"/>
        </w:rPr>
      </w:pPr>
    </w:p>
    <w:sectPr w:rsidR="0006362F" w:rsidRPr="009C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FA"/>
    <w:rsid w:val="0006362F"/>
    <w:rsid w:val="000A6FB9"/>
    <w:rsid w:val="001720A7"/>
    <w:rsid w:val="00474BEF"/>
    <w:rsid w:val="004A097C"/>
    <w:rsid w:val="00544F28"/>
    <w:rsid w:val="00676DBE"/>
    <w:rsid w:val="00695B87"/>
    <w:rsid w:val="006B4535"/>
    <w:rsid w:val="007E6B84"/>
    <w:rsid w:val="00914E7F"/>
    <w:rsid w:val="00933B3A"/>
    <w:rsid w:val="00995BD4"/>
    <w:rsid w:val="009C1CD7"/>
    <w:rsid w:val="00A2471B"/>
    <w:rsid w:val="00A47381"/>
    <w:rsid w:val="00AD7D8B"/>
    <w:rsid w:val="00BA27DA"/>
    <w:rsid w:val="00CF69F4"/>
    <w:rsid w:val="00E57913"/>
    <w:rsid w:val="00E66B67"/>
    <w:rsid w:val="00F17891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062A"/>
  <w15:chartTrackingRefBased/>
  <w15:docId w15:val="{5C7852B7-A9DF-4D04-80E3-2E49C44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FA"/>
    <w:pPr>
      <w:spacing w:after="120" w:line="480" w:lineRule="auto"/>
      <w:jc w:val="both"/>
    </w:pPr>
    <w:rPr>
      <w:rFonts w:ascii="Arial" w:eastAsia="Calibri" w:hAnsi="Arial" w:cs="Calibri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2BFA"/>
    <w:pPr>
      <w:spacing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72BFA"/>
    <w:pPr>
      <w:spacing w:before="4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2BFA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72BFA"/>
    <w:rPr>
      <w:rFonts w:ascii="Calibri Light" w:eastAsia="Times New Roman" w:hAnsi="Calibri Light" w:cs="Times New Roman"/>
      <w:color w:val="2E74B5"/>
      <w:sz w:val="26"/>
      <w:szCs w:val="26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rsid w:val="00F72BFA"/>
    <w:rPr>
      <w:sz w:val="16"/>
    </w:rPr>
  </w:style>
  <w:style w:type="character" w:styleId="Hyperlink">
    <w:name w:val="Hyperlink"/>
    <w:basedOn w:val="DefaultParagraphFont"/>
    <w:rsid w:val="00F72BF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B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B84"/>
    <w:rPr>
      <w:rFonts w:ascii="Arial" w:eastAsia="Calibri" w:hAnsi="Arial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B84"/>
    <w:rPr>
      <w:rFonts w:ascii="Arial" w:eastAsia="Calibri" w:hAnsi="Arial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8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Kangas</dc:creator>
  <cp:keywords/>
  <dc:description/>
  <cp:lastModifiedBy>Vitaliya Usova</cp:lastModifiedBy>
  <cp:revision>2</cp:revision>
  <dcterms:created xsi:type="dcterms:W3CDTF">2019-07-23T14:26:00Z</dcterms:created>
  <dcterms:modified xsi:type="dcterms:W3CDTF">2019-07-23T14:26:00Z</dcterms:modified>
</cp:coreProperties>
</file>