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CA26" w14:textId="77777777" w:rsidR="00F042C3" w:rsidRPr="00006D41" w:rsidRDefault="00F042C3" w:rsidP="00F042C3">
      <w:pPr>
        <w:pStyle w:val="Lgende"/>
        <w:keepNext/>
        <w:rPr>
          <w:sz w:val="20"/>
        </w:rPr>
      </w:pPr>
      <w:bookmarkStart w:id="0" w:name="_GoBack"/>
      <w:bookmarkEnd w:id="0"/>
      <w:r w:rsidRPr="00006D41">
        <w:rPr>
          <w:sz w:val="20"/>
        </w:rPr>
        <w:t>S</w:t>
      </w:r>
      <w:r w:rsidRPr="00006D41">
        <w:rPr>
          <w:sz w:val="20"/>
        </w:rPr>
        <w:fldChar w:fldCharType="begin"/>
      </w:r>
      <w:r w:rsidRPr="00006D41">
        <w:rPr>
          <w:sz w:val="20"/>
        </w:rPr>
        <w:instrText xml:space="preserve"> SEQ S \* ARABIC </w:instrText>
      </w:r>
      <w:r w:rsidRPr="00006D41">
        <w:rPr>
          <w:sz w:val="20"/>
        </w:rPr>
        <w:fldChar w:fldCharType="separate"/>
      </w:r>
      <w:r w:rsidRPr="00006D41">
        <w:rPr>
          <w:noProof/>
          <w:sz w:val="20"/>
        </w:rPr>
        <w:t>1</w:t>
      </w:r>
      <w:r w:rsidRPr="00006D41">
        <w:rPr>
          <w:sz w:val="20"/>
        </w:rPr>
        <w:fldChar w:fldCharType="end"/>
      </w:r>
      <w:r w:rsidRPr="00006D41">
        <w:rPr>
          <w:sz w:val="20"/>
        </w:rPr>
        <w:t xml:space="preserve"> Table</w:t>
      </w:r>
      <w:r w:rsidR="00641ADA">
        <w:rPr>
          <w:sz w:val="20"/>
        </w:rPr>
        <w:t>:</w:t>
      </w:r>
      <w:r w:rsidRPr="00006D41">
        <w:rPr>
          <w:sz w:val="20"/>
        </w:rPr>
        <w:t xml:space="preserve"> </w:t>
      </w:r>
      <w:r w:rsidR="0027454A" w:rsidRPr="004020DB">
        <w:rPr>
          <w:sz w:val="20"/>
        </w:rPr>
        <w:t xml:space="preserve">Weight </w:t>
      </w:r>
      <w:r w:rsidR="005973FF" w:rsidRPr="004020DB">
        <w:rPr>
          <w:sz w:val="20"/>
        </w:rPr>
        <w:t xml:space="preserve">and MUAC </w:t>
      </w:r>
      <w:r w:rsidR="0027454A" w:rsidRPr="004020DB">
        <w:rPr>
          <w:sz w:val="20"/>
        </w:rPr>
        <w:t>gain velocity of children with SAM randomised to reduced or standard RUTF dose and difference when adjusted for sex, age, admission measure of weight, MUAC, WHZ and height, month of admission, length of stay and wealth index.</w:t>
      </w:r>
      <w:r w:rsidR="0027454A" w:rsidRPr="00DC2C6B">
        <w:t xml:space="preserve"> </w:t>
      </w:r>
      <w:r w:rsidR="0027454A">
        <w:t xml:space="preserve"> </w:t>
      </w:r>
    </w:p>
    <w:tbl>
      <w:tblPr>
        <w:tblW w:w="9634" w:type="dxa"/>
        <w:jc w:val="center"/>
        <w:tblLook w:val="00A0" w:firstRow="1" w:lastRow="0" w:firstColumn="1" w:lastColumn="0" w:noHBand="0" w:noVBand="0"/>
      </w:tblPr>
      <w:tblGrid>
        <w:gridCol w:w="3240"/>
        <w:gridCol w:w="695"/>
        <w:gridCol w:w="1254"/>
        <w:gridCol w:w="1262"/>
        <w:gridCol w:w="2278"/>
        <w:gridCol w:w="905"/>
      </w:tblGrid>
      <w:tr w:rsidR="00D23843" w:rsidRPr="00DC2C6B" w14:paraId="26F68146" w14:textId="77777777" w:rsidTr="00F042C3">
        <w:trPr>
          <w:jc w:val="center"/>
        </w:trPr>
        <w:tc>
          <w:tcPr>
            <w:tcW w:w="3240" w:type="dxa"/>
          </w:tcPr>
          <w:p w14:paraId="3C03C170" w14:textId="77777777" w:rsidR="00D23843" w:rsidRPr="00232032" w:rsidRDefault="00232032" w:rsidP="00DE53C2">
            <w:pPr>
              <w:spacing w:line="240" w:lineRule="auto"/>
              <w:rPr>
                <w:b/>
              </w:rPr>
            </w:pPr>
            <w:r w:rsidRPr="00232032">
              <w:rPr>
                <w:b/>
              </w:rPr>
              <w:t>Outcome</w:t>
            </w:r>
          </w:p>
        </w:tc>
        <w:tc>
          <w:tcPr>
            <w:tcW w:w="695" w:type="dxa"/>
          </w:tcPr>
          <w:p w14:paraId="7720B0EA" w14:textId="77777777" w:rsidR="00D23843" w:rsidRPr="00DC2C6B" w:rsidRDefault="00D23843" w:rsidP="00DE53C2">
            <w:pPr>
              <w:spacing w:line="240" w:lineRule="auto"/>
              <w:jc w:val="center"/>
            </w:pPr>
            <w:r w:rsidRPr="00DC2C6B">
              <w:t>n</w:t>
            </w:r>
          </w:p>
        </w:tc>
        <w:tc>
          <w:tcPr>
            <w:tcW w:w="1254" w:type="dxa"/>
          </w:tcPr>
          <w:p w14:paraId="3C2FE8EF" w14:textId="77777777" w:rsidR="00D23843" w:rsidRPr="00DC2C6B" w:rsidRDefault="00D23843" w:rsidP="00DE53C2">
            <w:pPr>
              <w:spacing w:line="240" w:lineRule="auto"/>
              <w:jc w:val="center"/>
            </w:pPr>
            <w:r>
              <w:t>Reduced</w:t>
            </w:r>
          </w:p>
          <w:p w14:paraId="1507F045" w14:textId="77777777" w:rsidR="00D23843" w:rsidRPr="00DC2C6B" w:rsidRDefault="00D23843" w:rsidP="00DE53C2">
            <w:pPr>
              <w:spacing w:line="240" w:lineRule="auto"/>
              <w:jc w:val="center"/>
            </w:pPr>
            <w:r w:rsidRPr="00DC2C6B">
              <w:t>RUTF</w:t>
            </w:r>
          </w:p>
        </w:tc>
        <w:tc>
          <w:tcPr>
            <w:tcW w:w="1262" w:type="dxa"/>
          </w:tcPr>
          <w:p w14:paraId="6C993991" w14:textId="77777777" w:rsidR="00D23843" w:rsidRPr="00DC2C6B" w:rsidRDefault="00D23843" w:rsidP="00DE53C2">
            <w:pPr>
              <w:spacing w:line="240" w:lineRule="auto"/>
              <w:jc w:val="center"/>
            </w:pPr>
            <w:r w:rsidRPr="00DC2C6B">
              <w:t>Standard RUTF</w:t>
            </w:r>
          </w:p>
        </w:tc>
        <w:tc>
          <w:tcPr>
            <w:tcW w:w="2278" w:type="dxa"/>
          </w:tcPr>
          <w:p w14:paraId="4D4259D9" w14:textId="77777777" w:rsidR="00D23843" w:rsidRDefault="00D23843" w:rsidP="00DE53C2">
            <w:pPr>
              <w:spacing w:line="240" w:lineRule="auto"/>
              <w:jc w:val="center"/>
            </w:pPr>
            <w:r w:rsidRPr="00DC2C6B">
              <w:t>Difference</w:t>
            </w:r>
          </w:p>
          <w:p w14:paraId="057DC283" w14:textId="77777777" w:rsidR="005973FF" w:rsidRPr="00DC2C6B" w:rsidRDefault="005973FF" w:rsidP="00DE53C2">
            <w:pPr>
              <w:spacing w:line="240" w:lineRule="auto"/>
              <w:jc w:val="center"/>
            </w:pPr>
            <w:r>
              <w:t>(95% CI)</w:t>
            </w:r>
          </w:p>
        </w:tc>
        <w:tc>
          <w:tcPr>
            <w:tcW w:w="905" w:type="dxa"/>
          </w:tcPr>
          <w:p w14:paraId="449BC58D" w14:textId="77777777" w:rsidR="00D23843" w:rsidRPr="00DC2C6B" w:rsidRDefault="00D23843" w:rsidP="00DE53C2">
            <w:pPr>
              <w:spacing w:line="240" w:lineRule="auto"/>
              <w:jc w:val="center"/>
            </w:pPr>
            <w:r w:rsidRPr="00DC2C6B">
              <w:rPr>
                <w:i/>
              </w:rPr>
              <w:t>p</w:t>
            </w:r>
            <w:r w:rsidRPr="00DC2C6B">
              <w:t xml:space="preserve"> value</w:t>
            </w:r>
          </w:p>
        </w:tc>
      </w:tr>
      <w:tr w:rsidR="00D23843" w:rsidRPr="00DC2C6B" w14:paraId="3B24C52E" w14:textId="77777777" w:rsidTr="00F042C3">
        <w:trPr>
          <w:jc w:val="center"/>
        </w:trPr>
        <w:tc>
          <w:tcPr>
            <w:tcW w:w="9634" w:type="dxa"/>
            <w:gridSpan w:val="6"/>
            <w:tcBorders>
              <w:bottom w:val="single" w:sz="4" w:space="0" w:color="auto"/>
            </w:tcBorders>
          </w:tcPr>
          <w:p w14:paraId="59CA261B" w14:textId="77777777" w:rsidR="00D23843" w:rsidRPr="00DC2C6B" w:rsidRDefault="00D23843" w:rsidP="00DE53C2">
            <w:pPr>
              <w:spacing w:line="240" w:lineRule="auto"/>
            </w:pPr>
            <w:r>
              <w:rPr>
                <w:b/>
              </w:rPr>
              <w:t>ADMISSION TO DISCHARGE</w:t>
            </w:r>
          </w:p>
        </w:tc>
      </w:tr>
      <w:tr w:rsidR="00D23843" w:rsidRPr="00DC2C6B" w14:paraId="134FD470" w14:textId="77777777" w:rsidTr="00F042C3">
        <w:trPr>
          <w:jc w:val="center"/>
        </w:trPr>
        <w:tc>
          <w:tcPr>
            <w:tcW w:w="3240" w:type="dxa"/>
            <w:tcBorders>
              <w:top w:val="single" w:sz="4" w:space="0" w:color="auto"/>
            </w:tcBorders>
          </w:tcPr>
          <w:p w14:paraId="0CAD5AB8" w14:textId="77777777" w:rsidR="00D23843" w:rsidRPr="00DC2C6B" w:rsidRDefault="00D23843" w:rsidP="00DE53C2">
            <w:pPr>
              <w:spacing w:line="240" w:lineRule="auto"/>
              <w:jc w:val="left"/>
              <w:rPr>
                <w:b/>
              </w:rPr>
            </w:pPr>
            <w:r>
              <w:rPr>
                <w:b/>
              </w:rPr>
              <w:t>Weight gain velocity (g/kg/d)</w:t>
            </w:r>
          </w:p>
        </w:tc>
        <w:tc>
          <w:tcPr>
            <w:tcW w:w="695" w:type="dxa"/>
            <w:tcBorders>
              <w:top w:val="single" w:sz="4" w:space="0" w:color="auto"/>
            </w:tcBorders>
          </w:tcPr>
          <w:p w14:paraId="717DF29F" w14:textId="77777777" w:rsidR="00D23843" w:rsidRPr="00DC2C6B" w:rsidRDefault="00D23843" w:rsidP="00DE53C2">
            <w:pPr>
              <w:spacing w:line="240" w:lineRule="auto"/>
            </w:pPr>
          </w:p>
        </w:tc>
        <w:tc>
          <w:tcPr>
            <w:tcW w:w="1254" w:type="dxa"/>
            <w:tcBorders>
              <w:top w:val="single" w:sz="4" w:space="0" w:color="auto"/>
            </w:tcBorders>
          </w:tcPr>
          <w:p w14:paraId="07D1BD4B" w14:textId="77777777" w:rsidR="00D23843" w:rsidRPr="00DC2C6B" w:rsidRDefault="00D23843" w:rsidP="00DE53C2">
            <w:pPr>
              <w:spacing w:line="240" w:lineRule="auto"/>
            </w:pPr>
          </w:p>
        </w:tc>
        <w:tc>
          <w:tcPr>
            <w:tcW w:w="1262" w:type="dxa"/>
            <w:tcBorders>
              <w:top w:val="single" w:sz="4" w:space="0" w:color="auto"/>
            </w:tcBorders>
          </w:tcPr>
          <w:p w14:paraId="14579FB8" w14:textId="77777777" w:rsidR="00D23843" w:rsidRPr="00DC2C6B" w:rsidRDefault="00D23843" w:rsidP="00DE53C2">
            <w:pPr>
              <w:spacing w:line="240" w:lineRule="auto"/>
            </w:pPr>
          </w:p>
        </w:tc>
        <w:tc>
          <w:tcPr>
            <w:tcW w:w="2278" w:type="dxa"/>
            <w:tcBorders>
              <w:top w:val="single" w:sz="4" w:space="0" w:color="auto"/>
            </w:tcBorders>
          </w:tcPr>
          <w:p w14:paraId="00971589" w14:textId="77777777" w:rsidR="00D23843" w:rsidRPr="00DC2C6B" w:rsidRDefault="00D23843" w:rsidP="00DE53C2">
            <w:pPr>
              <w:spacing w:line="240" w:lineRule="auto"/>
            </w:pPr>
          </w:p>
        </w:tc>
        <w:tc>
          <w:tcPr>
            <w:tcW w:w="905" w:type="dxa"/>
            <w:tcBorders>
              <w:top w:val="single" w:sz="4" w:space="0" w:color="auto"/>
            </w:tcBorders>
          </w:tcPr>
          <w:p w14:paraId="3F21EB62" w14:textId="77777777" w:rsidR="00D23843" w:rsidRPr="00DC2C6B" w:rsidRDefault="00D23843" w:rsidP="00DE53C2">
            <w:pPr>
              <w:spacing w:line="240" w:lineRule="auto"/>
            </w:pPr>
          </w:p>
        </w:tc>
      </w:tr>
      <w:tr w:rsidR="006F224D" w:rsidRPr="00DC2C6B" w14:paraId="12F725F0" w14:textId="77777777" w:rsidTr="00F042C3">
        <w:trPr>
          <w:jc w:val="center"/>
        </w:trPr>
        <w:tc>
          <w:tcPr>
            <w:tcW w:w="3240" w:type="dxa"/>
          </w:tcPr>
          <w:p w14:paraId="789596B7" w14:textId="77777777" w:rsidR="006F224D" w:rsidRPr="00DC2C6B" w:rsidRDefault="006F224D" w:rsidP="006F224D">
            <w:pPr>
              <w:spacing w:line="240" w:lineRule="auto"/>
              <w:rPr>
                <w:b/>
              </w:rPr>
            </w:pPr>
            <w:r w:rsidRPr="00DC2C6B">
              <w:t xml:space="preserve">Intention to treat </w:t>
            </w:r>
          </w:p>
        </w:tc>
        <w:tc>
          <w:tcPr>
            <w:tcW w:w="695" w:type="dxa"/>
          </w:tcPr>
          <w:p w14:paraId="1DC3D601" w14:textId="77777777" w:rsidR="006F224D" w:rsidRPr="00DC2C6B" w:rsidRDefault="006F224D" w:rsidP="006F224D">
            <w:pPr>
              <w:spacing w:line="240" w:lineRule="auto"/>
              <w:jc w:val="center"/>
              <w:rPr>
                <w:b/>
              </w:rPr>
            </w:pPr>
            <w:r w:rsidRPr="00DC2C6B">
              <w:t>785</w:t>
            </w:r>
          </w:p>
        </w:tc>
        <w:tc>
          <w:tcPr>
            <w:tcW w:w="1254" w:type="dxa"/>
          </w:tcPr>
          <w:p w14:paraId="7CF5B103" w14:textId="77777777" w:rsidR="006F224D" w:rsidRPr="00DC2C6B" w:rsidRDefault="006F224D" w:rsidP="006F224D">
            <w:pPr>
              <w:spacing w:line="240" w:lineRule="auto"/>
              <w:jc w:val="center"/>
              <w:rPr>
                <w:b/>
              </w:rPr>
            </w:pPr>
            <w:r w:rsidRPr="00DC2C6B">
              <w:t>3.4 ± 3.1</w:t>
            </w:r>
          </w:p>
        </w:tc>
        <w:tc>
          <w:tcPr>
            <w:tcW w:w="1262" w:type="dxa"/>
          </w:tcPr>
          <w:p w14:paraId="7894B952" w14:textId="77777777" w:rsidR="006F224D" w:rsidRPr="00DC2C6B" w:rsidRDefault="006F224D" w:rsidP="006F224D">
            <w:pPr>
              <w:spacing w:line="240" w:lineRule="auto"/>
              <w:jc w:val="center"/>
              <w:rPr>
                <w:b/>
              </w:rPr>
            </w:pPr>
            <w:r w:rsidRPr="00DC2C6B">
              <w:t>3.4 ± 3.1</w:t>
            </w:r>
          </w:p>
        </w:tc>
        <w:tc>
          <w:tcPr>
            <w:tcW w:w="2278" w:type="dxa"/>
          </w:tcPr>
          <w:p w14:paraId="7C967B17" w14:textId="77777777" w:rsidR="006F224D" w:rsidRDefault="006F224D" w:rsidP="006F224D">
            <w:pPr>
              <w:spacing w:line="240" w:lineRule="auto"/>
              <w:jc w:val="center"/>
            </w:pPr>
            <w:r w:rsidRPr="00A2501E">
              <w:t>-</w:t>
            </w:r>
            <w:r>
              <w:t>0</w:t>
            </w:r>
            <w:r w:rsidRPr="00A2501E">
              <w:t>.02</w:t>
            </w:r>
            <w:r>
              <w:t xml:space="preserve"> (-0.4; 0.4)</w:t>
            </w:r>
          </w:p>
        </w:tc>
        <w:tc>
          <w:tcPr>
            <w:tcW w:w="905" w:type="dxa"/>
          </w:tcPr>
          <w:p w14:paraId="33FD2EBF" w14:textId="4F6C7BC5" w:rsidR="006F224D" w:rsidRDefault="006F224D" w:rsidP="005F2235">
            <w:pPr>
              <w:spacing w:line="240" w:lineRule="auto"/>
              <w:jc w:val="center"/>
            </w:pPr>
            <w:r>
              <w:t>0.9</w:t>
            </w:r>
            <w:r w:rsidR="005F2235">
              <w:t>3</w:t>
            </w:r>
          </w:p>
        </w:tc>
      </w:tr>
      <w:tr w:rsidR="006F224D" w:rsidRPr="00DC2C6B" w14:paraId="3B3230B3" w14:textId="77777777" w:rsidTr="00F042C3">
        <w:trPr>
          <w:jc w:val="center"/>
        </w:trPr>
        <w:tc>
          <w:tcPr>
            <w:tcW w:w="3240" w:type="dxa"/>
          </w:tcPr>
          <w:p w14:paraId="2E7725C8" w14:textId="77777777" w:rsidR="006F224D" w:rsidRPr="00DC2C6B" w:rsidRDefault="006F224D" w:rsidP="006F224D">
            <w:pPr>
              <w:spacing w:line="240" w:lineRule="auto"/>
            </w:pPr>
            <w:r w:rsidRPr="00DC2C6B">
              <w:t>Per protocol</w:t>
            </w:r>
            <w:r w:rsidRPr="007D679B">
              <w:rPr>
                <w:vertAlign w:val="superscript"/>
              </w:rPr>
              <w:t>1</w:t>
            </w:r>
            <w:r w:rsidRPr="00DC2C6B">
              <w:t xml:space="preserve"> </w:t>
            </w:r>
          </w:p>
        </w:tc>
        <w:tc>
          <w:tcPr>
            <w:tcW w:w="695" w:type="dxa"/>
          </w:tcPr>
          <w:p w14:paraId="2BF128F9" w14:textId="77777777" w:rsidR="006F224D" w:rsidRPr="00DC2C6B" w:rsidRDefault="006F224D" w:rsidP="006F224D">
            <w:pPr>
              <w:spacing w:line="240" w:lineRule="auto"/>
              <w:jc w:val="center"/>
            </w:pPr>
            <w:r>
              <w:t>423</w:t>
            </w:r>
          </w:p>
        </w:tc>
        <w:tc>
          <w:tcPr>
            <w:tcW w:w="1254" w:type="dxa"/>
          </w:tcPr>
          <w:p w14:paraId="5DBD9E97" w14:textId="77777777" w:rsidR="006F224D" w:rsidRPr="00DC2C6B" w:rsidRDefault="006F224D" w:rsidP="006F224D">
            <w:pPr>
              <w:spacing w:line="240" w:lineRule="auto"/>
              <w:jc w:val="center"/>
            </w:pPr>
            <w:r>
              <w:t>4.3 ± 3.4</w:t>
            </w:r>
          </w:p>
        </w:tc>
        <w:tc>
          <w:tcPr>
            <w:tcW w:w="1262" w:type="dxa"/>
          </w:tcPr>
          <w:p w14:paraId="4E79E14B" w14:textId="77777777" w:rsidR="006F224D" w:rsidRPr="00DC2C6B" w:rsidRDefault="006F224D" w:rsidP="006F224D">
            <w:pPr>
              <w:spacing w:line="240" w:lineRule="auto"/>
              <w:jc w:val="center"/>
            </w:pPr>
            <w:r>
              <w:t>4.1 ± 3.6</w:t>
            </w:r>
          </w:p>
        </w:tc>
        <w:tc>
          <w:tcPr>
            <w:tcW w:w="2278" w:type="dxa"/>
          </w:tcPr>
          <w:p w14:paraId="34C4DD4D" w14:textId="77777777" w:rsidR="006F224D" w:rsidRDefault="006F224D" w:rsidP="006F224D">
            <w:pPr>
              <w:spacing w:line="240" w:lineRule="auto"/>
              <w:jc w:val="center"/>
            </w:pPr>
            <w:r>
              <w:t>0.1 (-0.5; 0.7)</w:t>
            </w:r>
          </w:p>
        </w:tc>
        <w:tc>
          <w:tcPr>
            <w:tcW w:w="905" w:type="dxa"/>
          </w:tcPr>
          <w:p w14:paraId="7F6AB1C1" w14:textId="0F9A53CC" w:rsidR="006F224D" w:rsidRDefault="006F224D" w:rsidP="005F2235">
            <w:pPr>
              <w:spacing w:line="240" w:lineRule="auto"/>
              <w:jc w:val="center"/>
            </w:pPr>
            <w:r>
              <w:t>0.7</w:t>
            </w:r>
            <w:r w:rsidR="005F2235">
              <w:t>6</w:t>
            </w:r>
          </w:p>
        </w:tc>
      </w:tr>
      <w:tr w:rsidR="006F224D" w:rsidRPr="00DC2C6B" w14:paraId="1E3431E5" w14:textId="77777777" w:rsidTr="00F042C3">
        <w:trPr>
          <w:jc w:val="center"/>
        </w:trPr>
        <w:tc>
          <w:tcPr>
            <w:tcW w:w="3240" w:type="dxa"/>
          </w:tcPr>
          <w:p w14:paraId="0F8318F9" w14:textId="77777777" w:rsidR="006F224D" w:rsidRPr="00DC2C6B" w:rsidRDefault="006F224D" w:rsidP="006F224D">
            <w:pPr>
              <w:spacing w:line="240" w:lineRule="auto"/>
            </w:pPr>
            <w:r w:rsidRPr="00DC2C6B">
              <w:t>Recovered only</w:t>
            </w:r>
          </w:p>
        </w:tc>
        <w:tc>
          <w:tcPr>
            <w:tcW w:w="695" w:type="dxa"/>
          </w:tcPr>
          <w:p w14:paraId="3361C90C" w14:textId="77777777" w:rsidR="006F224D" w:rsidRPr="00DC2C6B" w:rsidRDefault="006F224D" w:rsidP="006F224D">
            <w:pPr>
              <w:spacing w:line="240" w:lineRule="auto"/>
              <w:jc w:val="center"/>
            </w:pPr>
            <w:r w:rsidRPr="00DC2C6B">
              <w:t>433</w:t>
            </w:r>
          </w:p>
        </w:tc>
        <w:tc>
          <w:tcPr>
            <w:tcW w:w="1254" w:type="dxa"/>
          </w:tcPr>
          <w:p w14:paraId="496A9ADD" w14:textId="77777777" w:rsidR="006F224D" w:rsidRPr="00DC2C6B" w:rsidRDefault="006F224D" w:rsidP="006F224D">
            <w:pPr>
              <w:spacing w:line="240" w:lineRule="auto"/>
              <w:jc w:val="center"/>
            </w:pPr>
            <w:r w:rsidRPr="00DC2C6B">
              <w:t>4.9 ± 2.6</w:t>
            </w:r>
          </w:p>
        </w:tc>
        <w:tc>
          <w:tcPr>
            <w:tcW w:w="1262" w:type="dxa"/>
          </w:tcPr>
          <w:p w14:paraId="19C3F165" w14:textId="77777777" w:rsidR="006F224D" w:rsidRPr="00DC2C6B" w:rsidRDefault="006F224D" w:rsidP="006F224D">
            <w:pPr>
              <w:spacing w:line="240" w:lineRule="auto"/>
              <w:jc w:val="center"/>
            </w:pPr>
            <w:r w:rsidRPr="00DC2C6B">
              <w:t>4.9 ± 2.5</w:t>
            </w:r>
          </w:p>
        </w:tc>
        <w:tc>
          <w:tcPr>
            <w:tcW w:w="2278" w:type="dxa"/>
          </w:tcPr>
          <w:p w14:paraId="0D1072C1" w14:textId="77777777" w:rsidR="006F224D" w:rsidRDefault="006F224D" w:rsidP="00AF0198">
            <w:pPr>
              <w:spacing w:line="240" w:lineRule="auto"/>
              <w:jc w:val="center"/>
            </w:pPr>
            <w:r>
              <w:t>0.01 (-0.</w:t>
            </w:r>
            <w:r w:rsidR="00AF0198">
              <w:t>3</w:t>
            </w:r>
            <w:r>
              <w:t>; 0.3)</w:t>
            </w:r>
          </w:p>
        </w:tc>
        <w:tc>
          <w:tcPr>
            <w:tcW w:w="905" w:type="dxa"/>
          </w:tcPr>
          <w:p w14:paraId="4B0F1F65" w14:textId="264190A9" w:rsidR="006F224D" w:rsidRDefault="005F2235" w:rsidP="005F2235">
            <w:pPr>
              <w:spacing w:line="240" w:lineRule="auto"/>
              <w:jc w:val="center"/>
            </w:pPr>
            <w:r>
              <w:t>0.97</w:t>
            </w:r>
          </w:p>
        </w:tc>
      </w:tr>
      <w:tr w:rsidR="006F224D" w:rsidRPr="00DC2C6B" w14:paraId="22AF6BA2" w14:textId="77777777" w:rsidTr="00F042C3">
        <w:trPr>
          <w:jc w:val="center"/>
        </w:trPr>
        <w:tc>
          <w:tcPr>
            <w:tcW w:w="3240" w:type="dxa"/>
          </w:tcPr>
          <w:p w14:paraId="536AED9D" w14:textId="77777777" w:rsidR="006F224D" w:rsidRPr="00DC2C6B" w:rsidRDefault="006F224D" w:rsidP="006F224D">
            <w:pPr>
              <w:spacing w:line="240" w:lineRule="auto"/>
            </w:pPr>
            <w:r w:rsidRPr="00DC2C6B">
              <w:t>Referred</w:t>
            </w:r>
          </w:p>
        </w:tc>
        <w:tc>
          <w:tcPr>
            <w:tcW w:w="695" w:type="dxa"/>
          </w:tcPr>
          <w:p w14:paraId="482A8E8E" w14:textId="77777777" w:rsidR="006F224D" w:rsidRPr="00DC2C6B" w:rsidRDefault="006F224D" w:rsidP="006F224D">
            <w:pPr>
              <w:spacing w:line="240" w:lineRule="auto"/>
              <w:jc w:val="center"/>
            </w:pPr>
            <w:r w:rsidRPr="00DC2C6B">
              <w:t>155</w:t>
            </w:r>
          </w:p>
        </w:tc>
        <w:tc>
          <w:tcPr>
            <w:tcW w:w="1254" w:type="dxa"/>
          </w:tcPr>
          <w:p w14:paraId="23ABB45B" w14:textId="77777777" w:rsidR="006F224D" w:rsidRPr="00DC2C6B" w:rsidRDefault="006F224D" w:rsidP="006F224D">
            <w:pPr>
              <w:spacing w:line="240" w:lineRule="auto"/>
              <w:jc w:val="center"/>
            </w:pPr>
            <w:r w:rsidRPr="00DC2C6B">
              <w:t>0.9 ± 3.4</w:t>
            </w:r>
          </w:p>
        </w:tc>
        <w:tc>
          <w:tcPr>
            <w:tcW w:w="1262" w:type="dxa"/>
          </w:tcPr>
          <w:p w14:paraId="0D32C793" w14:textId="77777777" w:rsidR="006F224D" w:rsidRPr="00DC2C6B" w:rsidRDefault="006F224D" w:rsidP="006F224D">
            <w:pPr>
              <w:spacing w:line="240" w:lineRule="auto"/>
              <w:jc w:val="center"/>
            </w:pPr>
            <w:r w:rsidRPr="00DC2C6B">
              <w:t>0.4 ± 3.0</w:t>
            </w:r>
          </w:p>
        </w:tc>
        <w:tc>
          <w:tcPr>
            <w:tcW w:w="2278" w:type="dxa"/>
          </w:tcPr>
          <w:p w14:paraId="701F14F0" w14:textId="77777777" w:rsidR="006F224D" w:rsidRDefault="006F224D" w:rsidP="00AF0198">
            <w:pPr>
              <w:spacing w:line="240" w:lineRule="auto"/>
              <w:jc w:val="center"/>
            </w:pPr>
            <w:r>
              <w:t>0.</w:t>
            </w:r>
            <w:r w:rsidR="00AF0198">
              <w:t>4</w:t>
            </w:r>
            <w:r>
              <w:t xml:space="preserve"> (-0.5</w:t>
            </w:r>
            <w:r w:rsidR="00AF0198">
              <w:t>; 1.3</w:t>
            </w:r>
            <w:r>
              <w:t>)</w:t>
            </w:r>
          </w:p>
        </w:tc>
        <w:tc>
          <w:tcPr>
            <w:tcW w:w="905" w:type="dxa"/>
          </w:tcPr>
          <w:p w14:paraId="7373206A" w14:textId="1CB062CE" w:rsidR="006F224D" w:rsidRDefault="006F224D" w:rsidP="005F2235">
            <w:pPr>
              <w:spacing w:line="240" w:lineRule="auto"/>
              <w:jc w:val="center"/>
            </w:pPr>
            <w:r>
              <w:t>0.4</w:t>
            </w:r>
            <w:r w:rsidR="005F2235">
              <w:t>2</w:t>
            </w:r>
          </w:p>
        </w:tc>
      </w:tr>
      <w:tr w:rsidR="006F224D" w:rsidRPr="00DC2C6B" w14:paraId="08E4C42E" w14:textId="77777777" w:rsidTr="00F042C3">
        <w:trPr>
          <w:jc w:val="center"/>
        </w:trPr>
        <w:tc>
          <w:tcPr>
            <w:tcW w:w="3240" w:type="dxa"/>
          </w:tcPr>
          <w:p w14:paraId="3EC0F9B2" w14:textId="77777777" w:rsidR="006F224D" w:rsidRPr="00DC2C6B" w:rsidRDefault="006F224D" w:rsidP="006F224D">
            <w:pPr>
              <w:spacing w:line="240" w:lineRule="auto"/>
            </w:pPr>
            <w:r w:rsidRPr="00DC2C6B">
              <w:t>Defaulted</w:t>
            </w:r>
          </w:p>
        </w:tc>
        <w:tc>
          <w:tcPr>
            <w:tcW w:w="695" w:type="dxa"/>
          </w:tcPr>
          <w:p w14:paraId="0C380552" w14:textId="77777777" w:rsidR="006F224D" w:rsidRPr="00DC2C6B" w:rsidRDefault="006F224D" w:rsidP="006F224D">
            <w:pPr>
              <w:spacing w:line="240" w:lineRule="auto"/>
              <w:jc w:val="center"/>
            </w:pPr>
            <w:r w:rsidRPr="00DC2C6B">
              <w:t>73</w:t>
            </w:r>
          </w:p>
        </w:tc>
        <w:tc>
          <w:tcPr>
            <w:tcW w:w="1254" w:type="dxa"/>
          </w:tcPr>
          <w:p w14:paraId="5C30E498" w14:textId="77777777" w:rsidR="006F224D" w:rsidRPr="00DC2C6B" w:rsidRDefault="006F224D" w:rsidP="006F224D">
            <w:pPr>
              <w:spacing w:line="240" w:lineRule="auto"/>
              <w:jc w:val="center"/>
            </w:pPr>
            <w:r w:rsidRPr="00DC2C6B">
              <w:t>2.5 ± 1.9</w:t>
            </w:r>
          </w:p>
        </w:tc>
        <w:tc>
          <w:tcPr>
            <w:tcW w:w="1262" w:type="dxa"/>
          </w:tcPr>
          <w:p w14:paraId="5ABE71D6" w14:textId="77777777" w:rsidR="006F224D" w:rsidRPr="00DC2C6B" w:rsidRDefault="006F224D" w:rsidP="006F224D">
            <w:pPr>
              <w:spacing w:line="240" w:lineRule="auto"/>
              <w:jc w:val="center"/>
            </w:pPr>
            <w:r w:rsidRPr="00DC2C6B">
              <w:t>2.7 ± 2.7</w:t>
            </w:r>
          </w:p>
        </w:tc>
        <w:tc>
          <w:tcPr>
            <w:tcW w:w="2278" w:type="dxa"/>
          </w:tcPr>
          <w:p w14:paraId="5721F7AE" w14:textId="77777777" w:rsidR="006F224D" w:rsidRDefault="006F224D" w:rsidP="006A1700">
            <w:pPr>
              <w:spacing w:line="240" w:lineRule="auto"/>
              <w:jc w:val="center"/>
            </w:pPr>
            <w:r>
              <w:t>-0.2 (-1.</w:t>
            </w:r>
            <w:r w:rsidR="006A1700">
              <w:t>3</w:t>
            </w:r>
            <w:r>
              <w:t>; 0.8)</w:t>
            </w:r>
          </w:p>
        </w:tc>
        <w:tc>
          <w:tcPr>
            <w:tcW w:w="905" w:type="dxa"/>
          </w:tcPr>
          <w:p w14:paraId="4D27BF5A" w14:textId="491B8B89" w:rsidR="006F224D" w:rsidRDefault="006F224D" w:rsidP="005F2235">
            <w:pPr>
              <w:spacing w:line="240" w:lineRule="auto"/>
              <w:jc w:val="center"/>
            </w:pPr>
            <w:r>
              <w:t>0.6</w:t>
            </w:r>
            <w:r w:rsidR="005F2235">
              <w:t>7</w:t>
            </w:r>
          </w:p>
        </w:tc>
      </w:tr>
      <w:tr w:rsidR="006F224D" w:rsidRPr="00DC2C6B" w14:paraId="2D87BC94" w14:textId="77777777" w:rsidTr="00F042C3">
        <w:trPr>
          <w:jc w:val="center"/>
        </w:trPr>
        <w:tc>
          <w:tcPr>
            <w:tcW w:w="3240" w:type="dxa"/>
          </w:tcPr>
          <w:p w14:paraId="68CCC1E6" w14:textId="77777777" w:rsidR="006F224D" w:rsidRDefault="006F224D" w:rsidP="006F224D">
            <w:pPr>
              <w:spacing w:line="240" w:lineRule="auto"/>
              <w:jc w:val="left"/>
              <w:rPr>
                <w:rFonts w:cstheme="minorHAnsi"/>
              </w:rPr>
            </w:pPr>
            <w:r>
              <w:rPr>
                <w:b/>
              </w:rPr>
              <w:t>MUAC gain velocity (mm/w)</w:t>
            </w:r>
          </w:p>
        </w:tc>
        <w:tc>
          <w:tcPr>
            <w:tcW w:w="695" w:type="dxa"/>
          </w:tcPr>
          <w:p w14:paraId="12377092" w14:textId="77777777" w:rsidR="006F224D" w:rsidRDefault="006F224D" w:rsidP="006F224D">
            <w:pPr>
              <w:spacing w:line="240" w:lineRule="auto"/>
              <w:jc w:val="center"/>
            </w:pPr>
          </w:p>
        </w:tc>
        <w:tc>
          <w:tcPr>
            <w:tcW w:w="1254" w:type="dxa"/>
          </w:tcPr>
          <w:p w14:paraId="73E6469C" w14:textId="77777777" w:rsidR="006F224D" w:rsidRDefault="006F224D" w:rsidP="006F224D">
            <w:pPr>
              <w:spacing w:line="240" w:lineRule="auto"/>
              <w:jc w:val="center"/>
            </w:pPr>
          </w:p>
        </w:tc>
        <w:tc>
          <w:tcPr>
            <w:tcW w:w="1262" w:type="dxa"/>
          </w:tcPr>
          <w:p w14:paraId="642FCA01" w14:textId="77777777" w:rsidR="006F224D" w:rsidRDefault="006F224D" w:rsidP="006F224D">
            <w:pPr>
              <w:spacing w:line="240" w:lineRule="auto"/>
              <w:jc w:val="center"/>
            </w:pPr>
          </w:p>
        </w:tc>
        <w:tc>
          <w:tcPr>
            <w:tcW w:w="2278" w:type="dxa"/>
          </w:tcPr>
          <w:p w14:paraId="1865619B" w14:textId="77777777" w:rsidR="006F224D" w:rsidRDefault="006F224D" w:rsidP="006F224D">
            <w:pPr>
              <w:spacing w:line="240" w:lineRule="auto"/>
              <w:jc w:val="center"/>
            </w:pPr>
          </w:p>
        </w:tc>
        <w:tc>
          <w:tcPr>
            <w:tcW w:w="905" w:type="dxa"/>
          </w:tcPr>
          <w:p w14:paraId="045E379A" w14:textId="77777777" w:rsidR="006F224D" w:rsidRDefault="006F224D" w:rsidP="006F224D">
            <w:pPr>
              <w:spacing w:line="240" w:lineRule="auto"/>
              <w:jc w:val="center"/>
            </w:pPr>
          </w:p>
        </w:tc>
      </w:tr>
      <w:tr w:rsidR="006F224D" w:rsidRPr="00DC2C6B" w14:paraId="1E4BC444" w14:textId="77777777" w:rsidTr="00F042C3">
        <w:trPr>
          <w:jc w:val="center"/>
        </w:trPr>
        <w:tc>
          <w:tcPr>
            <w:tcW w:w="3240" w:type="dxa"/>
          </w:tcPr>
          <w:p w14:paraId="4B5A44FE" w14:textId="77777777" w:rsidR="006F224D" w:rsidRDefault="006F224D" w:rsidP="006F224D">
            <w:pPr>
              <w:spacing w:line="240" w:lineRule="auto"/>
              <w:rPr>
                <w:rFonts w:cstheme="minorHAnsi"/>
              </w:rPr>
            </w:pPr>
            <w:r>
              <w:t>Intention to treat</w:t>
            </w:r>
          </w:p>
        </w:tc>
        <w:tc>
          <w:tcPr>
            <w:tcW w:w="695" w:type="dxa"/>
          </w:tcPr>
          <w:p w14:paraId="6115AC33" w14:textId="77777777" w:rsidR="006F224D" w:rsidRDefault="006F224D" w:rsidP="006F224D">
            <w:pPr>
              <w:spacing w:line="240" w:lineRule="auto"/>
              <w:jc w:val="center"/>
            </w:pPr>
            <w:r>
              <w:t>788</w:t>
            </w:r>
          </w:p>
        </w:tc>
        <w:tc>
          <w:tcPr>
            <w:tcW w:w="1254" w:type="dxa"/>
          </w:tcPr>
          <w:p w14:paraId="177BF7E6" w14:textId="77777777" w:rsidR="006F224D" w:rsidRDefault="006F224D" w:rsidP="006F224D">
            <w:pPr>
              <w:spacing w:line="240" w:lineRule="auto"/>
              <w:jc w:val="center"/>
            </w:pPr>
            <w:r>
              <w:t>1.8 ± 1.8</w:t>
            </w:r>
          </w:p>
        </w:tc>
        <w:tc>
          <w:tcPr>
            <w:tcW w:w="1262" w:type="dxa"/>
          </w:tcPr>
          <w:p w14:paraId="09E1DE17" w14:textId="77777777" w:rsidR="006F224D" w:rsidRDefault="006F224D" w:rsidP="006F224D">
            <w:pPr>
              <w:spacing w:line="240" w:lineRule="auto"/>
              <w:jc w:val="center"/>
            </w:pPr>
            <w:r>
              <w:t>1.9 ± 1.9</w:t>
            </w:r>
          </w:p>
        </w:tc>
        <w:tc>
          <w:tcPr>
            <w:tcW w:w="2278" w:type="dxa"/>
          </w:tcPr>
          <w:p w14:paraId="3911E04A" w14:textId="77777777" w:rsidR="006F224D" w:rsidRDefault="006F224D" w:rsidP="006F224D">
            <w:pPr>
              <w:spacing w:line="240" w:lineRule="auto"/>
              <w:jc w:val="center"/>
            </w:pPr>
            <w:r>
              <w:t>-0.1 (-0.3; 0.1)</w:t>
            </w:r>
          </w:p>
        </w:tc>
        <w:tc>
          <w:tcPr>
            <w:tcW w:w="905" w:type="dxa"/>
          </w:tcPr>
          <w:p w14:paraId="7DD638BE" w14:textId="3BEA4DBE" w:rsidR="006F224D" w:rsidRDefault="006F224D" w:rsidP="005F2235">
            <w:pPr>
              <w:spacing w:line="240" w:lineRule="auto"/>
              <w:jc w:val="center"/>
            </w:pPr>
            <w:r>
              <w:t>0.5</w:t>
            </w:r>
            <w:r w:rsidR="005F2235">
              <w:t>1</w:t>
            </w:r>
          </w:p>
        </w:tc>
      </w:tr>
      <w:tr w:rsidR="006F224D" w:rsidRPr="00DC2C6B" w14:paraId="5F4AE1C6" w14:textId="77777777" w:rsidTr="00F042C3">
        <w:trPr>
          <w:jc w:val="center"/>
        </w:trPr>
        <w:tc>
          <w:tcPr>
            <w:tcW w:w="3240" w:type="dxa"/>
          </w:tcPr>
          <w:p w14:paraId="5BB52644" w14:textId="77777777" w:rsidR="006F224D" w:rsidRDefault="006F224D" w:rsidP="006F224D">
            <w:pPr>
              <w:spacing w:line="240" w:lineRule="auto"/>
            </w:pPr>
            <w:r>
              <w:t>Per protocol</w:t>
            </w:r>
          </w:p>
        </w:tc>
        <w:tc>
          <w:tcPr>
            <w:tcW w:w="695" w:type="dxa"/>
          </w:tcPr>
          <w:p w14:paraId="4F89D612" w14:textId="77777777" w:rsidR="006F224D" w:rsidRDefault="006F224D" w:rsidP="006F224D">
            <w:pPr>
              <w:spacing w:line="240" w:lineRule="auto"/>
              <w:jc w:val="center"/>
            </w:pPr>
            <w:r>
              <w:t>425</w:t>
            </w:r>
          </w:p>
        </w:tc>
        <w:tc>
          <w:tcPr>
            <w:tcW w:w="1254" w:type="dxa"/>
          </w:tcPr>
          <w:p w14:paraId="75E6426F" w14:textId="77777777" w:rsidR="006F224D" w:rsidRDefault="006F224D" w:rsidP="006F224D">
            <w:pPr>
              <w:spacing w:line="240" w:lineRule="auto"/>
              <w:jc w:val="center"/>
            </w:pPr>
            <w:r>
              <w:t>2.4 ± 2.1</w:t>
            </w:r>
          </w:p>
        </w:tc>
        <w:tc>
          <w:tcPr>
            <w:tcW w:w="1262" w:type="dxa"/>
          </w:tcPr>
          <w:p w14:paraId="1D8F8A9F" w14:textId="77777777" w:rsidR="006F224D" w:rsidRDefault="006F224D" w:rsidP="006F224D">
            <w:pPr>
              <w:spacing w:line="240" w:lineRule="auto"/>
              <w:jc w:val="center"/>
            </w:pPr>
            <w:r>
              <w:t>2.4 ± 2.1</w:t>
            </w:r>
          </w:p>
        </w:tc>
        <w:tc>
          <w:tcPr>
            <w:tcW w:w="2278" w:type="dxa"/>
          </w:tcPr>
          <w:p w14:paraId="26C5B7A0" w14:textId="77777777" w:rsidR="006F224D" w:rsidRDefault="006F224D" w:rsidP="006F224D">
            <w:pPr>
              <w:spacing w:line="240" w:lineRule="auto"/>
              <w:jc w:val="center"/>
            </w:pPr>
            <w:r>
              <w:t>-0.1 (-0.4; 0.3)</w:t>
            </w:r>
          </w:p>
        </w:tc>
        <w:tc>
          <w:tcPr>
            <w:tcW w:w="905" w:type="dxa"/>
          </w:tcPr>
          <w:p w14:paraId="0A224201" w14:textId="7DB3684D" w:rsidR="006F224D" w:rsidRDefault="006F224D" w:rsidP="005F2235">
            <w:pPr>
              <w:spacing w:line="240" w:lineRule="auto"/>
              <w:jc w:val="center"/>
            </w:pPr>
            <w:r>
              <w:t>0.7</w:t>
            </w:r>
            <w:r w:rsidR="005F2235">
              <w:t>6</w:t>
            </w:r>
          </w:p>
        </w:tc>
      </w:tr>
      <w:tr w:rsidR="00DD2A06" w:rsidRPr="00DC2C6B" w14:paraId="49DBDFD1" w14:textId="77777777" w:rsidTr="00F042C3">
        <w:trPr>
          <w:jc w:val="center"/>
        </w:trPr>
        <w:tc>
          <w:tcPr>
            <w:tcW w:w="9634" w:type="dxa"/>
            <w:gridSpan w:val="6"/>
            <w:tcBorders>
              <w:bottom w:val="single" w:sz="4" w:space="0" w:color="auto"/>
            </w:tcBorders>
          </w:tcPr>
          <w:p w14:paraId="5886E3BE" w14:textId="77777777" w:rsidR="00DD2A06" w:rsidRPr="00DC2C6B" w:rsidRDefault="00DD2A06" w:rsidP="00DD2A06">
            <w:pPr>
              <w:spacing w:line="240" w:lineRule="auto"/>
              <w:jc w:val="left"/>
            </w:pPr>
            <w:r>
              <w:rPr>
                <w:b/>
              </w:rPr>
              <w:t>AFTER FIRST 2 WEEKS</w:t>
            </w:r>
          </w:p>
        </w:tc>
      </w:tr>
      <w:tr w:rsidR="00DD2A06" w:rsidRPr="00DC2C6B" w14:paraId="7A6BA637" w14:textId="77777777" w:rsidTr="00F042C3">
        <w:trPr>
          <w:jc w:val="center"/>
        </w:trPr>
        <w:tc>
          <w:tcPr>
            <w:tcW w:w="3240" w:type="dxa"/>
            <w:tcBorders>
              <w:top w:val="single" w:sz="4" w:space="0" w:color="auto"/>
            </w:tcBorders>
          </w:tcPr>
          <w:p w14:paraId="13262F11" w14:textId="77777777" w:rsidR="00DD2A06" w:rsidRPr="00DC2C6B" w:rsidRDefault="00DD2A06" w:rsidP="00DD2A06">
            <w:pPr>
              <w:spacing w:line="240" w:lineRule="auto"/>
              <w:rPr>
                <w:b/>
              </w:rPr>
            </w:pPr>
            <w:r w:rsidRPr="00DC2C6B">
              <w:rPr>
                <w:b/>
              </w:rPr>
              <w:t>Weight gain velocity</w:t>
            </w:r>
            <w:r>
              <w:rPr>
                <w:b/>
              </w:rPr>
              <w:t xml:space="preserve"> (g/kg/d)</w:t>
            </w:r>
          </w:p>
        </w:tc>
        <w:tc>
          <w:tcPr>
            <w:tcW w:w="695" w:type="dxa"/>
            <w:tcBorders>
              <w:top w:val="single" w:sz="4" w:space="0" w:color="auto"/>
            </w:tcBorders>
          </w:tcPr>
          <w:p w14:paraId="3AE8665C" w14:textId="77777777" w:rsidR="00DD2A06" w:rsidRPr="00DC2C6B" w:rsidRDefault="00DD2A06" w:rsidP="00DD2A06">
            <w:pPr>
              <w:spacing w:line="240" w:lineRule="auto"/>
              <w:jc w:val="center"/>
            </w:pPr>
          </w:p>
        </w:tc>
        <w:tc>
          <w:tcPr>
            <w:tcW w:w="1254" w:type="dxa"/>
            <w:tcBorders>
              <w:top w:val="single" w:sz="4" w:space="0" w:color="auto"/>
            </w:tcBorders>
          </w:tcPr>
          <w:p w14:paraId="00ABA055" w14:textId="77777777" w:rsidR="00DD2A06" w:rsidRPr="00DC2C6B" w:rsidRDefault="00DD2A06" w:rsidP="00DD2A06">
            <w:pPr>
              <w:spacing w:line="240" w:lineRule="auto"/>
              <w:jc w:val="center"/>
            </w:pPr>
          </w:p>
        </w:tc>
        <w:tc>
          <w:tcPr>
            <w:tcW w:w="1262" w:type="dxa"/>
            <w:tcBorders>
              <w:top w:val="single" w:sz="4" w:space="0" w:color="auto"/>
            </w:tcBorders>
          </w:tcPr>
          <w:p w14:paraId="5332863D" w14:textId="77777777" w:rsidR="00DD2A06" w:rsidRPr="00DC2C6B" w:rsidRDefault="00DD2A06" w:rsidP="00DD2A06">
            <w:pPr>
              <w:spacing w:line="240" w:lineRule="auto"/>
              <w:jc w:val="center"/>
            </w:pPr>
          </w:p>
        </w:tc>
        <w:tc>
          <w:tcPr>
            <w:tcW w:w="2278" w:type="dxa"/>
            <w:tcBorders>
              <w:top w:val="single" w:sz="4" w:space="0" w:color="auto"/>
            </w:tcBorders>
          </w:tcPr>
          <w:p w14:paraId="5454B631" w14:textId="77777777" w:rsidR="00DD2A06" w:rsidRPr="00DC2C6B" w:rsidRDefault="00DD2A06" w:rsidP="00DD2A06">
            <w:pPr>
              <w:spacing w:line="240" w:lineRule="auto"/>
              <w:jc w:val="center"/>
            </w:pPr>
          </w:p>
        </w:tc>
        <w:tc>
          <w:tcPr>
            <w:tcW w:w="905" w:type="dxa"/>
            <w:tcBorders>
              <w:top w:val="single" w:sz="4" w:space="0" w:color="auto"/>
            </w:tcBorders>
          </w:tcPr>
          <w:p w14:paraId="50DE478C" w14:textId="77777777" w:rsidR="00DD2A06" w:rsidRPr="00DC2C6B" w:rsidRDefault="00DD2A06" w:rsidP="00DD2A06">
            <w:pPr>
              <w:spacing w:line="240" w:lineRule="auto"/>
              <w:jc w:val="center"/>
            </w:pPr>
          </w:p>
        </w:tc>
      </w:tr>
      <w:tr w:rsidR="006F224D" w:rsidRPr="00C305B3" w14:paraId="588CF532" w14:textId="77777777" w:rsidTr="00F042C3">
        <w:trPr>
          <w:jc w:val="center"/>
        </w:trPr>
        <w:tc>
          <w:tcPr>
            <w:tcW w:w="3240" w:type="dxa"/>
          </w:tcPr>
          <w:p w14:paraId="0ED47C73" w14:textId="77777777" w:rsidR="006F224D" w:rsidRPr="00C305B3" w:rsidRDefault="006F224D" w:rsidP="006F224D">
            <w:pPr>
              <w:spacing w:line="240" w:lineRule="auto"/>
            </w:pPr>
            <w:r w:rsidRPr="00C305B3">
              <w:t>Intention to treat</w:t>
            </w:r>
          </w:p>
        </w:tc>
        <w:tc>
          <w:tcPr>
            <w:tcW w:w="695" w:type="dxa"/>
          </w:tcPr>
          <w:p w14:paraId="08B713FC" w14:textId="77777777" w:rsidR="006F224D" w:rsidRPr="00DC2C6B" w:rsidRDefault="006F224D" w:rsidP="006F224D">
            <w:pPr>
              <w:spacing w:line="240" w:lineRule="auto"/>
              <w:jc w:val="center"/>
            </w:pPr>
            <w:r w:rsidRPr="00DC2C6B">
              <w:t>74</w:t>
            </w:r>
            <w:r>
              <w:t>4</w:t>
            </w:r>
          </w:p>
        </w:tc>
        <w:tc>
          <w:tcPr>
            <w:tcW w:w="1254" w:type="dxa"/>
          </w:tcPr>
          <w:p w14:paraId="7286539B" w14:textId="77777777" w:rsidR="006F224D" w:rsidRPr="00DC2C6B" w:rsidRDefault="006F224D" w:rsidP="006F224D">
            <w:pPr>
              <w:spacing w:line="240" w:lineRule="auto"/>
              <w:jc w:val="center"/>
            </w:pPr>
            <w:bookmarkStart w:id="1" w:name="OLE_LINK1"/>
            <w:r w:rsidRPr="00DC2C6B">
              <w:t>2.</w:t>
            </w:r>
            <w:bookmarkEnd w:id="1"/>
            <w:r w:rsidRPr="00DC2C6B">
              <w:t>3 ± 2.6</w:t>
            </w:r>
          </w:p>
        </w:tc>
        <w:tc>
          <w:tcPr>
            <w:tcW w:w="1262" w:type="dxa"/>
          </w:tcPr>
          <w:p w14:paraId="26424FD4" w14:textId="77777777" w:rsidR="006F224D" w:rsidRPr="00DC2C6B" w:rsidRDefault="006F224D" w:rsidP="006F224D">
            <w:pPr>
              <w:spacing w:line="240" w:lineRule="auto"/>
              <w:jc w:val="center"/>
            </w:pPr>
            <w:r w:rsidRPr="00DC2C6B">
              <w:t>2.7 ± 2.9</w:t>
            </w:r>
          </w:p>
        </w:tc>
        <w:tc>
          <w:tcPr>
            <w:tcW w:w="2278" w:type="dxa"/>
          </w:tcPr>
          <w:p w14:paraId="58FD4EDB" w14:textId="77777777" w:rsidR="006F224D" w:rsidRPr="00C305B3" w:rsidRDefault="006F224D" w:rsidP="00BD3BD0">
            <w:pPr>
              <w:spacing w:line="240" w:lineRule="auto"/>
              <w:jc w:val="center"/>
            </w:pPr>
            <w:r w:rsidRPr="00C305B3">
              <w:t>-0.4 (-0.</w:t>
            </w:r>
            <w:r w:rsidR="00BD3BD0">
              <w:t>8</w:t>
            </w:r>
            <w:r w:rsidRPr="00C305B3">
              <w:t>; -0.0</w:t>
            </w:r>
            <w:r w:rsidR="00BD3BD0">
              <w:t>1</w:t>
            </w:r>
            <w:r w:rsidRPr="00C305B3">
              <w:t>)</w:t>
            </w:r>
          </w:p>
        </w:tc>
        <w:tc>
          <w:tcPr>
            <w:tcW w:w="905" w:type="dxa"/>
          </w:tcPr>
          <w:p w14:paraId="08C71568" w14:textId="77777777" w:rsidR="006F224D" w:rsidRPr="00C305B3" w:rsidRDefault="006F224D" w:rsidP="00BD3BD0">
            <w:pPr>
              <w:spacing w:line="240" w:lineRule="auto"/>
              <w:jc w:val="center"/>
            </w:pPr>
            <w:r w:rsidRPr="00C305B3">
              <w:t>0.0</w:t>
            </w:r>
            <w:r w:rsidR="00BD3BD0">
              <w:t>44</w:t>
            </w:r>
          </w:p>
        </w:tc>
      </w:tr>
      <w:tr w:rsidR="006F224D" w:rsidRPr="00C305B3" w14:paraId="1BBA6198" w14:textId="77777777" w:rsidTr="00F042C3">
        <w:trPr>
          <w:jc w:val="center"/>
        </w:trPr>
        <w:tc>
          <w:tcPr>
            <w:tcW w:w="3240" w:type="dxa"/>
          </w:tcPr>
          <w:p w14:paraId="32A764C5" w14:textId="77777777" w:rsidR="006F224D" w:rsidRPr="00C305B3" w:rsidRDefault="006F224D" w:rsidP="006F224D">
            <w:pPr>
              <w:spacing w:line="240" w:lineRule="auto"/>
            </w:pPr>
            <w:r w:rsidRPr="00C305B3">
              <w:t>Per protocol</w:t>
            </w:r>
            <w:r w:rsidRPr="00C305B3">
              <w:rPr>
                <w:vertAlign w:val="superscript"/>
              </w:rPr>
              <w:t>1</w:t>
            </w:r>
          </w:p>
        </w:tc>
        <w:tc>
          <w:tcPr>
            <w:tcW w:w="695" w:type="dxa"/>
          </w:tcPr>
          <w:p w14:paraId="5AD198BB" w14:textId="77777777" w:rsidR="006F224D" w:rsidRPr="00DC2C6B" w:rsidRDefault="006F224D" w:rsidP="006F224D">
            <w:pPr>
              <w:spacing w:line="240" w:lineRule="auto"/>
              <w:jc w:val="center"/>
            </w:pPr>
            <w:r>
              <w:t>395</w:t>
            </w:r>
          </w:p>
        </w:tc>
        <w:tc>
          <w:tcPr>
            <w:tcW w:w="1254" w:type="dxa"/>
          </w:tcPr>
          <w:p w14:paraId="35DD1C7E" w14:textId="77777777" w:rsidR="006F224D" w:rsidRPr="00DC2C6B" w:rsidRDefault="006F224D" w:rsidP="006F224D">
            <w:pPr>
              <w:spacing w:line="240" w:lineRule="auto"/>
              <w:jc w:val="center"/>
            </w:pPr>
            <w:r>
              <w:t>2.7 ± 2.9</w:t>
            </w:r>
          </w:p>
        </w:tc>
        <w:tc>
          <w:tcPr>
            <w:tcW w:w="1262" w:type="dxa"/>
          </w:tcPr>
          <w:p w14:paraId="7E9AF073" w14:textId="77777777" w:rsidR="006F224D" w:rsidRPr="00DC2C6B" w:rsidRDefault="006F224D" w:rsidP="006F224D">
            <w:pPr>
              <w:spacing w:line="240" w:lineRule="auto"/>
              <w:jc w:val="center"/>
            </w:pPr>
            <w:r>
              <w:t>3.1 ± 3.4</w:t>
            </w:r>
          </w:p>
        </w:tc>
        <w:tc>
          <w:tcPr>
            <w:tcW w:w="2278" w:type="dxa"/>
          </w:tcPr>
          <w:p w14:paraId="19077473" w14:textId="77777777" w:rsidR="006F224D" w:rsidRPr="00C305B3" w:rsidRDefault="006F224D" w:rsidP="00907132">
            <w:pPr>
              <w:spacing w:line="240" w:lineRule="auto"/>
              <w:jc w:val="center"/>
            </w:pPr>
            <w:r w:rsidRPr="00C305B3">
              <w:t>-0.</w:t>
            </w:r>
            <w:r w:rsidR="00907132">
              <w:t>4</w:t>
            </w:r>
            <w:r w:rsidRPr="00C305B3">
              <w:t xml:space="preserve"> (-</w:t>
            </w:r>
            <w:r w:rsidR="00907132">
              <w:t>1</w:t>
            </w:r>
            <w:r w:rsidRPr="00C305B3">
              <w:t>.</w:t>
            </w:r>
            <w:r w:rsidR="00907132">
              <w:t>0</w:t>
            </w:r>
            <w:r w:rsidRPr="00C305B3">
              <w:t>; 0.2)</w:t>
            </w:r>
          </w:p>
        </w:tc>
        <w:tc>
          <w:tcPr>
            <w:tcW w:w="905" w:type="dxa"/>
          </w:tcPr>
          <w:p w14:paraId="4E0B1F3E" w14:textId="7CB729E0" w:rsidR="006F224D" w:rsidRPr="00C305B3" w:rsidRDefault="006F224D" w:rsidP="00907132">
            <w:pPr>
              <w:spacing w:line="240" w:lineRule="auto"/>
              <w:jc w:val="center"/>
            </w:pPr>
            <w:r w:rsidRPr="00C305B3">
              <w:t>0.2</w:t>
            </w:r>
            <w:r w:rsidR="005F2235">
              <w:t>2</w:t>
            </w:r>
          </w:p>
        </w:tc>
      </w:tr>
      <w:tr w:rsidR="006F224D" w:rsidRPr="00DC2C6B" w14:paraId="190B4E78" w14:textId="77777777" w:rsidTr="00F042C3">
        <w:trPr>
          <w:jc w:val="center"/>
        </w:trPr>
        <w:tc>
          <w:tcPr>
            <w:tcW w:w="3240" w:type="dxa"/>
          </w:tcPr>
          <w:p w14:paraId="7F65E6B3" w14:textId="77777777" w:rsidR="006F224D" w:rsidRPr="00DC2C6B" w:rsidRDefault="006F224D" w:rsidP="006F224D">
            <w:pPr>
              <w:spacing w:line="240" w:lineRule="auto"/>
            </w:pPr>
            <w:r>
              <w:rPr>
                <w:b/>
              </w:rPr>
              <w:t>MUAC gain velocity (mm/w)</w:t>
            </w:r>
          </w:p>
        </w:tc>
        <w:tc>
          <w:tcPr>
            <w:tcW w:w="695" w:type="dxa"/>
          </w:tcPr>
          <w:p w14:paraId="03506F9F" w14:textId="77777777" w:rsidR="006F224D" w:rsidRPr="00DC2C6B" w:rsidRDefault="006F224D" w:rsidP="006F224D">
            <w:pPr>
              <w:spacing w:line="240" w:lineRule="auto"/>
              <w:jc w:val="center"/>
            </w:pPr>
          </w:p>
        </w:tc>
        <w:tc>
          <w:tcPr>
            <w:tcW w:w="1254" w:type="dxa"/>
          </w:tcPr>
          <w:p w14:paraId="3FD6CD5A" w14:textId="77777777" w:rsidR="006F224D" w:rsidRPr="00DC2C6B" w:rsidRDefault="006F224D" w:rsidP="006F224D">
            <w:pPr>
              <w:spacing w:line="240" w:lineRule="auto"/>
              <w:jc w:val="center"/>
            </w:pPr>
          </w:p>
        </w:tc>
        <w:tc>
          <w:tcPr>
            <w:tcW w:w="1262" w:type="dxa"/>
          </w:tcPr>
          <w:p w14:paraId="2E90BE14" w14:textId="77777777" w:rsidR="006F224D" w:rsidRPr="00DC2C6B" w:rsidRDefault="006F224D" w:rsidP="006F224D">
            <w:pPr>
              <w:spacing w:line="240" w:lineRule="auto"/>
              <w:jc w:val="center"/>
            </w:pPr>
          </w:p>
        </w:tc>
        <w:tc>
          <w:tcPr>
            <w:tcW w:w="2278" w:type="dxa"/>
          </w:tcPr>
          <w:p w14:paraId="01D8E195" w14:textId="77777777" w:rsidR="006F224D" w:rsidRPr="00DC2C6B" w:rsidRDefault="006F224D" w:rsidP="006F224D">
            <w:pPr>
              <w:spacing w:line="240" w:lineRule="auto"/>
              <w:jc w:val="center"/>
            </w:pPr>
          </w:p>
        </w:tc>
        <w:tc>
          <w:tcPr>
            <w:tcW w:w="905" w:type="dxa"/>
          </w:tcPr>
          <w:p w14:paraId="7852BC36" w14:textId="77777777" w:rsidR="006F224D" w:rsidRPr="00DC2C6B" w:rsidRDefault="006F224D" w:rsidP="006F224D">
            <w:pPr>
              <w:spacing w:line="240" w:lineRule="auto"/>
              <w:jc w:val="center"/>
            </w:pPr>
          </w:p>
        </w:tc>
      </w:tr>
      <w:tr w:rsidR="006F224D" w:rsidRPr="00DC2C6B" w14:paraId="7B30D81E" w14:textId="77777777" w:rsidTr="00F042C3">
        <w:trPr>
          <w:jc w:val="center"/>
        </w:trPr>
        <w:tc>
          <w:tcPr>
            <w:tcW w:w="3240" w:type="dxa"/>
          </w:tcPr>
          <w:p w14:paraId="61CE1CE5" w14:textId="77777777" w:rsidR="006F224D" w:rsidRPr="006175F1" w:rsidRDefault="006F224D" w:rsidP="006F224D">
            <w:pPr>
              <w:spacing w:line="240" w:lineRule="auto"/>
              <w:rPr>
                <w:b/>
              </w:rPr>
            </w:pPr>
            <w:r w:rsidRPr="006175F1">
              <w:t>Intention to treat</w:t>
            </w:r>
          </w:p>
        </w:tc>
        <w:tc>
          <w:tcPr>
            <w:tcW w:w="695" w:type="dxa"/>
          </w:tcPr>
          <w:p w14:paraId="3B376C16" w14:textId="77777777" w:rsidR="006F224D" w:rsidRPr="00DC2C6B" w:rsidRDefault="006F224D" w:rsidP="006F224D">
            <w:pPr>
              <w:spacing w:line="240" w:lineRule="auto"/>
              <w:jc w:val="center"/>
            </w:pPr>
            <w:r>
              <w:t>746</w:t>
            </w:r>
          </w:p>
        </w:tc>
        <w:tc>
          <w:tcPr>
            <w:tcW w:w="1254" w:type="dxa"/>
          </w:tcPr>
          <w:p w14:paraId="583A5B3D" w14:textId="77777777" w:rsidR="006F224D" w:rsidRPr="00DC2C6B" w:rsidRDefault="006F224D" w:rsidP="006F224D">
            <w:pPr>
              <w:spacing w:line="240" w:lineRule="auto"/>
              <w:jc w:val="center"/>
            </w:pPr>
            <w:r>
              <w:t>1.1 ± 1.7</w:t>
            </w:r>
          </w:p>
        </w:tc>
        <w:tc>
          <w:tcPr>
            <w:tcW w:w="1262" w:type="dxa"/>
          </w:tcPr>
          <w:p w14:paraId="51CB056E" w14:textId="77777777" w:rsidR="006F224D" w:rsidRPr="00DC2C6B" w:rsidRDefault="006F224D" w:rsidP="006F224D">
            <w:pPr>
              <w:spacing w:line="240" w:lineRule="auto"/>
              <w:jc w:val="center"/>
            </w:pPr>
            <w:r>
              <w:t>1.4 ± 1.9</w:t>
            </w:r>
          </w:p>
        </w:tc>
        <w:tc>
          <w:tcPr>
            <w:tcW w:w="2278" w:type="dxa"/>
          </w:tcPr>
          <w:p w14:paraId="749C37BB" w14:textId="77777777" w:rsidR="006F224D" w:rsidRPr="006175F1" w:rsidRDefault="006F224D" w:rsidP="006F224D">
            <w:pPr>
              <w:spacing w:line="240" w:lineRule="auto"/>
              <w:jc w:val="center"/>
            </w:pPr>
            <w:r w:rsidRPr="006175F1">
              <w:t>-0.2 (-0.5; -0.0</w:t>
            </w:r>
            <w:r w:rsidR="00F744F7">
              <w:t>1</w:t>
            </w:r>
            <w:r w:rsidRPr="006175F1">
              <w:t>)</w:t>
            </w:r>
          </w:p>
        </w:tc>
        <w:tc>
          <w:tcPr>
            <w:tcW w:w="905" w:type="dxa"/>
          </w:tcPr>
          <w:p w14:paraId="2812FAEB" w14:textId="77777777" w:rsidR="006F224D" w:rsidRDefault="006F224D" w:rsidP="00F744F7">
            <w:pPr>
              <w:spacing w:line="240" w:lineRule="auto"/>
              <w:jc w:val="center"/>
            </w:pPr>
            <w:r w:rsidRPr="006175F1">
              <w:t>0.04</w:t>
            </w:r>
            <w:r w:rsidR="00F744F7">
              <w:t>1</w:t>
            </w:r>
          </w:p>
        </w:tc>
      </w:tr>
      <w:tr w:rsidR="006F224D" w:rsidRPr="00DC2C6B" w14:paraId="7E6B682C" w14:textId="77777777" w:rsidTr="00F042C3">
        <w:trPr>
          <w:jc w:val="center"/>
        </w:trPr>
        <w:tc>
          <w:tcPr>
            <w:tcW w:w="3240" w:type="dxa"/>
          </w:tcPr>
          <w:p w14:paraId="1BDFF36F" w14:textId="77777777" w:rsidR="006F224D" w:rsidRDefault="006F224D" w:rsidP="006F224D">
            <w:pPr>
              <w:spacing w:line="240" w:lineRule="auto"/>
              <w:rPr>
                <w:b/>
              </w:rPr>
            </w:pPr>
            <w:r>
              <w:t>Per protocol</w:t>
            </w:r>
            <w:r w:rsidRPr="007D679B">
              <w:rPr>
                <w:vertAlign w:val="superscript"/>
              </w:rPr>
              <w:t>1</w:t>
            </w:r>
          </w:p>
        </w:tc>
        <w:tc>
          <w:tcPr>
            <w:tcW w:w="695" w:type="dxa"/>
          </w:tcPr>
          <w:p w14:paraId="798A989A" w14:textId="77777777" w:rsidR="006F224D" w:rsidRPr="00DC2C6B" w:rsidRDefault="006F224D" w:rsidP="006F224D">
            <w:pPr>
              <w:spacing w:line="240" w:lineRule="auto"/>
              <w:jc w:val="center"/>
            </w:pPr>
            <w:r>
              <w:t>396</w:t>
            </w:r>
          </w:p>
        </w:tc>
        <w:tc>
          <w:tcPr>
            <w:tcW w:w="1254" w:type="dxa"/>
          </w:tcPr>
          <w:p w14:paraId="550D3D63" w14:textId="77777777" w:rsidR="006F224D" w:rsidRPr="00DC2C6B" w:rsidRDefault="006F224D" w:rsidP="006F224D">
            <w:pPr>
              <w:spacing w:line="240" w:lineRule="auto"/>
              <w:jc w:val="center"/>
            </w:pPr>
            <w:r>
              <w:t>1.6 ± 1.9</w:t>
            </w:r>
          </w:p>
        </w:tc>
        <w:tc>
          <w:tcPr>
            <w:tcW w:w="1262" w:type="dxa"/>
          </w:tcPr>
          <w:p w14:paraId="77F8D91A" w14:textId="77777777" w:rsidR="006F224D" w:rsidRPr="00DC2C6B" w:rsidRDefault="006F224D" w:rsidP="006F224D">
            <w:pPr>
              <w:spacing w:line="240" w:lineRule="auto"/>
              <w:jc w:val="center"/>
            </w:pPr>
            <w:r>
              <w:t>1.8 ± 2.2</w:t>
            </w:r>
          </w:p>
        </w:tc>
        <w:tc>
          <w:tcPr>
            <w:tcW w:w="2278" w:type="dxa"/>
          </w:tcPr>
          <w:p w14:paraId="20ADA7FE" w14:textId="77777777" w:rsidR="006F224D" w:rsidRDefault="006F224D" w:rsidP="006F224D">
            <w:pPr>
              <w:spacing w:line="240" w:lineRule="auto"/>
              <w:jc w:val="center"/>
            </w:pPr>
            <w:r>
              <w:t>-0.3 (-0.6; 0.1)</w:t>
            </w:r>
          </w:p>
        </w:tc>
        <w:tc>
          <w:tcPr>
            <w:tcW w:w="905" w:type="dxa"/>
          </w:tcPr>
          <w:p w14:paraId="41128454" w14:textId="46F7417F" w:rsidR="006F224D" w:rsidRPr="0060286F" w:rsidRDefault="00F744F7" w:rsidP="005F2235">
            <w:pPr>
              <w:spacing w:line="240" w:lineRule="auto"/>
              <w:jc w:val="center"/>
              <w:rPr>
                <w:highlight w:val="yellow"/>
              </w:rPr>
            </w:pPr>
            <w:r>
              <w:t>0.18</w:t>
            </w:r>
          </w:p>
        </w:tc>
      </w:tr>
      <w:tr w:rsidR="006175F1" w:rsidRPr="00DC2C6B" w14:paraId="108423D4" w14:textId="77777777" w:rsidTr="00F042C3">
        <w:trPr>
          <w:jc w:val="center"/>
        </w:trPr>
        <w:tc>
          <w:tcPr>
            <w:tcW w:w="9634" w:type="dxa"/>
            <w:gridSpan w:val="6"/>
            <w:tcBorders>
              <w:top w:val="single" w:sz="4" w:space="0" w:color="auto"/>
            </w:tcBorders>
          </w:tcPr>
          <w:p w14:paraId="3246F12E" w14:textId="77777777" w:rsidR="006175F1" w:rsidRPr="00DC2C6B" w:rsidRDefault="006175F1" w:rsidP="006175F1">
            <w:pPr>
              <w:spacing w:line="240" w:lineRule="auto"/>
            </w:pPr>
            <w:r>
              <w:t xml:space="preserve">Data are mean </w:t>
            </w:r>
            <w:r w:rsidRPr="00DC2C6B">
              <w:t>± SD and mean difference (95% CI) when using linear mixed models with study site and team as random effects</w:t>
            </w:r>
            <w:r w:rsidR="00410189">
              <w:t xml:space="preserve"> and when adjusted for </w:t>
            </w:r>
            <w:r w:rsidR="00410189">
              <w:rPr>
                <w:rFonts w:cstheme="minorHAnsi"/>
              </w:rPr>
              <w:t xml:space="preserve">sex, age, </w:t>
            </w:r>
            <w:r w:rsidR="0027454A">
              <w:rPr>
                <w:rFonts w:cstheme="minorHAnsi"/>
              </w:rPr>
              <w:t xml:space="preserve">admission measure of </w:t>
            </w:r>
            <w:r w:rsidR="00410189">
              <w:rPr>
                <w:rFonts w:cstheme="minorHAnsi"/>
              </w:rPr>
              <w:t xml:space="preserve">weight, </w:t>
            </w:r>
            <w:r w:rsidR="0027454A">
              <w:rPr>
                <w:rFonts w:cstheme="minorHAnsi"/>
              </w:rPr>
              <w:t>MUAC</w:t>
            </w:r>
            <w:r w:rsidR="00410189">
              <w:rPr>
                <w:rFonts w:cstheme="minorHAnsi"/>
              </w:rPr>
              <w:t xml:space="preserve">, </w:t>
            </w:r>
            <w:r w:rsidR="0027454A">
              <w:rPr>
                <w:rFonts w:cstheme="minorHAnsi"/>
              </w:rPr>
              <w:t>WHZ and</w:t>
            </w:r>
            <w:r w:rsidR="00410189">
              <w:rPr>
                <w:rFonts w:cstheme="minorHAnsi"/>
              </w:rPr>
              <w:t xml:space="preserve"> height</w:t>
            </w:r>
            <w:r w:rsidR="0027454A">
              <w:rPr>
                <w:rFonts w:cstheme="minorHAnsi"/>
              </w:rPr>
              <w:t>,</w:t>
            </w:r>
            <w:r w:rsidR="00410189">
              <w:rPr>
                <w:rFonts w:cstheme="minorHAnsi"/>
              </w:rPr>
              <w:t xml:space="preserve"> month of admission, length of stay and wealth index</w:t>
            </w:r>
            <w:r w:rsidRPr="00DC2C6B">
              <w:t xml:space="preserve">. </w:t>
            </w:r>
          </w:p>
          <w:p w14:paraId="079B17FA" w14:textId="1DFA9C04" w:rsidR="006175F1" w:rsidRDefault="006175F1" w:rsidP="006175F1">
            <w:pPr>
              <w:spacing w:line="240" w:lineRule="auto"/>
            </w:pPr>
            <w:r w:rsidRPr="00512E30">
              <w:rPr>
                <w:vertAlign w:val="superscript"/>
              </w:rPr>
              <w:t>1</w:t>
            </w:r>
            <w:r>
              <w:t xml:space="preserve"> Per protocol: includes children that had no missed </w:t>
            </w:r>
            <w:proofErr w:type="gramStart"/>
            <w:r>
              <w:t>visits, that</w:t>
            </w:r>
            <w:proofErr w:type="gramEnd"/>
            <w:r>
              <w:t xml:space="preserve"> consumed &gt; </w:t>
            </w:r>
            <w:r w:rsidR="0027454A">
              <w:t>50%</w:t>
            </w:r>
            <w:r>
              <w:t xml:space="preserve"> of daily dose throughout treatment, that were not falsely discharged and that received the correct RUTF dose throughout treatment. </w:t>
            </w:r>
            <w:r w:rsidR="004C741B">
              <w:t xml:space="preserve">MUAC, mid-upper arm circumference; </w:t>
            </w:r>
            <w:r w:rsidRPr="00DC2C6B">
              <w:t>RUTF</w:t>
            </w:r>
            <w:r w:rsidR="000327D5">
              <w:t>, ready-to-use therapeutic food</w:t>
            </w:r>
            <w:r w:rsidRPr="00DC2C6B">
              <w:t>.</w:t>
            </w:r>
          </w:p>
          <w:p w14:paraId="63F386B8" w14:textId="77777777" w:rsidR="006175F1" w:rsidRPr="00DC2C6B" w:rsidRDefault="006175F1" w:rsidP="006175F1">
            <w:pPr>
              <w:spacing w:line="240" w:lineRule="auto"/>
            </w:pPr>
          </w:p>
        </w:tc>
      </w:tr>
    </w:tbl>
    <w:p w14:paraId="385F2D78" w14:textId="77777777" w:rsidR="0006362F" w:rsidRDefault="0006362F" w:rsidP="004311CE">
      <w:pPr>
        <w:pStyle w:val="Lgende"/>
      </w:pPr>
    </w:p>
    <w:sectPr w:rsidR="00063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E4EE5"/>
    <w:multiLevelType w:val="hybridMultilevel"/>
    <w:tmpl w:val="59FCA584"/>
    <w:lvl w:ilvl="0" w:tplc="BAF85062">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43"/>
    <w:rsid w:val="00006D41"/>
    <w:rsid w:val="000327D5"/>
    <w:rsid w:val="0005055A"/>
    <w:rsid w:val="0006362F"/>
    <w:rsid w:val="001B482A"/>
    <w:rsid w:val="00223174"/>
    <w:rsid w:val="00232032"/>
    <w:rsid w:val="0027454A"/>
    <w:rsid w:val="003071CB"/>
    <w:rsid w:val="003D4A53"/>
    <w:rsid w:val="004020DB"/>
    <w:rsid w:val="00410189"/>
    <w:rsid w:val="004311CE"/>
    <w:rsid w:val="004C741B"/>
    <w:rsid w:val="00555E33"/>
    <w:rsid w:val="0056495F"/>
    <w:rsid w:val="005973FF"/>
    <w:rsid w:val="005F2235"/>
    <w:rsid w:val="006175F1"/>
    <w:rsid w:val="00640433"/>
    <w:rsid w:val="00641ADA"/>
    <w:rsid w:val="006A1700"/>
    <w:rsid w:val="006D10BB"/>
    <w:rsid w:val="006F224D"/>
    <w:rsid w:val="007016DA"/>
    <w:rsid w:val="00907132"/>
    <w:rsid w:val="00AB7993"/>
    <w:rsid w:val="00AF0198"/>
    <w:rsid w:val="00AF2111"/>
    <w:rsid w:val="00B536DF"/>
    <w:rsid w:val="00BD3BD0"/>
    <w:rsid w:val="00BF6BB5"/>
    <w:rsid w:val="00C305B3"/>
    <w:rsid w:val="00D23843"/>
    <w:rsid w:val="00DD2A06"/>
    <w:rsid w:val="00E66B67"/>
    <w:rsid w:val="00F042C3"/>
    <w:rsid w:val="00F744F7"/>
    <w:rsid w:val="00F95FD3"/>
    <w:rsid w:val="00FE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EC9C"/>
  <w15:chartTrackingRefBased/>
  <w15:docId w15:val="{345540EE-0172-477B-866B-7018625F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43"/>
    <w:pPr>
      <w:spacing w:after="0" w:line="480" w:lineRule="auto"/>
      <w:jc w:val="both"/>
    </w:pPr>
    <w:rPr>
      <w:rFonts w:ascii="Arial" w:eastAsia="Times New Roman" w:hAnsi="Arial" w:cs="Calibri"/>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D23843"/>
    <w:rPr>
      <w:rFonts w:cs="Times New Roman"/>
      <w:sz w:val="16"/>
      <w:szCs w:val="16"/>
    </w:rPr>
  </w:style>
  <w:style w:type="paragraph" w:styleId="Commentaire">
    <w:name w:val="annotation text"/>
    <w:basedOn w:val="Normal"/>
    <w:link w:val="CommentaireCar"/>
    <w:uiPriority w:val="99"/>
    <w:rsid w:val="00D23843"/>
    <w:pPr>
      <w:spacing w:line="240" w:lineRule="auto"/>
    </w:pPr>
    <w:rPr>
      <w:szCs w:val="20"/>
    </w:rPr>
  </w:style>
  <w:style w:type="character" w:customStyle="1" w:styleId="CommentaireCar">
    <w:name w:val="Commentaire Car"/>
    <w:basedOn w:val="Policepardfaut"/>
    <w:link w:val="Commentaire"/>
    <w:uiPriority w:val="99"/>
    <w:rsid w:val="00D23843"/>
    <w:rPr>
      <w:rFonts w:ascii="Arial" w:eastAsia="Times New Roman" w:hAnsi="Arial" w:cs="Calibri"/>
      <w:sz w:val="20"/>
      <w:szCs w:val="20"/>
      <w:lang w:val="en-GB"/>
    </w:rPr>
  </w:style>
  <w:style w:type="paragraph" w:styleId="Textedebulles">
    <w:name w:val="Balloon Text"/>
    <w:basedOn w:val="Normal"/>
    <w:link w:val="TextedebullesCar"/>
    <w:uiPriority w:val="99"/>
    <w:semiHidden/>
    <w:unhideWhenUsed/>
    <w:rsid w:val="00D2384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843"/>
    <w:rPr>
      <w:rFonts w:ascii="Segoe UI" w:eastAsia="Times New Roman" w:hAnsi="Segoe UI" w:cs="Segoe UI"/>
      <w:sz w:val="18"/>
      <w:szCs w:val="18"/>
      <w:lang w:val="en-GB"/>
    </w:rPr>
  </w:style>
  <w:style w:type="paragraph" w:styleId="Lgende">
    <w:name w:val="caption"/>
    <w:basedOn w:val="Normal"/>
    <w:next w:val="Normal"/>
    <w:uiPriority w:val="35"/>
    <w:unhideWhenUsed/>
    <w:qFormat/>
    <w:rsid w:val="00F042C3"/>
    <w:pPr>
      <w:spacing w:after="200" w:line="240" w:lineRule="auto"/>
    </w:pPr>
    <w:rPr>
      <w:i/>
      <w:iCs/>
      <w:color w:val="44546A" w:themeColor="text2"/>
      <w:sz w:val="18"/>
      <w:szCs w:val="18"/>
    </w:rPr>
  </w:style>
  <w:style w:type="paragraph" w:styleId="Paragraphedeliste">
    <w:name w:val="List Paragraph"/>
    <w:basedOn w:val="Normal"/>
    <w:uiPriority w:val="34"/>
    <w:qFormat/>
    <w:rsid w:val="003D4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Kangas</dc:creator>
  <cp:keywords/>
  <dc:description/>
  <cp:lastModifiedBy>Suvi Kangas</cp:lastModifiedBy>
  <cp:revision>2</cp:revision>
  <dcterms:created xsi:type="dcterms:W3CDTF">2019-07-15T10:14:00Z</dcterms:created>
  <dcterms:modified xsi:type="dcterms:W3CDTF">2019-07-15T10:14:00Z</dcterms:modified>
</cp:coreProperties>
</file>