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EDB" w:rsidRDefault="00EA6EDB" w:rsidP="00EA6EDB"/>
    <w:tbl>
      <w:tblPr>
        <w:tblStyle w:val="TableGrid"/>
        <w:tblW w:w="4139" w:type="pct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3106"/>
      </w:tblGrid>
      <w:tr w:rsidR="00EA6EDB" w:rsidRPr="00035B53" w:rsidTr="00D21CA1">
        <w:trPr>
          <w:trHeight w:val="566"/>
        </w:trPr>
        <w:tc>
          <w:tcPr>
            <w:tcW w:w="3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EDB" w:rsidRPr="00035B53" w:rsidRDefault="00EA6EDB" w:rsidP="00D21CA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Characteristic</w:t>
            </w:r>
          </w:p>
        </w:tc>
        <w:tc>
          <w:tcPr>
            <w:tcW w:w="1861" w:type="pct"/>
            <w:tcBorders>
              <w:top w:val="single" w:sz="4" w:space="0" w:color="auto"/>
              <w:bottom w:val="single" w:sz="4" w:space="0" w:color="auto"/>
            </w:tcBorders>
          </w:tcPr>
          <w:p w:rsidR="00EA6EDB" w:rsidRDefault="00EA6EDB" w:rsidP="00D21CA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Onset </w:t>
            </w:r>
            <w:r w:rsidRPr="00035B53">
              <w:rPr>
                <w:rFonts w:asciiTheme="minorHAnsi" w:hAnsiTheme="minorHAnsi"/>
                <w:b/>
                <w:sz w:val="20"/>
                <w:szCs w:val="20"/>
              </w:rPr>
              <w:t>January 1, 2005–</w:t>
            </w:r>
          </w:p>
          <w:p w:rsidR="00EA6EDB" w:rsidRPr="00035B53" w:rsidRDefault="00EA6EDB" w:rsidP="00D21CA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July 31, 2014</w:t>
            </w:r>
            <w:r w:rsidRPr="00944929">
              <w:rPr>
                <w:rFonts w:asciiTheme="minorHAnsi" w:hAnsiTheme="minorHAnsi"/>
                <w:b/>
                <w:sz w:val="20"/>
                <w:szCs w:val="20"/>
              </w:rPr>
              <w:t>;      N=13</w:t>
            </w:r>
          </w:p>
        </w:tc>
      </w:tr>
      <w:tr w:rsidR="00EA6EDB" w:rsidRPr="00035B53" w:rsidTr="00D21CA1">
        <w:tc>
          <w:tcPr>
            <w:tcW w:w="3139" w:type="pct"/>
            <w:tcBorders>
              <w:top w:val="single" w:sz="4" w:space="0" w:color="auto"/>
            </w:tcBorders>
          </w:tcPr>
          <w:p w:rsidR="00EA6EDB" w:rsidRPr="00C84FAD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AD1AF1">
              <w:rPr>
                <w:rFonts w:asciiTheme="minorHAnsi" w:hAnsiTheme="minorHAnsi"/>
                <w:sz w:val="20"/>
                <w:szCs w:val="20"/>
              </w:rPr>
              <w:t>Age, median (range)</w:t>
            </w:r>
          </w:p>
        </w:tc>
        <w:tc>
          <w:tcPr>
            <w:tcW w:w="1861" w:type="pct"/>
            <w:tcBorders>
              <w:top w:val="single" w:sz="4" w:space="0" w:color="auto"/>
            </w:tcBorders>
          </w:tcPr>
          <w:p w:rsidR="00EA6EDB" w:rsidRPr="00AD1AF1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D1AF1">
              <w:rPr>
                <w:rFonts w:asciiTheme="minorHAnsi" w:hAnsiTheme="minorHAnsi"/>
                <w:sz w:val="20"/>
                <w:szCs w:val="20"/>
              </w:rPr>
              <w:t>11.</w:t>
            </w: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Pr="00AD1AF1">
              <w:rPr>
                <w:rFonts w:asciiTheme="minorHAnsi" w:hAnsiTheme="minorHAnsi"/>
                <w:sz w:val="20"/>
                <w:szCs w:val="20"/>
              </w:rPr>
              <w:t xml:space="preserve"> years </w:t>
            </w:r>
            <w:r>
              <w:rPr>
                <w:rFonts w:asciiTheme="minorHAnsi" w:hAnsiTheme="minorHAnsi"/>
                <w:sz w:val="20"/>
                <w:szCs w:val="20"/>
              </w:rPr>
              <w:t>(0.8-16.3</w:t>
            </w:r>
            <w:r w:rsidRPr="00AD1AF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EA6EDB" w:rsidRPr="00035B53" w:rsidTr="00D21CA1">
        <w:trPr>
          <w:trHeight w:val="260"/>
        </w:trPr>
        <w:tc>
          <w:tcPr>
            <w:tcW w:w="3139" w:type="pct"/>
          </w:tcPr>
          <w:p w:rsidR="00EA6EDB" w:rsidRPr="00035B5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35B53">
              <w:rPr>
                <w:rFonts w:asciiTheme="minorHAnsi" w:hAnsiTheme="minorHAnsi"/>
                <w:sz w:val="20"/>
                <w:szCs w:val="20"/>
              </w:rPr>
              <w:t>Sex</w:t>
            </w:r>
          </w:p>
        </w:tc>
        <w:tc>
          <w:tcPr>
            <w:tcW w:w="1861" w:type="pct"/>
          </w:tcPr>
          <w:p w:rsidR="00EA6EDB" w:rsidRPr="00035B5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Male: 7 (53%)   Female: 6 (46%) </w:t>
            </w:r>
          </w:p>
        </w:tc>
      </w:tr>
      <w:tr w:rsidR="00EA6EDB" w:rsidRPr="00035B53" w:rsidTr="00D21CA1">
        <w:trPr>
          <w:trHeight w:val="278"/>
        </w:trPr>
        <w:tc>
          <w:tcPr>
            <w:tcW w:w="3139" w:type="pct"/>
          </w:tcPr>
          <w:p w:rsidR="00EA6EDB" w:rsidRPr="00035B5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33981">
              <w:rPr>
                <w:rFonts w:asciiTheme="minorHAnsi" w:hAnsiTheme="minorHAnsi"/>
                <w:sz w:val="20"/>
                <w:szCs w:val="20"/>
              </w:rPr>
              <w:t>Race</w:t>
            </w:r>
          </w:p>
        </w:tc>
        <w:tc>
          <w:tcPr>
            <w:tcW w:w="1861" w:type="pct"/>
          </w:tcPr>
          <w:p w:rsidR="00EA6EDB" w:rsidRPr="00733981" w:rsidRDefault="00EA6EDB" w:rsidP="0009768F">
            <w:pPr>
              <w:rPr>
                <w:sz w:val="20"/>
                <w:szCs w:val="20"/>
              </w:rPr>
            </w:pPr>
            <w:r w:rsidRPr="00733981">
              <w:rPr>
                <w:sz w:val="20"/>
                <w:szCs w:val="20"/>
              </w:rPr>
              <w:t>White 1</w:t>
            </w:r>
            <w:r>
              <w:rPr>
                <w:sz w:val="20"/>
                <w:szCs w:val="20"/>
              </w:rPr>
              <w:t>3</w:t>
            </w:r>
            <w:r w:rsidRPr="00733981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3</w:t>
            </w:r>
            <w:r w:rsidRPr="00733981">
              <w:rPr>
                <w:sz w:val="20"/>
                <w:szCs w:val="20"/>
              </w:rPr>
              <w:t xml:space="preserve"> (100%</w:t>
            </w:r>
            <w:proofErr w:type="gramStart"/>
            <w:r w:rsidRPr="00733981">
              <w:rPr>
                <w:sz w:val="20"/>
                <w:szCs w:val="20"/>
              </w:rPr>
              <w:t>)</w:t>
            </w:r>
            <w:r w:rsidR="0009768F" w:rsidRPr="006E569B">
              <w:rPr>
                <w:rStyle w:val="e24kjd"/>
                <w:rFonts w:ascii="Arial" w:hAnsi="Arial" w:cs="Arial"/>
                <w:color w:val="222222"/>
                <w:sz w:val="20"/>
                <w:vertAlign w:val="superscript"/>
              </w:rPr>
              <w:t>†</w:t>
            </w:r>
            <w:proofErr w:type="gramEnd"/>
          </w:p>
        </w:tc>
      </w:tr>
      <w:tr w:rsidR="00EA6EDB" w:rsidRPr="00035B53" w:rsidTr="00D21CA1">
        <w:trPr>
          <w:trHeight w:val="278"/>
        </w:trPr>
        <w:tc>
          <w:tcPr>
            <w:tcW w:w="3139" w:type="pct"/>
          </w:tcPr>
          <w:p w:rsidR="00EA6EDB" w:rsidRDefault="00EA6EDB" w:rsidP="000976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Underlying medical condition</w:t>
            </w:r>
          </w:p>
        </w:tc>
        <w:tc>
          <w:tcPr>
            <w:tcW w:w="1861" w:type="pct"/>
          </w:tcPr>
          <w:p w:rsidR="00EA6EDB" w:rsidRPr="007A1B5C" w:rsidRDefault="00EA6EDB" w:rsidP="0009768F">
            <w:pPr>
              <w:rPr>
                <w:sz w:val="20"/>
                <w:szCs w:val="20"/>
              </w:rPr>
            </w:pPr>
            <w:r w:rsidRPr="007A1B5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12 (8%</w:t>
            </w:r>
            <w:proofErr w:type="gramStart"/>
            <w:r>
              <w:rPr>
                <w:sz w:val="20"/>
                <w:szCs w:val="20"/>
              </w:rPr>
              <w:t>)</w:t>
            </w:r>
            <w:r w:rsidR="0009768F" w:rsidRPr="00AB191F">
              <w:rPr>
                <w:rStyle w:val="e24kjd"/>
                <w:rFonts w:ascii="Arial" w:hAnsi="Arial" w:cs="Arial"/>
                <w:color w:val="222222"/>
                <w:sz w:val="20"/>
                <w:vertAlign w:val="superscript"/>
              </w:rPr>
              <w:t>‡</w:t>
            </w:r>
            <w:proofErr w:type="gramEnd"/>
          </w:p>
        </w:tc>
      </w:tr>
      <w:tr w:rsidR="00EA6EDB" w:rsidRPr="00035B53" w:rsidTr="00D21CA1">
        <w:trPr>
          <w:trHeight w:val="287"/>
        </w:trPr>
        <w:tc>
          <w:tcPr>
            <w:tcW w:w="3139" w:type="pct"/>
          </w:tcPr>
          <w:p w:rsidR="00EA6EDB" w:rsidRDefault="00EA6EDB" w:rsidP="000976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Underlying asthma</w:t>
            </w:r>
          </w:p>
        </w:tc>
        <w:tc>
          <w:tcPr>
            <w:tcW w:w="1861" w:type="pct"/>
          </w:tcPr>
          <w:p w:rsidR="00EA6EDB" w:rsidRPr="007A1B5C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A1B5C">
              <w:rPr>
                <w:rFonts w:asciiTheme="minorHAnsi" w:hAnsiTheme="minorHAnsi"/>
                <w:sz w:val="20"/>
                <w:szCs w:val="20"/>
              </w:rPr>
              <w:t>0/</w:t>
            </w:r>
            <w:r>
              <w:rPr>
                <w:rFonts w:asciiTheme="minorHAnsi" w:hAnsiTheme="minorHAnsi"/>
                <w:sz w:val="20"/>
                <w:szCs w:val="20"/>
              </w:rPr>
              <w:t>12 (0%)</w:t>
            </w:r>
          </w:p>
        </w:tc>
      </w:tr>
      <w:tr w:rsidR="00EA6EDB" w:rsidRPr="00035B53" w:rsidTr="00D21CA1">
        <w:trPr>
          <w:trHeight w:val="278"/>
        </w:trPr>
        <w:tc>
          <w:tcPr>
            <w:tcW w:w="3139" w:type="pct"/>
          </w:tcPr>
          <w:p w:rsidR="00EA6EDB" w:rsidRPr="00035B5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Received steroids in the 4-weeks before weakness onset</w:t>
            </w:r>
          </w:p>
        </w:tc>
        <w:tc>
          <w:tcPr>
            <w:tcW w:w="1861" w:type="pct"/>
          </w:tcPr>
          <w:p w:rsidR="00EA6EDB" w:rsidRPr="007A1B5C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0/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9  (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0%)</w:t>
            </w:r>
          </w:p>
        </w:tc>
      </w:tr>
      <w:tr w:rsidR="00EA6EDB" w:rsidRPr="00035B53" w:rsidTr="00D21CA1">
        <w:trPr>
          <w:trHeight w:val="225"/>
        </w:trPr>
        <w:tc>
          <w:tcPr>
            <w:tcW w:w="3139" w:type="pct"/>
          </w:tcPr>
          <w:p w:rsidR="00EA6EDB" w:rsidRPr="00E82C1C" w:rsidRDefault="00EA6EDB" w:rsidP="00D21CA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F37EC6">
              <w:rPr>
                <w:rFonts w:asciiTheme="minorHAnsi" w:hAnsiTheme="minorHAnsi"/>
                <w:color w:val="auto"/>
                <w:sz w:val="20"/>
                <w:szCs w:val="20"/>
              </w:rPr>
              <w:t>Autoimmune disorders in immediate family members</w:t>
            </w:r>
          </w:p>
        </w:tc>
        <w:tc>
          <w:tcPr>
            <w:tcW w:w="1861" w:type="pct"/>
          </w:tcPr>
          <w:p w:rsidR="00EA6EDB" w:rsidRPr="00CE6ED8" w:rsidRDefault="00EA6EDB" w:rsidP="0009768F">
            <w:pPr>
              <w:rPr>
                <w:sz w:val="20"/>
                <w:szCs w:val="20"/>
              </w:rPr>
            </w:pPr>
            <w:r w:rsidRPr="00CE6ED8">
              <w:rPr>
                <w:sz w:val="20"/>
                <w:szCs w:val="20"/>
              </w:rPr>
              <w:t>2/9 (22%</w:t>
            </w:r>
            <w:proofErr w:type="gramStart"/>
            <w:r w:rsidRPr="00CE6ED8">
              <w:rPr>
                <w:sz w:val="20"/>
                <w:szCs w:val="20"/>
              </w:rPr>
              <w:t>)</w:t>
            </w:r>
            <w:r w:rsidR="0009768F" w:rsidRPr="00AB191F">
              <w:rPr>
                <w:rStyle w:val="e24kjd"/>
                <w:rFonts w:ascii="Arial" w:hAnsi="Arial" w:cs="Arial"/>
                <w:color w:val="222222"/>
                <w:sz w:val="20"/>
                <w:vertAlign w:val="superscript"/>
              </w:rPr>
              <w:t>§</w:t>
            </w:r>
            <w:proofErr w:type="gramEnd"/>
          </w:p>
        </w:tc>
      </w:tr>
      <w:tr w:rsidR="00EA6EDB" w:rsidRPr="00035B53" w:rsidTr="00D21CA1">
        <w:tc>
          <w:tcPr>
            <w:tcW w:w="3139" w:type="pct"/>
          </w:tcPr>
          <w:p w:rsidR="00EA6EDB" w:rsidRPr="00E92335" w:rsidDel="00040B0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Illness in the 4-weeks preceding limb weakness onset:</w:t>
            </w:r>
          </w:p>
        </w:tc>
        <w:tc>
          <w:tcPr>
            <w:tcW w:w="1861" w:type="pct"/>
          </w:tcPr>
          <w:p w:rsidR="00EA6EDB" w:rsidRPr="00035B5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6EDB" w:rsidRPr="00035B53" w:rsidTr="00D21CA1">
        <w:tc>
          <w:tcPr>
            <w:tcW w:w="3139" w:type="pct"/>
          </w:tcPr>
          <w:p w:rsidR="00EA6EDB" w:rsidRPr="00E92335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Pr="00E92335">
              <w:rPr>
                <w:rFonts w:asciiTheme="minorHAnsi" w:hAnsiTheme="minorHAnsi"/>
                <w:sz w:val="20"/>
                <w:szCs w:val="20"/>
              </w:rPr>
              <w:t xml:space="preserve">Respiratory illness </w:t>
            </w:r>
          </w:p>
        </w:tc>
        <w:tc>
          <w:tcPr>
            <w:tcW w:w="1861" w:type="pct"/>
          </w:tcPr>
          <w:p w:rsidR="00EA6EDB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2/13 (15%)</w:t>
            </w:r>
          </w:p>
        </w:tc>
      </w:tr>
      <w:tr w:rsidR="00EA6EDB" w:rsidRPr="00035B53" w:rsidTr="00D21CA1">
        <w:tc>
          <w:tcPr>
            <w:tcW w:w="3139" w:type="pct"/>
          </w:tcPr>
          <w:p w:rsidR="00EA6EDB" w:rsidRPr="00E92335" w:rsidDel="00040B0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Pr="00E92335">
              <w:rPr>
                <w:rFonts w:asciiTheme="minorHAnsi" w:hAnsiTheme="minorHAnsi"/>
                <w:sz w:val="20"/>
                <w:szCs w:val="20"/>
              </w:rPr>
              <w:t xml:space="preserve">Febrile illness </w:t>
            </w:r>
          </w:p>
        </w:tc>
        <w:tc>
          <w:tcPr>
            <w:tcW w:w="1861" w:type="pct"/>
          </w:tcPr>
          <w:p w:rsidR="00EA6EDB" w:rsidRPr="00035B5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1/10 (10%)</w:t>
            </w:r>
          </w:p>
        </w:tc>
      </w:tr>
      <w:tr w:rsidR="00EA6EDB" w:rsidRPr="00035B53" w:rsidTr="00D21CA1">
        <w:tc>
          <w:tcPr>
            <w:tcW w:w="3139" w:type="pct"/>
          </w:tcPr>
          <w:p w:rsidR="00EA6EDB" w:rsidRPr="00E92335" w:rsidDel="00040B0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Pr="00E92335">
              <w:rPr>
                <w:rFonts w:asciiTheme="minorHAnsi" w:hAnsiTheme="minorHAnsi"/>
                <w:sz w:val="20"/>
                <w:szCs w:val="20"/>
              </w:rPr>
              <w:t xml:space="preserve">Respiratory or febrile illness </w:t>
            </w:r>
          </w:p>
        </w:tc>
        <w:tc>
          <w:tcPr>
            <w:tcW w:w="1861" w:type="pct"/>
          </w:tcPr>
          <w:p w:rsidR="00EA6EDB" w:rsidRPr="00035B5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3/12 (25%)</w:t>
            </w:r>
          </w:p>
        </w:tc>
      </w:tr>
      <w:tr w:rsidR="00EA6EDB" w:rsidRPr="00035B53" w:rsidTr="00D21CA1">
        <w:tc>
          <w:tcPr>
            <w:tcW w:w="3139" w:type="pct"/>
          </w:tcPr>
          <w:p w:rsidR="00EA6EDB" w:rsidRPr="00E92335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  </w:t>
            </w:r>
            <w:r w:rsidRPr="00CB0337">
              <w:rPr>
                <w:rFonts w:asciiTheme="minorHAnsi" w:hAnsiTheme="minorHAnsi"/>
                <w:color w:val="auto"/>
                <w:sz w:val="20"/>
                <w:szCs w:val="20"/>
              </w:rPr>
              <w:t>GI illness</w:t>
            </w:r>
          </w:p>
        </w:tc>
        <w:tc>
          <w:tcPr>
            <w:tcW w:w="1861" w:type="pct"/>
          </w:tcPr>
          <w:p w:rsidR="00EA6EDB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3/13 (23%)</w:t>
            </w:r>
          </w:p>
        </w:tc>
      </w:tr>
      <w:tr w:rsidR="00EA6EDB" w:rsidRPr="00035B53" w:rsidTr="00D21CA1">
        <w:tc>
          <w:tcPr>
            <w:tcW w:w="3139" w:type="pct"/>
          </w:tcPr>
          <w:p w:rsidR="00EA6EDB" w:rsidRPr="00917DDF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Fever on day of </w:t>
            </w:r>
            <w:r w:rsidRPr="00E92335">
              <w:rPr>
                <w:rFonts w:asciiTheme="minorHAnsi" w:hAnsiTheme="minorHAnsi"/>
                <w:sz w:val="20"/>
                <w:szCs w:val="20"/>
              </w:rPr>
              <w:t>weakness onset</w:t>
            </w:r>
          </w:p>
        </w:tc>
        <w:tc>
          <w:tcPr>
            <w:tcW w:w="1861" w:type="pct"/>
          </w:tcPr>
          <w:p w:rsidR="00EA6EDB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3/12 (25%)</w:t>
            </w:r>
          </w:p>
        </w:tc>
      </w:tr>
      <w:tr w:rsidR="00EA6EDB" w:rsidRPr="00035B53" w:rsidTr="00D21CA1">
        <w:tc>
          <w:tcPr>
            <w:tcW w:w="3139" w:type="pct"/>
            <w:shd w:val="clear" w:color="auto" w:fill="AEAAAA" w:themeFill="background2" w:themeFillShade="BF"/>
          </w:tcPr>
          <w:p w:rsidR="00EA6EDB" w:rsidRPr="00DE6D22" w:rsidRDefault="00EA6EDB" w:rsidP="00D21CA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Clinical i</w:t>
            </w:r>
            <w:r w:rsidRPr="00DE6D22">
              <w:rPr>
                <w:rFonts w:asciiTheme="minorHAnsi" w:hAnsiTheme="minorHAnsi"/>
                <w:b/>
                <w:sz w:val="20"/>
                <w:szCs w:val="20"/>
              </w:rPr>
              <w:t>nvolvement</w:t>
            </w:r>
            <w:r w:rsidRPr="00F242C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61" w:type="pct"/>
          </w:tcPr>
          <w:p w:rsidR="00EA6EDB" w:rsidRPr="00AB42D1" w:rsidRDefault="00EA6EDB" w:rsidP="00D21CA1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A6EDB" w:rsidRPr="00035B53" w:rsidTr="00D21CA1">
        <w:tc>
          <w:tcPr>
            <w:tcW w:w="3139" w:type="pct"/>
          </w:tcPr>
          <w:p w:rsidR="00EA6EDB" w:rsidRPr="00DE6D22" w:rsidRDefault="00EA6EDB" w:rsidP="00D21CA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Upper extremity(ies) involved</w:t>
            </w:r>
          </w:p>
        </w:tc>
        <w:tc>
          <w:tcPr>
            <w:tcW w:w="1861" w:type="pct"/>
          </w:tcPr>
          <w:p w:rsidR="00EA6EDB" w:rsidRPr="003948E4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4</w:t>
            </w:r>
            <w:r w:rsidRPr="003948E4">
              <w:rPr>
                <w:rFonts w:asciiTheme="minorHAnsi" w:hAnsiTheme="minorHAnsi"/>
                <w:sz w:val="20"/>
                <w:szCs w:val="20"/>
              </w:rPr>
              <w:t>/1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3948E4">
              <w:rPr>
                <w:rFonts w:asciiTheme="minorHAnsi" w:hAnsiTheme="minorHAnsi"/>
                <w:sz w:val="20"/>
                <w:szCs w:val="20"/>
              </w:rPr>
              <w:t xml:space="preserve"> (3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3948E4">
              <w:rPr>
                <w:rFonts w:asciiTheme="minorHAnsi" w:hAnsiTheme="minorHAnsi"/>
                <w:sz w:val="20"/>
                <w:szCs w:val="20"/>
              </w:rPr>
              <w:t>%)</w:t>
            </w:r>
          </w:p>
        </w:tc>
      </w:tr>
      <w:tr w:rsidR="00EA6EDB" w:rsidRPr="00035B53" w:rsidTr="00D21CA1">
        <w:tc>
          <w:tcPr>
            <w:tcW w:w="3139" w:type="pct"/>
          </w:tcPr>
          <w:p w:rsidR="00EA6EDB" w:rsidRPr="00DE6D22" w:rsidRDefault="00EA6EDB" w:rsidP="00D21CA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Lower extremity(ies) involved</w:t>
            </w:r>
          </w:p>
        </w:tc>
        <w:tc>
          <w:tcPr>
            <w:tcW w:w="1861" w:type="pct"/>
          </w:tcPr>
          <w:p w:rsidR="00EA6EDB" w:rsidRPr="003948E4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948E4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3948E4">
              <w:rPr>
                <w:rFonts w:asciiTheme="minorHAnsi" w:hAnsiTheme="minorHAnsi"/>
                <w:sz w:val="20"/>
                <w:szCs w:val="20"/>
              </w:rPr>
              <w:t>/1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3948E4">
              <w:rPr>
                <w:rFonts w:asciiTheme="minorHAnsi" w:hAnsiTheme="minorHAnsi"/>
                <w:sz w:val="20"/>
                <w:szCs w:val="20"/>
              </w:rPr>
              <w:t xml:space="preserve"> (100%)</w:t>
            </w:r>
          </w:p>
        </w:tc>
      </w:tr>
      <w:tr w:rsidR="00EA6EDB" w:rsidRPr="00035B53" w:rsidTr="00D21CA1">
        <w:tc>
          <w:tcPr>
            <w:tcW w:w="3139" w:type="pct"/>
          </w:tcPr>
          <w:p w:rsidR="00EA6EDB" w:rsidRPr="00DE6D22" w:rsidRDefault="00EA6EDB" w:rsidP="00D21CA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Only upper extremity(ies) involved</w:t>
            </w:r>
          </w:p>
        </w:tc>
        <w:tc>
          <w:tcPr>
            <w:tcW w:w="1861" w:type="pct"/>
          </w:tcPr>
          <w:p w:rsidR="00EA6EDB" w:rsidRPr="00322D70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B42D1">
              <w:rPr>
                <w:rFonts w:asciiTheme="minorHAnsi" w:hAnsiTheme="minorHAnsi"/>
                <w:i/>
                <w:sz w:val="20"/>
                <w:szCs w:val="20"/>
              </w:rPr>
              <w:t xml:space="preserve">  </w:t>
            </w:r>
            <w:r w:rsidRPr="00322D70">
              <w:rPr>
                <w:rFonts w:asciiTheme="minorHAnsi" w:hAnsiTheme="minorHAnsi"/>
                <w:sz w:val="20"/>
                <w:szCs w:val="20"/>
              </w:rPr>
              <w:t>0/1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322D70">
              <w:rPr>
                <w:rFonts w:asciiTheme="minorHAnsi" w:hAnsiTheme="minorHAnsi"/>
                <w:sz w:val="20"/>
                <w:szCs w:val="20"/>
              </w:rPr>
              <w:t xml:space="preserve"> (0%)</w:t>
            </w:r>
          </w:p>
        </w:tc>
      </w:tr>
      <w:tr w:rsidR="00EA6EDB" w:rsidRPr="00035B53" w:rsidTr="00D21CA1">
        <w:tc>
          <w:tcPr>
            <w:tcW w:w="3139" w:type="pct"/>
          </w:tcPr>
          <w:p w:rsidR="00EA6EDB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Only lower extremity(Ies) involved </w:t>
            </w:r>
          </w:p>
        </w:tc>
        <w:tc>
          <w:tcPr>
            <w:tcW w:w="1861" w:type="pct"/>
          </w:tcPr>
          <w:p w:rsidR="00EA6EDB" w:rsidRPr="00322D70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22D7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22D70">
              <w:rPr>
                <w:rFonts w:asciiTheme="minorHAnsi" w:hAnsiTheme="minorHAnsi"/>
                <w:sz w:val="20"/>
                <w:szCs w:val="20"/>
              </w:rPr>
              <w:t>9/1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322D70">
              <w:rPr>
                <w:rFonts w:asciiTheme="minorHAnsi" w:hAnsiTheme="minorHAnsi"/>
                <w:sz w:val="20"/>
                <w:szCs w:val="20"/>
              </w:rPr>
              <w:t xml:space="preserve"> (6</w:t>
            </w: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Pr="00322D70">
              <w:rPr>
                <w:rFonts w:asciiTheme="minorHAnsi" w:hAnsiTheme="minorHAnsi"/>
                <w:sz w:val="20"/>
                <w:szCs w:val="20"/>
              </w:rPr>
              <w:t>%)</w:t>
            </w:r>
          </w:p>
        </w:tc>
      </w:tr>
      <w:tr w:rsidR="00EA6EDB" w:rsidRPr="00035B53" w:rsidTr="00D21CA1">
        <w:tc>
          <w:tcPr>
            <w:tcW w:w="3139" w:type="pct"/>
          </w:tcPr>
          <w:p w:rsidR="00EA6EDB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Monoplegia/paresis</w:t>
            </w:r>
          </w:p>
        </w:tc>
        <w:tc>
          <w:tcPr>
            <w:tcW w:w="1861" w:type="pct"/>
          </w:tcPr>
          <w:p w:rsidR="00EA6EDB" w:rsidRPr="00322D70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22D70">
              <w:rPr>
                <w:rFonts w:asciiTheme="minorHAnsi" w:hAnsiTheme="minorHAnsi"/>
                <w:sz w:val="20"/>
                <w:szCs w:val="20"/>
              </w:rPr>
              <w:t xml:space="preserve">            2/1</w:t>
            </w:r>
            <w:r>
              <w:rPr>
                <w:rFonts w:asciiTheme="minorHAnsi" w:hAnsiTheme="minorHAnsi"/>
                <w:sz w:val="20"/>
                <w:szCs w:val="20"/>
              </w:rPr>
              <w:t>3 (15</w:t>
            </w:r>
            <w:r w:rsidRPr="00322D70">
              <w:rPr>
                <w:rFonts w:asciiTheme="minorHAnsi" w:hAnsiTheme="minorHAnsi"/>
                <w:sz w:val="20"/>
                <w:szCs w:val="20"/>
              </w:rPr>
              <w:t>%)</w:t>
            </w:r>
          </w:p>
        </w:tc>
      </w:tr>
      <w:tr w:rsidR="00EA6EDB" w:rsidRPr="00035B53" w:rsidTr="00D21CA1">
        <w:tc>
          <w:tcPr>
            <w:tcW w:w="3139" w:type="pct"/>
          </w:tcPr>
          <w:p w:rsidR="00EA6EDB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Upper and lower extremities, but not all 4 </w:t>
            </w:r>
          </w:p>
        </w:tc>
        <w:tc>
          <w:tcPr>
            <w:tcW w:w="1861" w:type="pct"/>
          </w:tcPr>
          <w:p w:rsidR="00EA6EDB" w:rsidRPr="00322D70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22D70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322D70">
              <w:rPr>
                <w:rFonts w:asciiTheme="minorHAnsi" w:hAnsiTheme="minorHAnsi"/>
                <w:sz w:val="20"/>
                <w:szCs w:val="20"/>
              </w:rPr>
              <w:t>/1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322D70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00322D70">
              <w:rPr>
                <w:rFonts w:asciiTheme="minorHAnsi" w:hAnsiTheme="minorHAnsi"/>
                <w:sz w:val="20"/>
                <w:szCs w:val="20"/>
              </w:rPr>
              <w:t>%)</w:t>
            </w:r>
          </w:p>
        </w:tc>
      </w:tr>
      <w:tr w:rsidR="00EA6EDB" w:rsidRPr="00035B53" w:rsidTr="00D21CA1">
        <w:tc>
          <w:tcPr>
            <w:tcW w:w="3139" w:type="pct"/>
          </w:tcPr>
          <w:p w:rsidR="00EA6EDB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Quadriplegia/paresis</w:t>
            </w:r>
          </w:p>
        </w:tc>
        <w:tc>
          <w:tcPr>
            <w:tcW w:w="1861" w:type="pct"/>
          </w:tcPr>
          <w:p w:rsidR="00EA6EDB" w:rsidRPr="00322D70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22D7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322D70">
              <w:rPr>
                <w:rFonts w:asciiTheme="minorHAnsi" w:hAnsiTheme="minorHAnsi"/>
                <w:sz w:val="20"/>
                <w:szCs w:val="20"/>
              </w:rPr>
              <w:t>/1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322D70">
              <w:rPr>
                <w:rFonts w:asciiTheme="minorHAnsi" w:hAnsiTheme="minorHAnsi"/>
                <w:sz w:val="20"/>
                <w:szCs w:val="20"/>
              </w:rPr>
              <w:t xml:space="preserve"> (2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322D70">
              <w:rPr>
                <w:rFonts w:asciiTheme="minorHAnsi" w:hAnsiTheme="minorHAnsi"/>
                <w:sz w:val="20"/>
                <w:szCs w:val="20"/>
              </w:rPr>
              <w:t>%)</w:t>
            </w:r>
          </w:p>
        </w:tc>
      </w:tr>
      <w:tr w:rsidR="00EA6EDB" w:rsidRPr="00035B53" w:rsidTr="00D21CA1">
        <w:tc>
          <w:tcPr>
            <w:tcW w:w="3139" w:type="pct"/>
          </w:tcPr>
          <w:p w:rsidR="00EA6EDB" w:rsidRPr="00035B5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35B53">
              <w:rPr>
                <w:rFonts w:asciiTheme="minorHAnsi" w:hAnsiTheme="minorHAnsi"/>
                <w:sz w:val="20"/>
                <w:szCs w:val="20"/>
              </w:rPr>
              <w:t>Any cranial nerve sign</w:t>
            </w:r>
          </w:p>
        </w:tc>
        <w:tc>
          <w:tcPr>
            <w:tcW w:w="1861" w:type="pct"/>
          </w:tcPr>
          <w:p w:rsidR="00EA6EDB" w:rsidRPr="003948E4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948E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1/13</w:t>
            </w:r>
            <w:r w:rsidRPr="003948E4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003948E4">
              <w:rPr>
                <w:rFonts w:asciiTheme="minorHAnsi" w:hAnsiTheme="minorHAnsi"/>
                <w:sz w:val="20"/>
                <w:szCs w:val="20"/>
              </w:rPr>
              <w:t>%)</w:t>
            </w:r>
          </w:p>
        </w:tc>
      </w:tr>
      <w:tr w:rsidR="00EA6EDB" w:rsidRPr="00035B53" w:rsidTr="00D21CA1">
        <w:tc>
          <w:tcPr>
            <w:tcW w:w="3139" w:type="pct"/>
          </w:tcPr>
          <w:p w:rsidR="00EA6EDB" w:rsidRPr="00035B5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35B53">
              <w:rPr>
                <w:rFonts w:asciiTheme="minorHAnsi" w:hAnsiTheme="minorHAnsi"/>
                <w:sz w:val="20"/>
                <w:szCs w:val="20"/>
              </w:rPr>
              <w:t xml:space="preserve">Required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assisted </w:t>
            </w:r>
            <w:r w:rsidRPr="00035B53">
              <w:rPr>
                <w:rFonts w:asciiTheme="minorHAnsi" w:hAnsiTheme="minorHAnsi"/>
                <w:sz w:val="20"/>
                <w:szCs w:val="20"/>
              </w:rPr>
              <w:t>ventilation</w:t>
            </w:r>
            <w:r w:rsidRPr="00A02D98">
              <w:rPr>
                <w:rFonts w:asciiTheme="minorHAnsi" w:hAnsiTheme="minorHAnsi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861" w:type="pct"/>
          </w:tcPr>
          <w:p w:rsidR="00EA6EDB" w:rsidRPr="003948E4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948E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1/13</w:t>
            </w:r>
            <w:r w:rsidRPr="003948E4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003948E4">
              <w:rPr>
                <w:rFonts w:asciiTheme="minorHAnsi" w:hAnsiTheme="minorHAnsi"/>
                <w:sz w:val="20"/>
                <w:szCs w:val="20"/>
              </w:rPr>
              <w:t>%)</w:t>
            </w:r>
          </w:p>
        </w:tc>
      </w:tr>
      <w:tr w:rsidR="00EA6EDB" w:rsidRPr="00035B53" w:rsidTr="00D21CA1">
        <w:tc>
          <w:tcPr>
            <w:tcW w:w="3139" w:type="pct"/>
            <w:shd w:val="clear" w:color="auto" w:fill="AEAAAA" w:themeFill="background2" w:themeFillShade="BF"/>
          </w:tcPr>
          <w:p w:rsidR="00EA6EDB" w:rsidRPr="00E82C1C" w:rsidRDefault="00EA6EDB" w:rsidP="00D21CA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E82C1C">
              <w:rPr>
                <w:rFonts w:asciiTheme="minorHAnsi" w:hAnsiTheme="minorHAnsi"/>
                <w:b/>
                <w:sz w:val="20"/>
                <w:szCs w:val="20"/>
              </w:rPr>
              <w:t>CSF characteristics</w:t>
            </w:r>
          </w:p>
        </w:tc>
        <w:tc>
          <w:tcPr>
            <w:tcW w:w="1861" w:type="pct"/>
          </w:tcPr>
          <w:p w:rsidR="00EA6EDB" w:rsidRPr="00035B53" w:rsidRDefault="00EA6EDB" w:rsidP="000976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n=11   (11/13, 85%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="0009768F" w:rsidRPr="0009768F">
              <w:rPr>
                <w:rStyle w:val="e24kjd"/>
                <w:color w:val="222222"/>
                <w:vertAlign w:val="superscript"/>
              </w:rPr>
              <w:t>‖</w:t>
            </w:r>
            <w:proofErr w:type="gramEnd"/>
          </w:p>
        </w:tc>
      </w:tr>
      <w:tr w:rsidR="00EA6EDB" w:rsidRPr="00035B53" w:rsidTr="00D21CA1">
        <w:tc>
          <w:tcPr>
            <w:tcW w:w="3139" w:type="pct"/>
          </w:tcPr>
          <w:p w:rsidR="00EA6EDB" w:rsidRPr="005730F6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730F6">
              <w:rPr>
                <w:rFonts w:asciiTheme="minorHAnsi" w:hAnsiTheme="minorHAnsi"/>
                <w:sz w:val="20"/>
                <w:szCs w:val="20"/>
              </w:rPr>
              <w:t>WBC count,  median (range)</w:t>
            </w:r>
          </w:p>
        </w:tc>
        <w:tc>
          <w:tcPr>
            <w:tcW w:w="1861" w:type="pct"/>
          </w:tcPr>
          <w:p w:rsidR="00EA6EDB" w:rsidRPr="005730F6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730F6">
              <w:rPr>
                <w:rFonts w:asciiTheme="minorHAnsi" w:hAnsiTheme="minorHAnsi"/>
                <w:sz w:val="20"/>
                <w:szCs w:val="20"/>
              </w:rPr>
              <w:t xml:space="preserve">6 </w:t>
            </w:r>
            <w:r w:rsidRPr="005730F6">
              <w:rPr>
                <w:rFonts w:asciiTheme="minorHAnsi" w:hAnsiTheme="minorHAnsi"/>
                <w:color w:val="auto"/>
                <w:sz w:val="20"/>
                <w:szCs w:val="20"/>
              </w:rPr>
              <w:t>cells/µL  (0-180</w:t>
            </w:r>
            <w:r w:rsidRPr="005730F6">
              <w:rPr>
                <w:rFonts w:asciiTheme="minorHAnsi" w:hAnsiTheme="minorHAnsi"/>
                <w:sz w:val="20"/>
                <w:szCs w:val="20"/>
              </w:rPr>
              <w:t>)</w:t>
            </w:r>
            <w:r w:rsidRPr="005730F6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5730F6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</w:tr>
      <w:tr w:rsidR="00EA6EDB" w:rsidRPr="00035B53" w:rsidTr="00D21CA1">
        <w:tc>
          <w:tcPr>
            <w:tcW w:w="3139" w:type="pct"/>
          </w:tcPr>
          <w:p w:rsidR="00EA6EDB" w:rsidRPr="00035B5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WBC &gt;5 cells/uL</w:t>
            </w:r>
          </w:p>
        </w:tc>
        <w:tc>
          <w:tcPr>
            <w:tcW w:w="1861" w:type="pct"/>
          </w:tcPr>
          <w:p w:rsidR="00EA6EDB" w:rsidRPr="00035B5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6/11 (55%)</w:t>
            </w:r>
          </w:p>
        </w:tc>
      </w:tr>
      <w:tr w:rsidR="00EA6EDB" w:rsidRPr="00035B53" w:rsidTr="00D21CA1">
        <w:tc>
          <w:tcPr>
            <w:tcW w:w="3139" w:type="pct"/>
          </w:tcPr>
          <w:p w:rsidR="00EA6EDB" w:rsidRPr="0004101D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4101D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04101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101D">
              <w:rPr>
                <w:rFonts w:asciiTheme="minorHAnsi" w:hAnsiTheme="minorHAnsi"/>
                <w:sz w:val="20"/>
                <w:szCs w:val="20"/>
              </w:rPr>
              <w:t>Lymphocytic predominance</w:t>
            </w:r>
          </w:p>
        </w:tc>
        <w:tc>
          <w:tcPr>
            <w:tcW w:w="1861" w:type="pct"/>
          </w:tcPr>
          <w:p w:rsidR="00EA6EDB" w:rsidRPr="000B3CE1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0B3CE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5/6</w:t>
            </w:r>
            <w:r w:rsidRPr="000B3CE1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/>
                <w:sz w:val="20"/>
                <w:szCs w:val="20"/>
              </w:rPr>
              <w:t>83</w:t>
            </w:r>
            <w:r w:rsidRPr="000B3CE1">
              <w:rPr>
                <w:rFonts w:asciiTheme="minorHAnsi" w:hAnsiTheme="minorHAnsi"/>
                <w:sz w:val="20"/>
                <w:szCs w:val="20"/>
              </w:rPr>
              <w:t>%)</w:t>
            </w:r>
          </w:p>
        </w:tc>
      </w:tr>
      <w:tr w:rsidR="00EA6EDB" w:rsidRPr="00035B53" w:rsidTr="00D21CA1">
        <w:tc>
          <w:tcPr>
            <w:tcW w:w="3139" w:type="pct"/>
          </w:tcPr>
          <w:p w:rsidR="00EA6EDB" w:rsidRPr="00035B5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WBC &gt;5</w:t>
            </w: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E50B84">
              <w:rPr>
                <w:rFonts w:asciiTheme="minorHAnsi" w:hAnsiTheme="minorHAnsi"/>
                <w:sz w:val="20"/>
                <w:szCs w:val="20"/>
              </w:rPr>
              <w:t>lls/uL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at ≤2 days</w:t>
            </w:r>
          </w:p>
        </w:tc>
        <w:tc>
          <w:tcPr>
            <w:tcW w:w="1861" w:type="pct"/>
          </w:tcPr>
          <w:p w:rsidR="00EA6EDB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2/8 (25%)</w:t>
            </w:r>
          </w:p>
        </w:tc>
      </w:tr>
      <w:tr w:rsidR="00EA6EDB" w:rsidRPr="00035B53" w:rsidTr="00D21CA1">
        <w:tc>
          <w:tcPr>
            <w:tcW w:w="3139" w:type="pct"/>
          </w:tcPr>
          <w:p w:rsidR="00EA6EDB" w:rsidRPr="00035B5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Protein, </w:t>
            </w:r>
            <w:r w:rsidRPr="00035B53">
              <w:rPr>
                <w:rFonts w:asciiTheme="minorHAnsi" w:hAnsiTheme="minorHAnsi"/>
                <w:sz w:val="20"/>
                <w:szCs w:val="20"/>
              </w:rPr>
              <w:t>median (range)</w:t>
            </w:r>
          </w:p>
        </w:tc>
        <w:tc>
          <w:tcPr>
            <w:tcW w:w="1861" w:type="pct"/>
          </w:tcPr>
          <w:p w:rsidR="00EA6EDB" w:rsidRPr="00035B5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42 </w:t>
            </w:r>
            <w:r w:rsidRPr="00430C1A">
              <w:rPr>
                <w:rFonts w:asciiTheme="minorHAnsi" w:hAnsiTheme="minorHAnsi"/>
                <w:color w:val="auto"/>
                <w:sz w:val="20"/>
                <w:szCs w:val="20"/>
              </w:rPr>
              <w:t>mg/dL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(23-66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) </w:t>
            </w:r>
          </w:p>
        </w:tc>
      </w:tr>
      <w:tr w:rsidR="00EA6EDB" w:rsidRPr="00035B53" w:rsidTr="00D21CA1">
        <w:tc>
          <w:tcPr>
            <w:tcW w:w="3139" w:type="pct"/>
          </w:tcPr>
          <w:p w:rsidR="00EA6EDB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Protein &gt;45 mg/dl</w:t>
            </w:r>
          </w:p>
        </w:tc>
        <w:tc>
          <w:tcPr>
            <w:tcW w:w="1861" w:type="pct"/>
          </w:tcPr>
          <w:p w:rsidR="00EA6EDB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5/10 (50%)</w:t>
            </w:r>
          </w:p>
        </w:tc>
      </w:tr>
      <w:tr w:rsidR="00EA6EDB" w:rsidRPr="00035B53" w:rsidTr="00D21CA1">
        <w:tc>
          <w:tcPr>
            <w:tcW w:w="3139" w:type="pct"/>
            <w:tcBorders>
              <w:bottom w:val="single" w:sz="4" w:space="0" w:color="auto"/>
            </w:tcBorders>
          </w:tcPr>
          <w:p w:rsidR="00EA6EDB" w:rsidRPr="00035B5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G</w:t>
            </w:r>
            <w:r w:rsidRPr="00035B53">
              <w:rPr>
                <w:rFonts w:asciiTheme="minorHAnsi" w:hAnsiTheme="minorHAnsi"/>
                <w:sz w:val="20"/>
                <w:szCs w:val="20"/>
              </w:rPr>
              <w:t>lucose, median (range)</w:t>
            </w:r>
          </w:p>
        </w:tc>
        <w:tc>
          <w:tcPr>
            <w:tcW w:w="1861" w:type="pct"/>
            <w:tcBorders>
              <w:bottom w:val="single" w:sz="4" w:space="0" w:color="auto"/>
            </w:tcBorders>
          </w:tcPr>
          <w:p w:rsidR="00EA6EDB" w:rsidRPr="00035B53" w:rsidRDefault="00EA6EDB" w:rsidP="00D21CA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62 </w:t>
            </w:r>
            <w:r w:rsidRPr="00430C1A">
              <w:rPr>
                <w:rFonts w:asciiTheme="minorHAnsi" w:hAnsiTheme="minorHAnsi"/>
                <w:color w:val="auto"/>
                <w:sz w:val="20"/>
                <w:szCs w:val="20"/>
              </w:rPr>
              <w:t>mg/dL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(47-148)  </w:t>
            </w:r>
          </w:p>
        </w:tc>
      </w:tr>
    </w:tbl>
    <w:p w:rsidR="00EA6EDB" w:rsidRPr="00357F85" w:rsidRDefault="00EA6EDB" w:rsidP="00EA6EDB">
      <w:pPr>
        <w:spacing w:after="0" w:line="240" w:lineRule="auto"/>
        <w:rPr>
          <w:rFonts w:cs="Arial"/>
          <w:sz w:val="18"/>
          <w:szCs w:val="18"/>
        </w:rPr>
      </w:pPr>
      <w:r w:rsidRPr="00357F85">
        <w:rPr>
          <w:rFonts w:cs="Arial"/>
          <w:sz w:val="18"/>
          <w:szCs w:val="18"/>
        </w:rPr>
        <w:t xml:space="preserve"> Denominators are number of cases with information. Age collected as completed years and months. </w:t>
      </w:r>
    </w:p>
    <w:p w:rsidR="00EA6EDB" w:rsidRPr="00357F85" w:rsidRDefault="005B3706" w:rsidP="00EA6EDB">
      <w:pPr>
        <w:spacing w:after="0" w:line="240" w:lineRule="auto"/>
        <w:rPr>
          <w:sz w:val="18"/>
          <w:szCs w:val="18"/>
        </w:rPr>
      </w:pPr>
      <w:r>
        <w:rPr>
          <w:sz w:val="20"/>
          <w:szCs w:val="18"/>
          <w:vertAlign w:val="superscript"/>
        </w:rPr>
        <w:t xml:space="preserve"> </w:t>
      </w:r>
      <w:bookmarkStart w:id="0" w:name="_GoBack"/>
      <w:bookmarkEnd w:id="0"/>
      <w:r w:rsidR="00EA6EDB" w:rsidRPr="00357F85">
        <w:rPr>
          <w:sz w:val="18"/>
          <w:szCs w:val="18"/>
        </w:rPr>
        <w:t xml:space="preserve">All indeterminate cases were in the first </w:t>
      </w:r>
      <w:proofErr w:type="gramStart"/>
      <w:r w:rsidR="00EA6EDB" w:rsidRPr="00357F85">
        <w:rPr>
          <w:sz w:val="18"/>
          <w:szCs w:val="18"/>
        </w:rPr>
        <w:t>time period</w:t>
      </w:r>
      <w:proofErr w:type="gramEnd"/>
      <w:r w:rsidR="00EA6EDB" w:rsidRPr="00357F85">
        <w:rPr>
          <w:sz w:val="18"/>
          <w:szCs w:val="18"/>
        </w:rPr>
        <w:t>, onset January 1, 2005-July 31, 2014</w:t>
      </w:r>
    </w:p>
    <w:p w:rsidR="00EA6EDB" w:rsidRPr="00357F85" w:rsidRDefault="0009768F" w:rsidP="0009768F">
      <w:pPr>
        <w:rPr>
          <w:sz w:val="18"/>
          <w:szCs w:val="18"/>
        </w:rPr>
      </w:pPr>
      <w:r w:rsidRPr="006E569B">
        <w:rPr>
          <w:rStyle w:val="e24kjd"/>
          <w:rFonts w:ascii="Arial" w:hAnsi="Arial" w:cs="Arial"/>
          <w:color w:val="222222"/>
          <w:sz w:val="20"/>
          <w:vertAlign w:val="superscript"/>
        </w:rPr>
        <w:t>†</w:t>
      </w:r>
      <w:r w:rsidR="00EA6EDB" w:rsidRPr="00357F85">
        <w:rPr>
          <w:sz w:val="18"/>
          <w:szCs w:val="18"/>
        </w:rPr>
        <w:t xml:space="preserve">Hispanic ethnicity: 0/10 with information provided. </w:t>
      </w:r>
      <w:r w:rsidRPr="00AB191F">
        <w:rPr>
          <w:rStyle w:val="e24kjd"/>
          <w:rFonts w:ascii="Arial" w:hAnsi="Arial" w:cs="Arial"/>
          <w:color w:val="222222"/>
          <w:sz w:val="20"/>
          <w:vertAlign w:val="superscript"/>
        </w:rPr>
        <w:t>‡</w:t>
      </w:r>
      <w:r w:rsidR="00EA6EDB">
        <w:rPr>
          <w:sz w:val="18"/>
          <w:szCs w:val="18"/>
        </w:rPr>
        <w:t xml:space="preserve">1 </w:t>
      </w:r>
      <w:r w:rsidR="00EA6EDB" w:rsidRPr="00D6609C">
        <w:rPr>
          <w:sz w:val="18"/>
          <w:szCs w:val="18"/>
        </w:rPr>
        <w:t xml:space="preserve">patient with </w:t>
      </w:r>
      <w:proofErr w:type="gramStart"/>
      <w:r w:rsidR="00EA6EDB" w:rsidRPr="00D6609C">
        <w:rPr>
          <w:sz w:val="18"/>
          <w:szCs w:val="18"/>
        </w:rPr>
        <w:t>past history</w:t>
      </w:r>
      <w:proofErr w:type="gramEnd"/>
      <w:r w:rsidR="00EA6EDB" w:rsidRPr="00D6609C">
        <w:rPr>
          <w:sz w:val="18"/>
          <w:szCs w:val="18"/>
        </w:rPr>
        <w:t xml:space="preserve"> of chronic Bell’s palsy, urinary retention and fecal incontinence.  Not counted: 1 patient each: Raynaud’s syndrome, allergic rhinitis, seasonal </w:t>
      </w:r>
      <w:proofErr w:type="gramStart"/>
      <w:r w:rsidR="00EA6EDB" w:rsidRPr="00D6609C">
        <w:rPr>
          <w:sz w:val="18"/>
          <w:szCs w:val="18"/>
        </w:rPr>
        <w:t>allergies</w:t>
      </w:r>
      <w:r w:rsidR="00EA6EDB" w:rsidRPr="007879BB">
        <w:rPr>
          <w:sz w:val="20"/>
          <w:vertAlign w:val="superscript"/>
        </w:rPr>
        <w:t xml:space="preserve"> </w:t>
      </w:r>
      <w:r>
        <w:rPr>
          <w:sz w:val="20"/>
          <w:vertAlign w:val="superscript"/>
        </w:rPr>
        <w:t xml:space="preserve"> </w:t>
      </w:r>
      <w:r w:rsidRPr="00AB191F">
        <w:rPr>
          <w:rStyle w:val="e24kjd"/>
          <w:rFonts w:ascii="Arial" w:hAnsi="Arial" w:cs="Arial"/>
          <w:color w:val="222222"/>
          <w:sz w:val="20"/>
          <w:vertAlign w:val="superscript"/>
        </w:rPr>
        <w:t>§</w:t>
      </w:r>
      <w:proofErr w:type="gramEnd"/>
      <w:r>
        <w:rPr>
          <w:rStyle w:val="e24kjd"/>
          <w:rFonts w:ascii="Arial" w:hAnsi="Arial" w:cs="Arial"/>
          <w:color w:val="222222"/>
          <w:sz w:val="20"/>
          <w:vertAlign w:val="superscript"/>
        </w:rPr>
        <w:t xml:space="preserve"> </w:t>
      </w:r>
      <w:r w:rsidR="00EA6EDB" w:rsidRPr="007879BB">
        <w:rPr>
          <w:sz w:val="18"/>
        </w:rPr>
        <w:t>1 father with psoriasis and arthritis</w:t>
      </w:r>
      <w:r w:rsidR="00EA6EDB">
        <w:rPr>
          <w:sz w:val="18"/>
        </w:rPr>
        <w:t>;</w:t>
      </w:r>
      <w:r w:rsidR="00EA6EDB" w:rsidRPr="007879BB">
        <w:rPr>
          <w:sz w:val="18"/>
        </w:rPr>
        <w:t xml:space="preserve"> 1 father with inflammatory bowel disease</w:t>
      </w:r>
      <w:r>
        <w:rPr>
          <w:sz w:val="18"/>
        </w:rPr>
        <w:t xml:space="preserve">  </w:t>
      </w:r>
      <w:r w:rsidRPr="0009768F">
        <w:rPr>
          <w:rStyle w:val="e24kjd"/>
          <w:rFonts w:ascii="Arial" w:hAnsi="Arial" w:cs="Arial"/>
          <w:color w:val="222222"/>
          <w:vertAlign w:val="superscript"/>
        </w:rPr>
        <w:t>‖</w:t>
      </w:r>
      <w:r w:rsidR="00EA6EDB">
        <w:rPr>
          <w:sz w:val="18"/>
          <w:szCs w:val="18"/>
        </w:rPr>
        <w:t>E</w:t>
      </w:r>
      <w:r w:rsidR="00EA6EDB" w:rsidRPr="00357F85">
        <w:rPr>
          <w:sz w:val="18"/>
          <w:szCs w:val="18"/>
        </w:rPr>
        <w:t>xcludes results for one patient with CSF collection 94 days after weakness onset</w:t>
      </w:r>
    </w:p>
    <w:p w:rsidR="00EA6EDB" w:rsidRPr="00357F85" w:rsidRDefault="00EA6EDB" w:rsidP="00EA6EDB">
      <w:pPr>
        <w:spacing w:after="0" w:line="240" w:lineRule="auto"/>
        <w:rPr>
          <w:sz w:val="18"/>
          <w:szCs w:val="18"/>
        </w:rPr>
      </w:pP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DB"/>
    <w:rsid w:val="0009768F"/>
    <w:rsid w:val="00130609"/>
    <w:rsid w:val="005B3706"/>
    <w:rsid w:val="007B56E0"/>
    <w:rsid w:val="00D26908"/>
    <w:rsid w:val="00EA6EDB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A79C1"/>
  <w15:chartTrackingRefBased/>
  <w15:docId w15:val="{3318D082-3EDA-4655-BFE0-159F322C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EA6E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EA6EDB"/>
    <w:rPr>
      <w:rFonts w:ascii="Arial" w:hAnsi="Arial" w:cs="Arial"/>
      <w:color w:val="000000"/>
      <w:sz w:val="24"/>
      <w:szCs w:val="24"/>
    </w:rPr>
  </w:style>
  <w:style w:type="character" w:customStyle="1" w:styleId="e24kjd">
    <w:name w:val="e24kjd"/>
    <w:basedOn w:val="DefaultParagraphFont"/>
    <w:rsid w:val="00097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Cortese, Margaret (CDC/DDID/NCIRD/DVD)</dc:creator>
  <cp:keywords/>
  <dc:description/>
  <cp:lastModifiedBy>Cortese, Margaret (CDC/DDID/NCIRD/DVD)</cp:lastModifiedBy>
  <cp:revision>2</cp:revision>
  <dcterms:created xsi:type="dcterms:W3CDTF">2019-08-29T21:22:00Z</dcterms:created>
  <dcterms:modified xsi:type="dcterms:W3CDTF">2019-08-29T21:22:00Z</dcterms:modified>
</cp:coreProperties>
</file>