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2"/>
        <w:gridCol w:w="1188"/>
        <w:gridCol w:w="990"/>
        <w:gridCol w:w="1260"/>
        <w:gridCol w:w="1980"/>
      </w:tblGrid>
      <w:tr w:rsidR="001D37B7" w:rsidRPr="00E43C77" w14:paraId="4097E2D4" w14:textId="77777777" w:rsidTr="00937A1F">
        <w:trPr>
          <w:trHeight w:val="224"/>
        </w:trPr>
        <w:tc>
          <w:tcPr>
            <w:tcW w:w="9360" w:type="dxa"/>
            <w:gridSpan w:val="5"/>
            <w:tcBorders>
              <w:bottom w:val="single" w:sz="4" w:space="0" w:color="auto"/>
            </w:tcBorders>
            <w:vAlign w:val="bottom"/>
          </w:tcPr>
          <w:p w14:paraId="2E063E7C" w14:textId="674B84C5" w:rsidR="001D37B7" w:rsidRPr="001349F1" w:rsidRDefault="001D37B7" w:rsidP="00405193">
            <w:pPr>
              <w:rPr>
                <w:vertAlign w:val="superscript"/>
              </w:rPr>
            </w:pPr>
            <w:bookmarkStart w:id="0" w:name="_GoBack"/>
            <w:bookmarkEnd w:id="0"/>
            <w:r>
              <w:rPr>
                <w:rFonts w:ascii="Arial Narrow" w:hAnsi="Arial Narrow" w:cs="Times New Roman"/>
                <w:b/>
                <w:sz w:val="20"/>
                <w:szCs w:val="20"/>
              </w:rPr>
              <w:t xml:space="preserve">Supplemental </w:t>
            </w:r>
            <w:r w:rsidRPr="00E43C77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Table </w:t>
            </w:r>
            <w:r w:rsidR="00405193">
              <w:rPr>
                <w:rFonts w:ascii="Arial Narrow" w:hAnsi="Arial Narrow" w:cs="Times New Roman"/>
                <w:b/>
                <w:sz w:val="20"/>
                <w:szCs w:val="20"/>
              </w:rPr>
              <w:t>1</w:t>
            </w:r>
            <w:r w:rsidRPr="00E43C77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. </w:t>
            </w:r>
            <w:r w:rsidR="005D4AC4" w:rsidRPr="005D4AC4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Immediate impact of ICD-10-CM on calculated prevalence of each birth defect per 10,000 hospitalizations </w:t>
            </w:r>
            <w:r w:rsidR="00F366A8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(hospital prevalence) </w:t>
            </w:r>
            <w:r w:rsidR="005D4AC4" w:rsidRPr="005D4AC4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during the ICD-9-CM versus ICD-10-CM timeframes, </w:t>
            </w:r>
            <w:r w:rsidR="001349F1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National Inpatient Sample, </w:t>
            </w:r>
            <w:r w:rsidR="005D4AC4" w:rsidRPr="005D4AC4">
              <w:rPr>
                <w:rFonts w:ascii="Arial Narrow" w:hAnsi="Arial Narrow" w:cs="Times New Roman"/>
                <w:b/>
                <w:sz w:val="20"/>
                <w:szCs w:val="20"/>
              </w:rPr>
              <w:t>201</w:t>
            </w:r>
            <w:r w:rsidR="006B155D">
              <w:rPr>
                <w:rFonts w:ascii="Arial Narrow" w:hAnsi="Arial Narrow" w:cs="Times New Roman"/>
                <w:b/>
                <w:sz w:val="20"/>
                <w:szCs w:val="20"/>
              </w:rPr>
              <w:t>2</w:t>
            </w:r>
            <w:r w:rsidR="005D4AC4" w:rsidRPr="005D4AC4">
              <w:rPr>
                <w:rFonts w:ascii="Arial Narrow" w:hAnsi="Arial Narrow" w:cs="Times New Roman"/>
                <w:b/>
                <w:sz w:val="20"/>
                <w:szCs w:val="20"/>
              </w:rPr>
              <w:t>-201</w:t>
            </w:r>
            <w:r w:rsidR="006B155D">
              <w:rPr>
                <w:rFonts w:ascii="Arial Narrow" w:hAnsi="Arial Narrow" w:cs="Times New Roman"/>
                <w:b/>
                <w:sz w:val="20"/>
                <w:szCs w:val="20"/>
              </w:rPr>
              <w:t>6</w:t>
            </w:r>
            <w:r w:rsidR="001349F1">
              <w:rPr>
                <w:rFonts w:ascii="Arial Narrow" w:hAnsi="Arial Narrow" w:cs="Times New Roman"/>
                <w:b/>
                <w:sz w:val="20"/>
                <w:szCs w:val="20"/>
                <w:vertAlign w:val="superscript"/>
              </w:rPr>
              <w:t>a</w:t>
            </w:r>
          </w:p>
        </w:tc>
      </w:tr>
      <w:tr w:rsidR="001D37B7" w:rsidRPr="00E43C77" w14:paraId="30B7DB2B" w14:textId="77777777" w:rsidTr="00937A1F">
        <w:trPr>
          <w:trHeight w:val="224"/>
        </w:trPr>
        <w:tc>
          <w:tcPr>
            <w:tcW w:w="394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E5B94E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>Birth defect</w:t>
            </w:r>
          </w:p>
        </w:tc>
        <w:tc>
          <w:tcPr>
            <w:tcW w:w="5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02BA75" w14:textId="77777777" w:rsidR="001D37B7" w:rsidRPr="00E43C7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>Immediate impact of transition on reported prevalence</w:t>
            </w:r>
          </w:p>
        </w:tc>
      </w:tr>
      <w:tr w:rsidR="001D37B7" w:rsidRPr="00E43C77" w14:paraId="6ACD30F0" w14:textId="77777777" w:rsidTr="00937A1F">
        <w:trPr>
          <w:trHeight w:val="107"/>
        </w:trPr>
        <w:tc>
          <w:tcPr>
            <w:tcW w:w="3942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5FD119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88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EE562B5" w14:textId="77777777" w:rsidR="001D37B7" w:rsidRPr="00E43C7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>Impact parameter estimate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087D31" w14:textId="77777777" w:rsidR="001D37B7" w:rsidRPr="00E43C7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>p-Value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2DB7868F" w14:textId="77777777" w:rsidR="001D37B7" w:rsidRPr="00E43C7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>Magnitude of change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74B1F9E8" w14:textId="6546F256" w:rsidR="001D37B7" w:rsidRPr="00E43C77" w:rsidRDefault="001349F1" w:rsidP="001349F1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>Percent c</w:t>
            </w:r>
            <w:r w:rsidR="001D37B7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>hange in</w:t>
            </w:r>
            <w:r w:rsidR="00F366A8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 xml:space="preserve"> hospital</w:t>
            </w:r>
            <w:r w:rsidR="001D37B7"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  <w:t xml:space="preserve"> prevalence relative to ICD-9 time period (95% CI)</w:t>
            </w:r>
          </w:p>
        </w:tc>
      </w:tr>
      <w:tr w:rsidR="001D37B7" w:rsidRPr="00E43C77" w14:paraId="05C7EE2D" w14:textId="77777777" w:rsidTr="00937A1F">
        <w:tc>
          <w:tcPr>
            <w:tcW w:w="3942" w:type="dxa"/>
            <w:tcBorders>
              <w:top w:val="single" w:sz="4" w:space="0" w:color="auto"/>
              <w:right w:val="single" w:sz="4" w:space="0" w:color="auto"/>
            </w:tcBorders>
          </w:tcPr>
          <w:p w14:paraId="5CDB6A89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Central Nervous System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892F3A4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bottom"/>
          </w:tcPr>
          <w:p w14:paraId="6899CDAA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6F73F2F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vAlign w:val="bottom"/>
          </w:tcPr>
          <w:p w14:paraId="4E3C990A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D37B7" w:rsidRPr="00E43C77" w14:paraId="12A5A172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208EA25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Anencephaly 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B0B775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90" w:type="dxa"/>
            <w:vAlign w:val="bottom"/>
          </w:tcPr>
          <w:p w14:paraId="51ED2B2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260" w:type="dxa"/>
          </w:tcPr>
          <w:p w14:paraId="129D510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↑↑</w:t>
            </w:r>
          </w:p>
        </w:tc>
        <w:tc>
          <w:tcPr>
            <w:tcW w:w="1980" w:type="dxa"/>
            <w:vAlign w:val="bottom"/>
          </w:tcPr>
          <w:p w14:paraId="38398B66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64.9 (8.9, 120.9)</w:t>
            </w:r>
          </w:p>
        </w:tc>
      </w:tr>
      <w:tr w:rsidR="001D37B7" w:rsidRPr="00E43C77" w14:paraId="389920ED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72F60A3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Encephalocele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F9B3F54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990" w:type="dxa"/>
            <w:vAlign w:val="bottom"/>
          </w:tcPr>
          <w:p w14:paraId="31D96BE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1260" w:type="dxa"/>
          </w:tcPr>
          <w:p w14:paraId="7D0E716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2E20BA55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-0.5 (-48.3, 47.3)</w:t>
            </w:r>
          </w:p>
        </w:tc>
      </w:tr>
      <w:tr w:rsidR="001D37B7" w:rsidRPr="00E43C77" w14:paraId="6B0A5218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590F9F7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Holoprosencephaly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5D258B8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-7.48</w:t>
            </w:r>
          </w:p>
        </w:tc>
        <w:tc>
          <w:tcPr>
            <w:tcW w:w="990" w:type="dxa"/>
            <w:vAlign w:val="bottom"/>
          </w:tcPr>
          <w:p w14:paraId="71A2321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60" w:type="dxa"/>
          </w:tcPr>
          <w:p w14:paraId="7669168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F3094">
              <w:rPr>
                <w:b/>
                <w:color w:val="00B050"/>
                <w:sz w:val="24"/>
              </w:rPr>
              <w:t>↓↓</w:t>
            </w:r>
          </w:p>
        </w:tc>
        <w:tc>
          <w:tcPr>
            <w:tcW w:w="1980" w:type="dxa"/>
            <w:vAlign w:val="bottom"/>
          </w:tcPr>
          <w:p w14:paraId="38929927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-83.0 (-95.2, -70.8)</w:t>
            </w:r>
          </w:p>
        </w:tc>
      </w:tr>
      <w:tr w:rsidR="001D37B7" w:rsidRPr="00E43C77" w14:paraId="2AD33CE9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05FC5643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Spina bifida without anencephaly 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C85FF6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90" w:type="dxa"/>
            <w:vAlign w:val="bottom"/>
          </w:tcPr>
          <w:p w14:paraId="7BA44C6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0.940</w:t>
            </w:r>
          </w:p>
        </w:tc>
        <w:tc>
          <w:tcPr>
            <w:tcW w:w="1260" w:type="dxa"/>
          </w:tcPr>
          <w:p w14:paraId="69136BB9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2918787E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0.8 (-20.7, 22.3)</w:t>
            </w:r>
          </w:p>
        </w:tc>
      </w:tr>
      <w:tr w:rsidR="001D37B7" w:rsidRPr="00E43C77" w14:paraId="6D6753C6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04D486E6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Eye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847C74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24B4983B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F40D411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351478B4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25F5582F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3005D096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Anophthalmia/microphthalmia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A1FD57E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990" w:type="dxa"/>
            <w:vAlign w:val="bottom"/>
          </w:tcPr>
          <w:p w14:paraId="624E3C28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0.287</w:t>
            </w:r>
          </w:p>
        </w:tc>
        <w:tc>
          <w:tcPr>
            <w:tcW w:w="1260" w:type="dxa"/>
          </w:tcPr>
          <w:p w14:paraId="6E66AE4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7438111C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-21.3 (-61.0, 18.4)</w:t>
            </w:r>
          </w:p>
        </w:tc>
      </w:tr>
      <w:tr w:rsidR="001D37B7" w:rsidRPr="00E43C77" w14:paraId="5A0BF697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5044C409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Congenital cataract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921799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90" w:type="dxa"/>
            <w:vAlign w:val="bottom"/>
          </w:tcPr>
          <w:p w14:paraId="14436EE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0.919</w:t>
            </w:r>
          </w:p>
        </w:tc>
        <w:tc>
          <w:tcPr>
            <w:tcW w:w="1260" w:type="dxa"/>
          </w:tcPr>
          <w:p w14:paraId="7A0258E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471A611A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2.3 (-41.8, 46.3)</w:t>
            </w:r>
          </w:p>
        </w:tc>
      </w:tr>
      <w:tr w:rsidR="001D37B7" w:rsidRPr="00E43C77" w14:paraId="67BDEFA2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17FFD806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Ear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D0F178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5705619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47EB541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0BFC43B3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3C8EB930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C9F103C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</w:rPr>
              <w:t>Anotia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</w:rPr>
              <w:t>/microtia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D3ECDB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990" w:type="dxa"/>
            <w:vAlign w:val="bottom"/>
          </w:tcPr>
          <w:p w14:paraId="6D66284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1260" w:type="dxa"/>
          </w:tcPr>
          <w:p w14:paraId="0323834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046F4AA1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27.2 (-8.4, 62.9)</w:t>
            </w:r>
          </w:p>
        </w:tc>
      </w:tr>
      <w:tr w:rsidR="001D37B7" w:rsidRPr="00E43C77" w14:paraId="1A83E729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A6347D6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Cardiovascular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5DC7AC64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502D556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631A7BB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69FC98EF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7E10340F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5147DDAB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color w:val="000000"/>
                <w:sz w:val="20"/>
                <w:szCs w:val="20"/>
              </w:rPr>
              <w:t xml:space="preserve">   Primary critical congenital heart defects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D0FD7C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73D6451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E253BA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756D52D9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0DB4C6BB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EAA0C93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Common truncus 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CB1373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-0.38</w:t>
            </w:r>
          </w:p>
        </w:tc>
        <w:tc>
          <w:tcPr>
            <w:tcW w:w="990" w:type="dxa"/>
            <w:vAlign w:val="bottom"/>
          </w:tcPr>
          <w:p w14:paraId="65A14F8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1260" w:type="dxa"/>
          </w:tcPr>
          <w:p w14:paraId="7875517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47C28D55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-29.3 (-63.8, 5.2)</w:t>
            </w:r>
          </w:p>
        </w:tc>
      </w:tr>
      <w:tr w:rsidR="001D37B7" w:rsidRPr="00E43C77" w14:paraId="35B178C6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B38A708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Hypoplastic left heart syndrome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76CD97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990" w:type="dxa"/>
            <w:vAlign w:val="bottom"/>
          </w:tcPr>
          <w:p w14:paraId="25DF71F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260" w:type="dxa"/>
          </w:tcPr>
          <w:p w14:paraId="0822D79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</w:t>
            </w:r>
          </w:p>
        </w:tc>
        <w:tc>
          <w:tcPr>
            <w:tcW w:w="1980" w:type="dxa"/>
            <w:vAlign w:val="bottom"/>
          </w:tcPr>
          <w:p w14:paraId="3BB54F56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24.6 (4.4, 44.8)</w:t>
            </w:r>
          </w:p>
        </w:tc>
      </w:tr>
      <w:tr w:rsidR="001D37B7" w:rsidRPr="00E43C77" w14:paraId="431AD64F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473184C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Pulmonary valve atresia and stenosis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E7809A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990" w:type="dxa"/>
            <w:vAlign w:val="bottom"/>
          </w:tcPr>
          <w:p w14:paraId="5E182B9B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0.870</w:t>
            </w:r>
          </w:p>
        </w:tc>
        <w:tc>
          <w:tcPr>
            <w:tcW w:w="1260" w:type="dxa"/>
          </w:tcPr>
          <w:p w14:paraId="604DB99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20D5BF5B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-1.3 (-17.4, 14.8)</w:t>
            </w:r>
          </w:p>
        </w:tc>
      </w:tr>
      <w:tr w:rsidR="001D37B7" w:rsidRPr="00E43C77" w14:paraId="22C80224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79C5CC7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Pulmonary valve atresia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4A03474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-0.49</w:t>
            </w:r>
          </w:p>
        </w:tc>
        <w:tc>
          <w:tcPr>
            <w:tcW w:w="990" w:type="dxa"/>
            <w:vAlign w:val="bottom"/>
          </w:tcPr>
          <w:p w14:paraId="5109313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1260" w:type="dxa"/>
          </w:tcPr>
          <w:p w14:paraId="68B1D41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09231ACE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-17.8 (-42.9, 7.3)</w:t>
            </w:r>
          </w:p>
        </w:tc>
      </w:tr>
      <w:tr w:rsidR="001D37B7" w:rsidRPr="00E43C77" w14:paraId="2112AFA8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E06E67B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Tetralogy of Fallot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19C500D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90" w:type="dxa"/>
            <w:vAlign w:val="bottom"/>
          </w:tcPr>
          <w:p w14:paraId="35BEBB49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0.357</w:t>
            </w:r>
          </w:p>
        </w:tc>
        <w:tc>
          <w:tcPr>
            <w:tcW w:w="1260" w:type="dxa"/>
          </w:tcPr>
          <w:p w14:paraId="71239E4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7E7D1EC7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9.1 (-10.5, 28.8)</w:t>
            </w:r>
          </w:p>
        </w:tc>
      </w:tr>
      <w:tr w:rsidR="001D37B7" w:rsidRPr="00E43C77" w14:paraId="25A55739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4E98124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Total anomalous pulmonary venous connection 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D0C3C5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990" w:type="dxa"/>
            <w:vAlign w:val="bottom"/>
          </w:tcPr>
          <w:p w14:paraId="0974800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60" w:type="dxa"/>
          </w:tcPr>
          <w:p w14:paraId="5561121E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</w:t>
            </w:r>
          </w:p>
        </w:tc>
        <w:tc>
          <w:tcPr>
            <w:tcW w:w="1980" w:type="dxa"/>
            <w:vAlign w:val="bottom"/>
          </w:tcPr>
          <w:p w14:paraId="0800E6DD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40.6 (18.8, 62.5)</w:t>
            </w:r>
          </w:p>
        </w:tc>
      </w:tr>
      <w:tr w:rsidR="001D37B7" w:rsidRPr="00E43C77" w14:paraId="0BD940AF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530FDC41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Transposition of the great arteries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22818C7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990" w:type="dxa"/>
            <w:vAlign w:val="bottom"/>
          </w:tcPr>
          <w:p w14:paraId="5EF5BB4B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260" w:type="dxa"/>
          </w:tcPr>
          <w:p w14:paraId="141F09D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05C90534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22.0 (-0.5, 44.4)</w:t>
            </w:r>
          </w:p>
        </w:tc>
      </w:tr>
      <w:tr w:rsidR="001D37B7" w:rsidRPr="00E43C77" w14:paraId="4C7B0A27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2893342B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Dextro-Transposition of great arteries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245311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990" w:type="dxa"/>
            <w:vAlign w:val="bottom"/>
          </w:tcPr>
          <w:p w14:paraId="2379D0B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60" w:type="dxa"/>
          </w:tcPr>
          <w:p w14:paraId="1348081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</w:t>
            </w:r>
          </w:p>
        </w:tc>
        <w:tc>
          <w:tcPr>
            <w:tcW w:w="1980" w:type="dxa"/>
            <w:vAlign w:val="bottom"/>
          </w:tcPr>
          <w:p w14:paraId="4D6C3D5D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29.5 (8.7, 50.4)</w:t>
            </w:r>
          </w:p>
        </w:tc>
      </w:tr>
      <w:tr w:rsidR="001D37B7" w:rsidRPr="00E43C77" w14:paraId="0D8A6A60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27414D31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color w:val="000000"/>
                <w:sz w:val="20"/>
                <w:szCs w:val="20"/>
              </w:rPr>
              <w:t xml:space="preserve">   Secondary critical congenital heart defects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F3B0E2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679B5864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D9AED3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4B8A23C0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228955EC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121F8E63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Coarctation of aorta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5FA63791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-0.91</w:t>
            </w:r>
          </w:p>
        </w:tc>
        <w:tc>
          <w:tcPr>
            <w:tcW w:w="990" w:type="dxa"/>
            <w:vAlign w:val="bottom"/>
          </w:tcPr>
          <w:p w14:paraId="06AE9A1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1260" w:type="dxa"/>
          </w:tcPr>
          <w:p w14:paraId="7359DA6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591C0219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-8.5 (-19.3, 2.4)</w:t>
            </w:r>
          </w:p>
        </w:tc>
      </w:tr>
      <w:tr w:rsidR="001D37B7" w:rsidRPr="00E43C77" w14:paraId="7E75E778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09B1F43D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Double outlet right ventricle 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AF36FC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-1.10</w:t>
            </w:r>
          </w:p>
        </w:tc>
        <w:tc>
          <w:tcPr>
            <w:tcW w:w="990" w:type="dxa"/>
            <w:vAlign w:val="bottom"/>
          </w:tcPr>
          <w:p w14:paraId="3814C25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260" w:type="dxa"/>
          </w:tcPr>
          <w:p w14:paraId="0F6F9C2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F3094">
              <w:rPr>
                <w:b/>
                <w:color w:val="00B050"/>
                <w:sz w:val="24"/>
              </w:rPr>
              <w:t>↓</w:t>
            </w:r>
          </w:p>
        </w:tc>
        <w:tc>
          <w:tcPr>
            <w:tcW w:w="1980" w:type="dxa"/>
            <w:vAlign w:val="bottom"/>
          </w:tcPr>
          <w:p w14:paraId="47C57DBF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-22.7 (-42.3, -3.1)</w:t>
            </w:r>
          </w:p>
        </w:tc>
      </w:tr>
      <w:tr w:rsidR="001D37B7" w:rsidRPr="00E43C77" w14:paraId="34F6AAAB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0C3DD3B1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</w:rPr>
              <w:t>Ebstein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anomaly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AEEF2C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990" w:type="dxa"/>
            <w:vAlign w:val="bottom"/>
          </w:tcPr>
          <w:p w14:paraId="7BE3E4E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1260" w:type="dxa"/>
          </w:tcPr>
          <w:p w14:paraId="70D239E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4C03483A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12.1 (-27.4, 51.5)</w:t>
            </w:r>
          </w:p>
        </w:tc>
      </w:tr>
      <w:tr w:rsidR="001D37B7" w:rsidRPr="00E43C77" w14:paraId="08B6904A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5FE348A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Interrupted aortic arch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4328AD8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8.07</w:t>
            </w:r>
          </w:p>
        </w:tc>
        <w:tc>
          <w:tcPr>
            <w:tcW w:w="990" w:type="dxa"/>
            <w:vAlign w:val="bottom"/>
          </w:tcPr>
          <w:p w14:paraId="12054BE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60" w:type="dxa"/>
          </w:tcPr>
          <w:p w14:paraId="703E733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↑↑↑</w:t>
            </w:r>
          </w:p>
        </w:tc>
        <w:tc>
          <w:tcPr>
            <w:tcW w:w="1980" w:type="dxa"/>
            <w:vAlign w:val="bottom"/>
          </w:tcPr>
          <w:p w14:paraId="26D65CE5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771.3 (701.9, 840.7)</w:t>
            </w:r>
          </w:p>
        </w:tc>
      </w:tr>
      <w:tr w:rsidR="001D37B7" w:rsidRPr="00E43C77" w14:paraId="723ABA1F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5ECA2B37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Single ventricle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CE8D00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990" w:type="dxa"/>
            <w:vAlign w:val="bottom"/>
          </w:tcPr>
          <w:p w14:paraId="5A803C8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0.779</w:t>
            </w:r>
          </w:p>
        </w:tc>
        <w:tc>
          <w:tcPr>
            <w:tcW w:w="1260" w:type="dxa"/>
          </w:tcPr>
          <w:p w14:paraId="049E1D0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40CC21D5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-3.6 (-29.3, 22.0)</w:t>
            </w:r>
          </w:p>
        </w:tc>
      </w:tr>
      <w:tr w:rsidR="001D37B7" w:rsidRPr="00E43C77" w14:paraId="38F61DC6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52033DFB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Tricuspid valve atresia and stenosis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16DB6C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990" w:type="dxa"/>
            <w:vAlign w:val="bottom"/>
          </w:tcPr>
          <w:p w14:paraId="490AB089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1260" w:type="dxa"/>
          </w:tcPr>
          <w:p w14:paraId="3A235E59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79E7495B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-12.2 (-39.4, 14.9)</w:t>
            </w:r>
          </w:p>
        </w:tc>
      </w:tr>
      <w:tr w:rsidR="001D37B7" w:rsidRPr="00E43C77" w14:paraId="55F10ACC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7906253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   </w:t>
            </w:r>
            <w:r w:rsidRPr="00167F8E">
              <w:rPr>
                <w:rFonts w:ascii="Arial Narrow" w:hAnsi="Arial Narrow"/>
                <w:b/>
                <w:i/>
                <w:color w:val="000000"/>
                <w:sz w:val="20"/>
                <w:szCs w:val="20"/>
              </w:rPr>
              <w:t xml:space="preserve">Other </w:t>
            </w:r>
            <w:r>
              <w:rPr>
                <w:rFonts w:ascii="Arial Narrow" w:hAnsi="Arial Narrow"/>
                <w:b/>
                <w:i/>
                <w:color w:val="000000"/>
                <w:sz w:val="20"/>
                <w:szCs w:val="20"/>
              </w:rPr>
              <w:t>congenital heart defects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918DBF1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19BA56D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CA12E2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6E733CD1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297B6487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1B380B1B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Aortic valve stenosis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500EB9D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90" w:type="dxa"/>
            <w:vAlign w:val="bottom"/>
          </w:tcPr>
          <w:p w14:paraId="5FFD2FD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0.759</w:t>
            </w:r>
          </w:p>
        </w:tc>
        <w:tc>
          <w:tcPr>
            <w:tcW w:w="1260" w:type="dxa"/>
          </w:tcPr>
          <w:p w14:paraId="0F2071A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6AB47F0F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5.5 (-30.0, 40.9)</w:t>
            </w:r>
          </w:p>
        </w:tc>
      </w:tr>
      <w:tr w:rsidR="001D37B7" w:rsidRPr="00E43C77" w14:paraId="5969CA52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DCC4F1A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Atrial septal defect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2203A44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-4.87</w:t>
            </w:r>
          </w:p>
        </w:tc>
        <w:tc>
          <w:tcPr>
            <w:tcW w:w="990" w:type="dxa"/>
            <w:vAlign w:val="bottom"/>
          </w:tcPr>
          <w:p w14:paraId="00C1761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0.520</w:t>
            </w:r>
          </w:p>
        </w:tc>
        <w:tc>
          <w:tcPr>
            <w:tcW w:w="1260" w:type="dxa"/>
          </w:tcPr>
          <w:p w14:paraId="18DBD20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44144A0E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-2.5 (-10.4, 5.3)</w:t>
            </w:r>
          </w:p>
        </w:tc>
      </w:tr>
      <w:tr w:rsidR="001D37B7" w:rsidRPr="00E43C77" w14:paraId="331F0C15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A839C08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Atrioventricular septal defect 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605BC7E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990" w:type="dxa"/>
            <w:vAlign w:val="bottom"/>
          </w:tcPr>
          <w:p w14:paraId="151D0298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60" w:type="dxa"/>
          </w:tcPr>
          <w:p w14:paraId="14F94C6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3AF3B978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18.1 (-1.3, 37.4)</w:t>
            </w:r>
          </w:p>
        </w:tc>
      </w:tr>
      <w:tr w:rsidR="001D37B7" w:rsidRPr="00E43C77" w14:paraId="55C8C07C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91F5327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Ventricular septal defect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51C5CA9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990" w:type="dxa"/>
            <w:vAlign w:val="bottom"/>
          </w:tcPr>
          <w:p w14:paraId="2BFB0C3B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0.619</w:t>
            </w:r>
          </w:p>
        </w:tc>
        <w:tc>
          <w:tcPr>
            <w:tcW w:w="1260" w:type="dxa"/>
          </w:tcPr>
          <w:p w14:paraId="5910FE7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7BFDE1B4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2.0 (-5.9, 9.8)</w:t>
            </w:r>
          </w:p>
        </w:tc>
      </w:tr>
      <w:tr w:rsidR="001D37B7" w:rsidRPr="00E43C77" w14:paraId="4B201E46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118D25E6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Orofacial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EF39BA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12A7513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7E3E5C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3CF2D69D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4CC60B09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2A364A15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Choanal atresia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FC4DB9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90" w:type="dxa"/>
            <w:vAlign w:val="bottom"/>
          </w:tcPr>
          <w:p w14:paraId="3E2A545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1260" w:type="dxa"/>
          </w:tcPr>
          <w:p w14:paraId="78F2E89E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19D2F321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-0.1 (-30.3, 30.0)</w:t>
            </w:r>
          </w:p>
        </w:tc>
      </w:tr>
      <w:tr w:rsidR="001D37B7" w:rsidRPr="00E43C77" w14:paraId="522D0F09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4A22E23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Cleft lip alone (without cleft palate)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CD0D4B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90" w:type="dxa"/>
            <w:vAlign w:val="bottom"/>
          </w:tcPr>
          <w:p w14:paraId="327CA4A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1260" w:type="dxa"/>
          </w:tcPr>
          <w:p w14:paraId="72C57B6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1D1BE501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 (-21.4, 23.3)</w:t>
            </w:r>
          </w:p>
        </w:tc>
      </w:tr>
      <w:tr w:rsidR="001D37B7" w:rsidRPr="00E43C77" w14:paraId="2D44CFE5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25A6A489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Cleft lip with cleft palate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502F49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-0.51</w:t>
            </w:r>
          </w:p>
        </w:tc>
        <w:tc>
          <w:tcPr>
            <w:tcW w:w="990" w:type="dxa"/>
            <w:vAlign w:val="bottom"/>
          </w:tcPr>
          <w:p w14:paraId="5D6CF52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0.502</w:t>
            </w:r>
          </w:p>
        </w:tc>
        <w:tc>
          <w:tcPr>
            <w:tcW w:w="1260" w:type="dxa"/>
          </w:tcPr>
          <w:p w14:paraId="3805C5E4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508584CF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-4.6 (-18.3, 9.1)</w:t>
            </w:r>
          </w:p>
        </w:tc>
      </w:tr>
      <w:tr w:rsidR="001D37B7" w:rsidRPr="00E43C77" w14:paraId="6DCE3DBC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3E83DBD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Cleft palate alone (without cleft lip)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F954251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990" w:type="dxa"/>
            <w:vAlign w:val="bottom"/>
          </w:tcPr>
          <w:p w14:paraId="5C1E024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1260" w:type="dxa"/>
          </w:tcPr>
          <w:p w14:paraId="064A4A5E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6B13B331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-3.0 (-17.6, 11.7)</w:t>
            </w:r>
          </w:p>
        </w:tc>
      </w:tr>
      <w:tr w:rsidR="001D37B7" w:rsidRPr="00E43C77" w14:paraId="10B9F50B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1C233489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Gastrointestinal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DA31A2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452F0E5A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94677C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5F6DC20A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D37B7" w:rsidRPr="00E43C77" w14:paraId="77F84441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8FA60B1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Biliary atresia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85C3AE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990" w:type="dxa"/>
            <w:vAlign w:val="bottom"/>
          </w:tcPr>
          <w:p w14:paraId="154C3FCE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60" w:type="dxa"/>
          </w:tcPr>
          <w:p w14:paraId="293888CB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↑↑↑</w:t>
            </w:r>
          </w:p>
        </w:tc>
        <w:tc>
          <w:tcPr>
            <w:tcW w:w="1980" w:type="dxa"/>
            <w:vAlign w:val="bottom"/>
          </w:tcPr>
          <w:p w14:paraId="78E4AE1B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132.1 (99.5, 164.6)</w:t>
            </w:r>
          </w:p>
        </w:tc>
      </w:tr>
      <w:tr w:rsidR="001D37B7" w:rsidRPr="00E43C77" w14:paraId="03BB6953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0A5F7AF6" w14:textId="77777777" w:rsidR="001D37B7" w:rsidRPr="00E43C77" w:rsidRDefault="001D37B7" w:rsidP="00937A1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Esophageal atresia / tracheoesophageal fistula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BFCE0E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-1.15</w:t>
            </w:r>
          </w:p>
        </w:tc>
        <w:tc>
          <w:tcPr>
            <w:tcW w:w="990" w:type="dxa"/>
            <w:vAlign w:val="bottom"/>
          </w:tcPr>
          <w:p w14:paraId="7F4C8D8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60" w:type="dxa"/>
          </w:tcPr>
          <w:p w14:paraId="36DD5F5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F3094">
              <w:rPr>
                <w:b/>
                <w:color w:val="00B050"/>
                <w:sz w:val="24"/>
              </w:rPr>
              <w:t>↓</w:t>
            </w:r>
          </w:p>
        </w:tc>
        <w:tc>
          <w:tcPr>
            <w:tcW w:w="1980" w:type="dxa"/>
            <w:vAlign w:val="bottom"/>
          </w:tcPr>
          <w:p w14:paraId="659E449F" w14:textId="77777777" w:rsidR="001D37B7" w:rsidRPr="005E0E87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-27.0 (-48.9, -5.0)</w:t>
            </w:r>
          </w:p>
        </w:tc>
      </w:tr>
      <w:tr w:rsidR="001D37B7" w:rsidRPr="00E43C77" w14:paraId="3AC80032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7C4354C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Rectal and large intestinal atresia/stenosis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D3D7B87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-0.51</w:t>
            </w:r>
          </w:p>
        </w:tc>
        <w:tc>
          <w:tcPr>
            <w:tcW w:w="990" w:type="dxa"/>
            <w:vAlign w:val="bottom"/>
          </w:tcPr>
          <w:p w14:paraId="4AB8B87E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0.481</w:t>
            </w:r>
          </w:p>
        </w:tc>
        <w:tc>
          <w:tcPr>
            <w:tcW w:w="1260" w:type="dxa"/>
          </w:tcPr>
          <w:p w14:paraId="2B8A9A6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7F5353EF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-5.6 (-21.5, 10.3)</w:t>
            </w:r>
          </w:p>
        </w:tc>
      </w:tr>
      <w:tr w:rsidR="001D37B7" w:rsidRPr="00E43C77" w14:paraId="3A58C1C4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25BC481F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Small intestinal atresia/stenosis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3278B74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-0.57</w:t>
            </w:r>
          </w:p>
        </w:tc>
        <w:tc>
          <w:tcPr>
            <w:tcW w:w="990" w:type="dxa"/>
            <w:vAlign w:val="bottom"/>
          </w:tcPr>
          <w:p w14:paraId="5F1DB1D6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0.420</w:t>
            </w:r>
          </w:p>
        </w:tc>
        <w:tc>
          <w:tcPr>
            <w:tcW w:w="1260" w:type="dxa"/>
          </w:tcPr>
          <w:p w14:paraId="113C50A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51EE3449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-9.6 (-33.3, 14.1)</w:t>
            </w:r>
          </w:p>
        </w:tc>
      </w:tr>
      <w:tr w:rsidR="001D37B7" w:rsidRPr="00E43C77" w14:paraId="57F1373C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A0E4F98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Genitourinary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121080CB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1E29A7EA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F1B9061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1F7EA0F2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D37B7" w:rsidRPr="00E43C77" w14:paraId="51C692BB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5BE0D209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Bladder exstrophy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5AE689EC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90" w:type="dxa"/>
            <w:vAlign w:val="bottom"/>
          </w:tcPr>
          <w:p w14:paraId="5945F6BA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0.836</w:t>
            </w:r>
          </w:p>
        </w:tc>
        <w:tc>
          <w:tcPr>
            <w:tcW w:w="1260" w:type="dxa"/>
          </w:tcPr>
          <w:p w14:paraId="6C172F29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50791FD2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7.0 (-60.7, 74.8)</w:t>
            </w:r>
          </w:p>
        </w:tc>
      </w:tr>
      <w:tr w:rsidR="001D37B7" w:rsidRPr="00E43C77" w14:paraId="64EF6386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9F7E8CC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Cloacal exstrophy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6AAC448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-8.25</w:t>
            </w:r>
          </w:p>
        </w:tc>
        <w:tc>
          <w:tcPr>
            <w:tcW w:w="990" w:type="dxa"/>
            <w:vAlign w:val="bottom"/>
          </w:tcPr>
          <w:p w14:paraId="2038E6C2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60" w:type="dxa"/>
          </w:tcPr>
          <w:p w14:paraId="41F969D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F3094">
              <w:rPr>
                <w:b/>
                <w:color w:val="00B050"/>
                <w:sz w:val="24"/>
              </w:rPr>
              <w:t>↓↓↓</w:t>
            </w:r>
          </w:p>
        </w:tc>
        <w:tc>
          <w:tcPr>
            <w:tcW w:w="1980" w:type="dxa"/>
            <w:vAlign w:val="bottom"/>
          </w:tcPr>
          <w:p w14:paraId="185DE38D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-102.8 (-117.5, -88.0)</w:t>
            </w:r>
          </w:p>
        </w:tc>
      </w:tr>
      <w:tr w:rsidR="001D37B7" w:rsidRPr="00E43C77" w14:paraId="50788DD8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EC9FA93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Congenital posterior urethral valves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59EACA6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-0.49</w:t>
            </w:r>
          </w:p>
        </w:tc>
        <w:tc>
          <w:tcPr>
            <w:tcW w:w="990" w:type="dxa"/>
            <w:vAlign w:val="bottom"/>
          </w:tcPr>
          <w:p w14:paraId="23522E94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1260" w:type="dxa"/>
          </w:tcPr>
          <w:p w14:paraId="22D1A82D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602D99F7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-28.8 (-64.6, 7.1)</w:t>
            </w:r>
          </w:p>
        </w:tc>
      </w:tr>
      <w:tr w:rsidR="001D37B7" w:rsidRPr="00E43C77" w14:paraId="440AF099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3BE66DA3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Hypospadias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1208DBB6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-0.88</w:t>
            </w:r>
          </w:p>
        </w:tc>
        <w:tc>
          <w:tcPr>
            <w:tcW w:w="990" w:type="dxa"/>
            <w:vAlign w:val="bottom"/>
          </w:tcPr>
          <w:p w14:paraId="78E19241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1260" w:type="dxa"/>
          </w:tcPr>
          <w:p w14:paraId="00B4D03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33A46030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-2.4 (-10.2, 5.4)</w:t>
            </w:r>
          </w:p>
        </w:tc>
      </w:tr>
      <w:tr w:rsidR="001D37B7" w:rsidRPr="00E43C77" w14:paraId="0F5946B7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2BCF6C8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 xml:space="preserve">      Renal agenesis/hypoplasia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56544D0B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-0.86</w:t>
            </w:r>
          </w:p>
        </w:tc>
        <w:tc>
          <w:tcPr>
            <w:tcW w:w="990" w:type="dxa"/>
            <w:vAlign w:val="bottom"/>
          </w:tcPr>
          <w:p w14:paraId="7B1C7888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1260" w:type="dxa"/>
          </w:tcPr>
          <w:p w14:paraId="0E48FBEF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20F5C37D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-13.8 (-33.4, 5.8)</w:t>
            </w:r>
          </w:p>
        </w:tc>
      </w:tr>
      <w:tr w:rsidR="001D37B7" w:rsidRPr="00E43C77" w14:paraId="31268D1D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EFA85B6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Musculoskeletal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1BE88FE7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43E56344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21DF31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62033C20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D37B7" w:rsidRPr="00E43C77" w14:paraId="6480C5DC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2F00642F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Clubfoot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3D101FF6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5.18</w:t>
            </w:r>
          </w:p>
        </w:tc>
        <w:tc>
          <w:tcPr>
            <w:tcW w:w="990" w:type="dxa"/>
            <w:vAlign w:val="bottom"/>
          </w:tcPr>
          <w:p w14:paraId="2EA705BF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60" w:type="dxa"/>
          </w:tcPr>
          <w:p w14:paraId="58944102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</w:t>
            </w:r>
          </w:p>
        </w:tc>
        <w:tc>
          <w:tcPr>
            <w:tcW w:w="1980" w:type="dxa"/>
            <w:vAlign w:val="bottom"/>
          </w:tcPr>
          <w:p w14:paraId="4A8ED4A6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30.9 (20.1, 41.7)</w:t>
            </w:r>
          </w:p>
        </w:tc>
      </w:tr>
      <w:tr w:rsidR="001D37B7" w:rsidRPr="00E43C77" w14:paraId="6175F9D7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3B3375CB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Diaphragmatic hernia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403AC3AA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990" w:type="dxa"/>
            <w:vAlign w:val="bottom"/>
          </w:tcPr>
          <w:p w14:paraId="29711F36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1260" w:type="dxa"/>
          </w:tcPr>
          <w:p w14:paraId="73C714E9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E247DF">
              <w:rPr>
                <w:b/>
                <w:color w:val="FF0000"/>
                <w:sz w:val="24"/>
              </w:rPr>
              <w:t>↑</w:t>
            </w:r>
          </w:p>
        </w:tc>
        <w:tc>
          <w:tcPr>
            <w:tcW w:w="1980" w:type="dxa"/>
            <w:vAlign w:val="bottom"/>
          </w:tcPr>
          <w:p w14:paraId="377A149F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21.0 (2.1, 39.9)</w:t>
            </w:r>
          </w:p>
        </w:tc>
      </w:tr>
      <w:tr w:rsidR="001D37B7" w:rsidRPr="00E43C77" w14:paraId="24915147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05FEA465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Gastroschisis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14F570C4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990" w:type="dxa"/>
            <w:vAlign w:val="bottom"/>
          </w:tcPr>
          <w:p w14:paraId="26F3B9EA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0.796</w:t>
            </w:r>
          </w:p>
        </w:tc>
        <w:tc>
          <w:tcPr>
            <w:tcW w:w="1260" w:type="dxa"/>
          </w:tcPr>
          <w:p w14:paraId="6F300E0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21967849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-2.5 (-21.6, 16.6)</w:t>
            </w:r>
          </w:p>
        </w:tc>
      </w:tr>
      <w:tr w:rsidR="001D37B7" w:rsidRPr="00E43C77" w14:paraId="2C8D9038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75E7D294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Limb deficiencies (reduction defects)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59866409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990" w:type="dxa"/>
            <w:vAlign w:val="bottom"/>
          </w:tcPr>
          <w:p w14:paraId="13B8993F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1260" w:type="dxa"/>
          </w:tcPr>
          <w:p w14:paraId="2BDBAF8C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25EA6767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8.1 (-17.6, 33.7)</w:t>
            </w:r>
          </w:p>
        </w:tc>
      </w:tr>
      <w:tr w:rsidR="001D37B7" w:rsidRPr="00E43C77" w14:paraId="246C3866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DE277DB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Omphalocele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41CD94A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990" w:type="dxa"/>
            <w:vAlign w:val="bottom"/>
          </w:tcPr>
          <w:p w14:paraId="61C89F5B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1260" w:type="dxa"/>
          </w:tcPr>
          <w:p w14:paraId="68965E17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6BA4981B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-0.7 (-27.0, 25.7)</w:t>
            </w:r>
          </w:p>
        </w:tc>
      </w:tr>
      <w:tr w:rsidR="001D37B7" w:rsidRPr="00E43C77" w14:paraId="65A6C499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66BC6CCE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67F8E">
              <w:rPr>
                <w:rFonts w:ascii="Arial Narrow" w:hAnsi="Arial Narrow"/>
                <w:b/>
                <w:color w:val="000000"/>
                <w:sz w:val="20"/>
                <w:szCs w:val="20"/>
              </w:rPr>
              <w:t>Chromosomal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65A70D2D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54B1583B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292A3F4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14:paraId="3EA89D49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D37B7" w:rsidRPr="00E43C77" w14:paraId="7AF2F7B0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49D0FB92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Deletion 22 q11.2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14FEFA5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-0.56</w:t>
            </w:r>
          </w:p>
        </w:tc>
        <w:tc>
          <w:tcPr>
            <w:tcW w:w="990" w:type="dxa"/>
            <w:vAlign w:val="bottom"/>
          </w:tcPr>
          <w:p w14:paraId="22A98474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60" w:type="dxa"/>
          </w:tcPr>
          <w:p w14:paraId="5C4B2530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F3094">
              <w:rPr>
                <w:b/>
                <w:color w:val="00B050"/>
                <w:sz w:val="24"/>
              </w:rPr>
              <w:t>↓↓</w:t>
            </w:r>
          </w:p>
        </w:tc>
        <w:tc>
          <w:tcPr>
            <w:tcW w:w="1980" w:type="dxa"/>
            <w:vAlign w:val="bottom"/>
          </w:tcPr>
          <w:p w14:paraId="49DE947A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-74.2 (-126.8, -21.6)</w:t>
            </w:r>
          </w:p>
        </w:tc>
      </w:tr>
      <w:tr w:rsidR="001D37B7" w:rsidRPr="00E43C77" w14:paraId="48D17664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5615264E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Turner syndrome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046B527C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990" w:type="dxa"/>
            <w:vAlign w:val="bottom"/>
          </w:tcPr>
          <w:p w14:paraId="244811DA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1260" w:type="dxa"/>
          </w:tcPr>
          <w:p w14:paraId="7BE19183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17984D12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16.1 (-22.4, 54.7)</w:t>
            </w:r>
          </w:p>
        </w:tc>
      </w:tr>
      <w:tr w:rsidR="001D37B7" w:rsidRPr="00E43C77" w14:paraId="73D6BFD3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26B7C5C7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Trisomy 13 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32B28E6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-0.45</w:t>
            </w:r>
          </w:p>
        </w:tc>
        <w:tc>
          <w:tcPr>
            <w:tcW w:w="990" w:type="dxa"/>
            <w:vAlign w:val="bottom"/>
          </w:tcPr>
          <w:p w14:paraId="59CCF5F1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1260" w:type="dxa"/>
          </w:tcPr>
          <w:p w14:paraId="2703F818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5E516684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-39.5 (-86.8, 7.8)</w:t>
            </w:r>
          </w:p>
        </w:tc>
      </w:tr>
      <w:tr w:rsidR="001D37B7" w:rsidRPr="00E43C77" w14:paraId="6671A3FE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1089F4BF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Trisomy 18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177EF6DE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990" w:type="dxa"/>
            <w:vAlign w:val="bottom"/>
          </w:tcPr>
          <w:p w14:paraId="7CD14DF4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0.380</w:t>
            </w:r>
          </w:p>
        </w:tc>
        <w:tc>
          <w:tcPr>
            <w:tcW w:w="1260" w:type="dxa"/>
          </w:tcPr>
          <w:p w14:paraId="04A88966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50ABB5FE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11.6 (-14.6, 37.8)</w:t>
            </w:r>
          </w:p>
        </w:tc>
      </w:tr>
      <w:tr w:rsidR="001D37B7" w:rsidRPr="00E43C77" w14:paraId="4B98694B" w14:textId="77777777" w:rsidTr="00937A1F">
        <w:tc>
          <w:tcPr>
            <w:tcW w:w="3942" w:type="dxa"/>
            <w:tcBorders>
              <w:right w:val="single" w:sz="4" w:space="0" w:color="auto"/>
            </w:tcBorders>
          </w:tcPr>
          <w:p w14:paraId="30AD357F" w14:textId="77777777" w:rsidR="001D37B7" w:rsidRPr="00E43C77" w:rsidRDefault="001D37B7" w:rsidP="00937A1F">
            <w:pP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Trisomy 21 (Down syndrome)</w:t>
            </w:r>
          </w:p>
        </w:tc>
        <w:tc>
          <w:tcPr>
            <w:tcW w:w="1188" w:type="dxa"/>
            <w:tcBorders>
              <w:left w:val="single" w:sz="4" w:space="0" w:color="auto"/>
            </w:tcBorders>
            <w:vAlign w:val="bottom"/>
          </w:tcPr>
          <w:p w14:paraId="7FEA0407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990" w:type="dxa"/>
            <w:vAlign w:val="bottom"/>
          </w:tcPr>
          <w:p w14:paraId="4FA977E7" w14:textId="77777777" w:rsidR="001D37B7" w:rsidRPr="00142A2B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0.422</w:t>
            </w:r>
          </w:p>
        </w:tc>
        <w:tc>
          <w:tcPr>
            <w:tcW w:w="1260" w:type="dxa"/>
          </w:tcPr>
          <w:p w14:paraId="3369C065" w14:textId="77777777" w:rsidR="001D37B7" w:rsidRPr="00142A2B" w:rsidRDefault="001D37B7" w:rsidP="00937A1F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t>––</w:t>
            </w:r>
          </w:p>
        </w:tc>
        <w:tc>
          <w:tcPr>
            <w:tcW w:w="1980" w:type="dxa"/>
            <w:vAlign w:val="bottom"/>
          </w:tcPr>
          <w:p w14:paraId="7B06B69C" w14:textId="77777777" w:rsidR="001D37B7" w:rsidRPr="005E0E87" w:rsidRDefault="001D37B7" w:rsidP="00937A1F">
            <w:pPr>
              <w:jc w:val="right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A2B">
              <w:rPr>
                <w:rFonts w:ascii="Arial Narrow" w:hAnsi="Arial Narrow"/>
                <w:color w:val="000000"/>
                <w:sz w:val="20"/>
                <w:szCs w:val="20"/>
              </w:rPr>
              <w:t>5.3 (-7.8, 18.4)</w:t>
            </w:r>
          </w:p>
        </w:tc>
      </w:tr>
      <w:tr w:rsidR="001D37B7" w:rsidRPr="00E43C77" w14:paraId="7075E100" w14:textId="77777777" w:rsidTr="00937A1F">
        <w:tc>
          <w:tcPr>
            <w:tcW w:w="9360" w:type="dxa"/>
            <w:gridSpan w:val="5"/>
            <w:tcBorders>
              <w:top w:val="single" w:sz="4" w:space="0" w:color="auto"/>
            </w:tcBorders>
          </w:tcPr>
          <w:p w14:paraId="267E205E" w14:textId="77777777" w:rsidR="001D37B7" w:rsidRDefault="001D37B7" w:rsidP="00937A1F">
            <w:pPr>
              <w:rPr>
                <w:rFonts w:ascii="Arial Narrow" w:hAnsi="Arial Narrow" w:cs="Times New Roman"/>
                <w:sz w:val="20"/>
                <w:szCs w:val="20"/>
              </w:rPr>
            </w:pPr>
            <w:proofErr w:type="gramStart"/>
            <w:r w:rsidRPr="00185928">
              <w:rPr>
                <w:rFonts w:ascii="Arial Narrow" w:hAnsi="Arial Narrow" w:cs="Times New Roman"/>
                <w:b/>
                <w:sz w:val="20"/>
                <w:szCs w:val="20"/>
                <w:vertAlign w:val="superscript"/>
              </w:rPr>
              <w:t>a</w:t>
            </w:r>
            <w:proofErr w:type="gramEnd"/>
            <w:r>
              <w:rPr>
                <w:rFonts w:ascii="Arial Narrow" w:hAnsi="Arial Narrow" w:cs="Times New Roman"/>
                <w:b/>
                <w:sz w:val="20"/>
                <w:szCs w:val="20"/>
                <w:vertAlign w:val="superscript"/>
              </w:rPr>
              <w:t xml:space="preserve"> </w:t>
            </w:r>
            <w:r w:rsidRPr="00185928">
              <w:rPr>
                <w:rFonts w:ascii="Arial Narrow" w:hAnsi="Arial Narrow" w:cs="Times New Roman"/>
                <w:sz w:val="20"/>
                <w:szCs w:val="20"/>
              </w:rPr>
              <w:t>ICD-9-CM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period</w:t>
            </w:r>
            <w:r w:rsidRPr="00185928">
              <w:rPr>
                <w:rFonts w:ascii="Arial Narrow" w:hAnsi="Arial Narrow" w:cs="Times New Roman"/>
                <w:sz w:val="20"/>
                <w:szCs w:val="20"/>
              </w:rPr>
              <w:t xml:space="preserve">: 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Hospitalizations in which the discharge was made between </w:t>
            </w:r>
            <w:r w:rsidRPr="00185928">
              <w:rPr>
                <w:rFonts w:ascii="Arial Narrow" w:hAnsi="Arial Narrow" w:cs="Times New Roman"/>
                <w:sz w:val="20"/>
                <w:szCs w:val="20"/>
              </w:rPr>
              <w:t xml:space="preserve">January 1, 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2012 and September 30, 2015. ICD-10-CM period: </w:t>
            </w:r>
            <w:r w:rsidRPr="00185928"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Times New Roman"/>
                <w:sz w:val="20"/>
                <w:szCs w:val="20"/>
              </w:rPr>
              <w:t>Hospitalizations in which the discharge was made between October 1, 2015 and December 31, 2016.</w:t>
            </w:r>
          </w:p>
          <w:p w14:paraId="4FAC8C9D" w14:textId="3FB24F10" w:rsidR="001D37B7" w:rsidRPr="009E3641" w:rsidRDefault="001D37B7" w:rsidP="00937A1F">
            <w:pPr>
              <w:rPr>
                <w:rFonts w:ascii="Arial Narrow" w:hAnsi="Arial Narrow"/>
                <w:b/>
                <w:color w:val="00B05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b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Green arrows: ICD-9-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CM to ICD-10-CM transition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>result</w:t>
            </w:r>
            <w:r>
              <w:rPr>
                <w:rFonts w:ascii="Arial Narrow" w:hAnsi="Arial Narrow" w:cs="Arial"/>
                <w:sz w:val="20"/>
                <w:szCs w:val="20"/>
              </w:rPr>
              <w:t>ed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in a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statistically significant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decrease in the observed </w:t>
            </w:r>
            <w:r w:rsidR="00F366A8">
              <w:rPr>
                <w:rFonts w:ascii="Arial Narrow" w:hAnsi="Arial Narrow" w:cs="Arial"/>
                <w:sz w:val="20"/>
                <w:szCs w:val="20"/>
              </w:rPr>
              <w:t xml:space="preserve">hospital prevalence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>rate of the birth defect.</w:t>
            </w:r>
            <w:r w:rsidRPr="009E3641">
              <w:rPr>
                <w:rFonts w:ascii="Arial Narrow" w:hAnsi="Arial Narrow"/>
                <w:b/>
                <w:color w:val="00B050"/>
                <w:sz w:val="20"/>
                <w:szCs w:val="20"/>
              </w:rPr>
              <w:t xml:space="preserve"> </w:t>
            </w:r>
          </w:p>
          <w:p w14:paraId="299B5467" w14:textId="77777777" w:rsidR="001D37B7" w:rsidRPr="009E3641" w:rsidRDefault="001D37B7" w:rsidP="00937A1F">
            <w:pPr>
              <w:rPr>
                <w:rFonts w:ascii="Arial" w:hAnsi="Arial" w:cs="Arial"/>
                <w:sz w:val="20"/>
                <w:szCs w:val="20"/>
              </w:rPr>
            </w:pPr>
            <w:r w:rsidRPr="009E3641">
              <w:rPr>
                <w:b/>
                <w:color w:val="00B050"/>
                <w:sz w:val="20"/>
                <w:szCs w:val="20"/>
              </w:rPr>
              <w:t xml:space="preserve">↓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"/>
                <w:sz w:val="20"/>
                <w:szCs w:val="20"/>
              </w:rPr>
              <w:t>&lt;50%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decrease    </w:t>
            </w:r>
            <w:r w:rsidRPr="009E3641">
              <w:rPr>
                <w:b/>
                <w:color w:val="00B050"/>
                <w:sz w:val="20"/>
                <w:szCs w:val="20"/>
              </w:rPr>
              <w:t xml:space="preserve">↓↓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"/>
                <w:sz w:val="20"/>
                <w:szCs w:val="20"/>
              </w:rPr>
              <w:t>50-99%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decrease     </w:t>
            </w:r>
            <w:r w:rsidRPr="009E3641">
              <w:rPr>
                <w:b/>
                <w:color w:val="00B050"/>
                <w:sz w:val="20"/>
                <w:szCs w:val="20"/>
              </w:rPr>
              <w:t xml:space="preserve">↓↓↓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= ≥100% decrease      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4701C670" w14:textId="117CC8F8" w:rsidR="001D37B7" w:rsidRPr="009E3641" w:rsidRDefault="001D37B7" w:rsidP="00937A1F">
            <w:pPr>
              <w:spacing w:before="120"/>
              <w:rPr>
                <w:rFonts w:ascii="Arial Narrow" w:hAnsi="Arial Narrow"/>
                <w:b/>
                <w:color w:val="00B050"/>
                <w:sz w:val="20"/>
                <w:szCs w:val="20"/>
              </w:rPr>
            </w:pPr>
            <w:r w:rsidRPr="009E3641">
              <w:rPr>
                <w:rFonts w:ascii="Arial Narrow" w:hAnsi="Arial Narrow" w:cs="Arial"/>
                <w:sz w:val="20"/>
                <w:szCs w:val="20"/>
              </w:rPr>
              <w:t>Red arrows: ICD-9-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CM to ICD-10-CM transition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>result</w:t>
            </w:r>
            <w:r>
              <w:rPr>
                <w:rFonts w:ascii="Arial Narrow" w:hAnsi="Arial Narrow" w:cs="Arial"/>
                <w:sz w:val="20"/>
                <w:szCs w:val="20"/>
              </w:rPr>
              <w:t>ed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in a </w:t>
            </w:r>
            <w:r>
              <w:rPr>
                <w:rFonts w:ascii="Arial Narrow" w:hAnsi="Arial Narrow" w:cs="Arial"/>
                <w:sz w:val="20"/>
                <w:szCs w:val="20"/>
              </w:rPr>
              <w:t>statistically significant increase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in the observed </w:t>
            </w:r>
            <w:r w:rsidR="00F366A8">
              <w:rPr>
                <w:rFonts w:ascii="Arial Narrow" w:hAnsi="Arial Narrow" w:cs="Arial"/>
                <w:sz w:val="20"/>
                <w:szCs w:val="20"/>
              </w:rPr>
              <w:t xml:space="preserve">hospital prevalence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>rate of the birth defect.</w:t>
            </w:r>
          </w:p>
          <w:p w14:paraId="2A269A6B" w14:textId="77777777" w:rsidR="001D37B7" w:rsidRPr="009E3641" w:rsidRDefault="001D37B7" w:rsidP="00937A1F">
            <w:pPr>
              <w:rPr>
                <w:rFonts w:ascii="Arial" w:hAnsi="Arial" w:cs="Arial"/>
                <w:sz w:val="20"/>
                <w:szCs w:val="20"/>
              </w:rPr>
            </w:pPr>
            <w:r w:rsidRPr="009E3641">
              <w:rPr>
                <w:b/>
                <w:color w:val="FF0000"/>
                <w:sz w:val="20"/>
                <w:szCs w:val="20"/>
              </w:rPr>
              <w:t>↑</w:t>
            </w:r>
            <w:r w:rsidRPr="009E3641">
              <w:rPr>
                <w:b/>
                <w:color w:val="00B050"/>
                <w:sz w:val="20"/>
                <w:szCs w:val="20"/>
              </w:rPr>
              <w:t xml:space="preserve">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"/>
                <w:sz w:val="20"/>
                <w:szCs w:val="20"/>
              </w:rPr>
              <w:t>&lt;50%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increase   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E3641">
              <w:rPr>
                <w:b/>
                <w:color w:val="FF0000"/>
                <w:sz w:val="20"/>
                <w:szCs w:val="20"/>
              </w:rPr>
              <w:t>↑↑</w:t>
            </w:r>
            <w:r w:rsidRPr="009E3641">
              <w:rPr>
                <w:b/>
                <w:color w:val="00B050"/>
                <w:sz w:val="20"/>
                <w:szCs w:val="20"/>
              </w:rPr>
              <w:t xml:space="preserve">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"/>
                <w:sz w:val="20"/>
                <w:szCs w:val="20"/>
              </w:rPr>
              <w:t>50-99%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in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crease      </w:t>
            </w:r>
            <w:r w:rsidRPr="009E3641">
              <w:rPr>
                <w:b/>
                <w:color w:val="FF0000"/>
                <w:sz w:val="20"/>
                <w:szCs w:val="20"/>
              </w:rPr>
              <w:t>↑↑↑</w:t>
            </w:r>
            <w:r w:rsidRPr="009E3641">
              <w:rPr>
                <w:b/>
                <w:color w:val="00B050"/>
                <w:sz w:val="20"/>
                <w:szCs w:val="20"/>
              </w:rPr>
              <w:t xml:space="preserve">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= </w:t>
            </w:r>
            <w:r>
              <w:rPr>
                <w:rFonts w:ascii="Arial Narrow" w:hAnsi="Arial Narrow" w:cs="Arial"/>
                <w:sz w:val="20"/>
                <w:szCs w:val="20"/>
              </w:rPr>
              <w:t>≥100% in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crease              </w:t>
            </w:r>
          </w:p>
          <w:p w14:paraId="25FECBA5" w14:textId="432F6E0B" w:rsidR="001D37B7" w:rsidRDefault="001D37B7" w:rsidP="00937A1F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E3641">
              <w:rPr>
                <w:rFonts w:ascii="Arial Narrow" w:hAnsi="Arial Narrow" w:cs="Arial"/>
                <w:sz w:val="20"/>
                <w:szCs w:val="20"/>
              </w:rPr>
              <w:t>Horizontal dash: ICD-9-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CM to ICD-10-CM transition did not result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in a </w:t>
            </w:r>
            <w:r>
              <w:rPr>
                <w:rFonts w:ascii="Arial Narrow" w:hAnsi="Arial Narrow" w:cs="Arial"/>
                <w:sz w:val="20"/>
                <w:szCs w:val="20"/>
              </w:rPr>
              <w:t>statistically significant change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 xml:space="preserve"> in the observed </w:t>
            </w:r>
            <w:r w:rsidR="00F366A8">
              <w:rPr>
                <w:rFonts w:ascii="Arial Narrow" w:hAnsi="Arial Narrow" w:cs="Arial"/>
                <w:sz w:val="20"/>
                <w:szCs w:val="20"/>
              </w:rPr>
              <w:t xml:space="preserve">hospital prevalence </w:t>
            </w:r>
            <w:r w:rsidRPr="009E3641">
              <w:rPr>
                <w:rFonts w:ascii="Arial Narrow" w:hAnsi="Arial Narrow" w:cs="Arial"/>
                <w:sz w:val="20"/>
                <w:szCs w:val="20"/>
              </w:rPr>
              <w:t>rate of the birth defect.</w:t>
            </w:r>
          </w:p>
          <w:p w14:paraId="3AD74B70" w14:textId="56E37092" w:rsidR="001D37B7" w:rsidRPr="00142A2B" w:rsidRDefault="001D37B7" w:rsidP="00937A1F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</w:tbl>
    <w:p w14:paraId="7545AA9E" w14:textId="77777777" w:rsidR="001D37B7" w:rsidRDefault="001D37B7" w:rsidP="001D37B7"/>
    <w:p w14:paraId="0CAF65B7" w14:textId="77777777" w:rsidR="000E5541" w:rsidRDefault="000E5541">
      <w:pPr>
        <w:rPr>
          <w:rFonts w:ascii="Arial" w:hAnsi="Arial" w:cs="Arial"/>
        </w:rPr>
      </w:pPr>
    </w:p>
    <w:p w14:paraId="3FDDC9C3" w14:textId="77777777" w:rsidR="005C66FA" w:rsidRDefault="005C66FA">
      <w:pPr>
        <w:rPr>
          <w:rFonts w:ascii="Arial" w:hAnsi="Arial" w:cs="Arial"/>
        </w:rPr>
      </w:pPr>
    </w:p>
    <w:p w14:paraId="3A922517" w14:textId="77777777" w:rsidR="005C66FA" w:rsidRDefault="005C66FA">
      <w:pPr>
        <w:rPr>
          <w:rFonts w:ascii="Arial" w:hAnsi="Arial" w:cs="Arial"/>
        </w:rPr>
        <w:sectPr w:rsidR="005C66FA" w:rsidSect="000E554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3A5C8BD" w14:textId="77DA87BF" w:rsidR="005C66FA" w:rsidRPr="00857E90" w:rsidRDefault="005C66FA">
      <w:pPr>
        <w:rPr>
          <w:rFonts w:ascii="Arial Narrow" w:hAnsi="Arial Narrow" w:cs="Times New Roman"/>
          <w:b/>
          <w:sz w:val="24"/>
          <w:szCs w:val="24"/>
        </w:rPr>
      </w:pPr>
      <w:r w:rsidRPr="005C66FA">
        <w:rPr>
          <w:rFonts w:ascii="Arial Narrow" w:hAnsi="Arial Narrow" w:cs="Times New Roman"/>
          <w:b/>
          <w:sz w:val="24"/>
          <w:szCs w:val="20"/>
        </w:rPr>
        <w:lastRenderedPageBreak/>
        <w:t xml:space="preserve">Supplemental Figures. Impact of the ICD-9-CM to ICD-10-CM code transition on monthly </w:t>
      </w:r>
      <w:r w:rsidR="001B35FF">
        <w:rPr>
          <w:rFonts w:ascii="Arial Narrow" w:hAnsi="Arial Narrow" w:cs="Times New Roman"/>
          <w:b/>
          <w:sz w:val="24"/>
          <w:szCs w:val="20"/>
        </w:rPr>
        <w:t xml:space="preserve">hospital </w:t>
      </w:r>
      <w:r w:rsidRPr="005C66FA">
        <w:rPr>
          <w:rFonts w:ascii="Arial Narrow" w:hAnsi="Arial Narrow" w:cs="Times New Roman"/>
          <w:b/>
          <w:sz w:val="24"/>
          <w:szCs w:val="20"/>
        </w:rPr>
        <w:t>prevalence estimates for major birth defects</w:t>
      </w:r>
      <w:r w:rsidR="00857E90">
        <w:rPr>
          <w:rFonts w:ascii="Arial Narrow" w:hAnsi="Arial Narrow" w:cs="Times New Roman"/>
          <w:b/>
          <w:sz w:val="24"/>
          <w:szCs w:val="20"/>
        </w:rPr>
        <w:t xml:space="preserve">, </w:t>
      </w:r>
      <w:r w:rsidR="00857E90" w:rsidRPr="00857E90">
        <w:rPr>
          <w:rFonts w:ascii="Arial Narrow" w:hAnsi="Arial Narrow" w:cs="Times New Roman"/>
          <w:b/>
          <w:sz w:val="24"/>
          <w:szCs w:val="24"/>
        </w:rPr>
        <w:t>National Inpatient Sample, 2012-2016</w:t>
      </w:r>
    </w:p>
    <w:p w14:paraId="5A12A4EB" w14:textId="77777777" w:rsidR="005C66FA" w:rsidRDefault="005C66FA">
      <w:pPr>
        <w:rPr>
          <w:rFonts w:ascii="Arial Narrow" w:hAnsi="Arial Narrow" w:cs="Times New Roman"/>
          <w:b/>
          <w:sz w:val="24"/>
          <w:szCs w:val="20"/>
        </w:rPr>
      </w:pPr>
    </w:p>
    <w:p w14:paraId="184DB64C" w14:textId="42CD306E" w:rsidR="005C66FA" w:rsidRDefault="0056584E">
      <w:pPr>
        <w:rPr>
          <w:rFonts w:ascii="Arial Narrow" w:hAnsi="Arial Narrow" w:cs="Times New Roman"/>
          <w:sz w:val="24"/>
          <w:szCs w:val="20"/>
        </w:rPr>
      </w:pPr>
      <w:r>
        <w:rPr>
          <w:rFonts w:ascii="Arial Narrow" w:hAnsi="Arial Narrow" w:cs="Times New Roman"/>
          <w:sz w:val="24"/>
          <w:szCs w:val="20"/>
        </w:rPr>
        <w:t>An example of the guide to interpreting each figure is below.</w:t>
      </w:r>
    </w:p>
    <w:p w14:paraId="78573CCD" w14:textId="77777777" w:rsidR="0056584E" w:rsidRDefault="0056584E">
      <w:pPr>
        <w:rPr>
          <w:rFonts w:ascii="Arial Narrow" w:hAnsi="Arial Narrow" w:cs="Times New Roman"/>
          <w:sz w:val="24"/>
          <w:szCs w:val="20"/>
        </w:rPr>
      </w:pPr>
    </w:p>
    <w:p w14:paraId="45C47158" w14:textId="541D8F10" w:rsidR="0056584E" w:rsidRPr="005C66FA" w:rsidRDefault="00421175">
      <w:pPr>
        <w:rPr>
          <w:rFonts w:ascii="Arial" w:hAnsi="Arial" w:cs="Arial"/>
          <w:sz w:val="28"/>
        </w:rPr>
        <w:sectPr w:rsidR="0056584E" w:rsidRPr="005C66FA" w:rsidSect="005C66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D064D08" wp14:editId="12D1A0EB">
            <wp:extent cx="6517539" cy="460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4655" cy="46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ECBB" w14:textId="245F34B0" w:rsidR="00FC1157" w:rsidRPr="001424A5" w:rsidRDefault="00EA38A2" w:rsidP="007E45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7456C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5.75pt">
            <v:imagedata r:id="rId6" o:title="Rate_1YR_1"/>
          </v:shape>
        </w:pict>
      </w:r>
      <w:r>
        <w:rPr>
          <w:rFonts w:ascii="Arial" w:hAnsi="Arial" w:cs="Arial"/>
        </w:rPr>
        <w:lastRenderedPageBreak/>
        <w:pict w14:anchorId="72FE82A9">
          <v:shape id="_x0000_i1026" type="#_x0000_t75" style="width:468pt;height:345.75pt">
            <v:imagedata r:id="rId7" o:title="Rate_1YR_2"/>
          </v:shape>
        </w:pict>
      </w:r>
      <w:r>
        <w:rPr>
          <w:rFonts w:ascii="Arial" w:hAnsi="Arial" w:cs="Arial"/>
        </w:rPr>
        <w:lastRenderedPageBreak/>
        <w:pict w14:anchorId="36D33BAF">
          <v:shape id="_x0000_i1027" type="#_x0000_t75" style="width:468pt;height:345.75pt">
            <v:imagedata r:id="rId8" o:title="Rate_1YR_3"/>
          </v:shape>
        </w:pict>
      </w:r>
      <w:r>
        <w:rPr>
          <w:rFonts w:ascii="Arial" w:hAnsi="Arial" w:cs="Arial"/>
        </w:rPr>
        <w:lastRenderedPageBreak/>
        <w:pict w14:anchorId="323A0B7D">
          <v:shape id="_x0000_i1028" type="#_x0000_t75" style="width:468pt;height:345.75pt">
            <v:imagedata r:id="rId9" o:title="Rate_1YR_4"/>
          </v:shape>
        </w:pict>
      </w:r>
      <w:r>
        <w:rPr>
          <w:rFonts w:ascii="Arial" w:hAnsi="Arial" w:cs="Arial"/>
        </w:rPr>
        <w:lastRenderedPageBreak/>
        <w:pict w14:anchorId="484291A9">
          <v:shape id="_x0000_i1029" type="#_x0000_t75" style="width:468pt;height:345.75pt">
            <v:imagedata r:id="rId10" o:title="Rate_1YR_6"/>
          </v:shape>
        </w:pict>
      </w:r>
      <w:r>
        <w:rPr>
          <w:rFonts w:ascii="Arial" w:hAnsi="Arial" w:cs="Arial"/>
        </w:rPr>
        <w:lastRenderedPageBreak/>
        <w:pict w14:anchorId="3452E6E2">
          <v:shape id="_x0000_i1030" type="#_x0000_t75" style="width:468pt;height:345.75pt">
            <v:imagedata r:id="rId11" o:title="Rate_1YR_7"/>
          </v:shape>
        </w:pict>
      </w:r>
      <w:r>
        <w:rPr>
          <w:rFonts w:ascii="Arial" w:hAnsi="Arial" w:cs="Arial"/>
        </w:rPr>
        <w:lastRenderedPageBreak/>
        <w:pict w14:anchorId="55B55CFE">
          <v:shape id="_x0000_i1031" type="#_x0000_t75" style="width:468pt;height:345.75pt">
            <v:imagedata r:id="rId12" o:title="Rate_1YR_9"/>
          </v:shape>
        </w:pict>
      </w:r>
      <w:r>
        <w:rPr>
          <w:rFonts w:ascii="Arial" w:hAnsi="Arial" w:cs="Arial"/>
        </w:rPr>
        <w:lastRenderedPageBreak/>
        <w:pict w14:anchorId="14CE4C87">
          <v:shape id="_x0000_i1032" type="#_x0000_t75" style="width:468pt;height:345.75pt">
            <v:imagedata r:id="rId13" o:title="Rate_1YR_12"/>
          </v:shape>
        </w:pict>
      </w:r>
      <w:r>
        <w:rPr>
          <w:rFonts w:ascii="Arial" w:hAnsi="Arial" w:cs="Arial"/>
        </w:rPr>
        <w:lastRenderedPageBreak/>
        <w:pict w14:anchorId="058100CB">
          <v:shape id="_x0000_i1033" type="#_x0000_t75" style="width:468pt;height:345.75pt">
            <v:imagedata r:id="rId14" o:title="Rate_1YR_13"/>
          </v:shape>
        </w:pict>
      </w:r>
      <w:r>
        <w:rPr>
          <w:rFonts w:ascii="Arial" w:hAnsi="Arial" w:cs="Arial"/>
        </w:rPr>
        <w:lastRenderedPageBreak/>
        <w:pict w14:anchorId="5D210844">
          <v:shape id="_x0000_i1034" type="#_x0000_t75" style="width:468pt;height:345.75pt">
            <v:imagedata r:id="rId15" o:title="Rate_1YR_14"/>
          </v:shape>
        </w:pict>
      </w:r>
      <w:r>
        <w:rPr>
          <w:rFonts w:ascii="Arial" w:hAnsi="Arial" w:cs="Arial"/>
        </w:rPr>
        <w:lastRenderedPageBreak/>
        <w:pict w14:anchorId="7243D05E">
          <v:shape id="_x0000_i1035" type="#_x0000_t75" style="width:468pt;height:345.75pt">
            <v:imagedata r:id="rId16" o:title="Rate_1YR_15"/>
          </v:shape>
        </w:pict>
      </w:r>
      <w:r>
        <w:rPr>
          <w:rFonts w:ascii="Arial" w:hAnsi="Arial" w:cs="Arial"/>
        </w:rPr>
        <w:lastRenderedPageBreak/>
        <w:pict w14:anchorId="43F9C1BF">
          <v:shape id="_x0000_i1036" type="#_x0000_t75" style="width:468pt;height:345.75pt">
            <v:imagedata r:id="rId17" o:title="Rate_1YR_16"/>
          </v:shape>
        </w:pict>
      </w:r>
      <w:r>
        <w:rPr>
          <w:rFonts w:ascii="Arial" w:hAnsi="Arial" w:cs="Arial"/>
        </w:rPr>
        <w:lastRenderedPageBreak/>
        <w:pict w14:anchorId="7BD4A26B">
          <v:shape id="_x0000_i1037" type="#_x0000_t75" style="width:468pt;height:345.75pt">
            <v:imagedata r:id="rId18" o:title="Rate_1YR_17"/>
          </v:shape>
        </w:pict>
      </w:r>
      <w:r>
        <w:rPr>
          <w:rFonts w:ascii="Arial" w:hAnsi="Arial" w:cs="Arial"/>
        </w:rPr>
        <w:lastRenderedPageBreak/>
        <w:pict w14:anchorId="32B48819">
          <v:shape id="_x0000_i1038" type="#_x0000_t75" style="width:468pt;height:345.75pt">
            <v:imagedata r:id="rId19" o:title="Rate_1YR_18"/>
          </v:shape>
        </w:pict>
      </w:r>
      <w:r>
        <w:rPr>
          <w:rFonts w:ascii="Arial" w:hAnsi="Arial" w:cs="Arial"/>
        </w:rPr>
        <w:lastRenderedPageBreak/>
        <w:pict w14:anchorId="15467230">
          <v:shape id="_x0000_i1039" type="#_x0000_t75" style="width:468pt;height:345.75pt">
            <v:imagedata r:id="rId20" o:title="Rate_1YR_19"/>
          </v:shape>
        </w:pict>
      </w:r>
      <w:r>
        <w:rPr>
          <w:rFonts w:ascii="Arial" w:hAnsi="Arial" w:cs="Arial"/>
        </w:rPr>
        <w:lastRenderedPageBreak/>
        <w:pict w14:anchorId="2295D7D0">
          <v:shape id="_x0000_i1040" type="#_x0000_t75" style="width:468pt;height:345.75pt">
            <v:imagedata r:id="rId21" o:title="Rate_1YR_21"/>
          </v:shape>
        </w:pict>
      </w:r>
      <w:r>
        <w:rPr>
          <w:rFonts w:ascii="Arial" w:hAnsi="Arial" w:cs="Arial"/>
        </w:rPr>
        <w:lastRenderedPageBreak/>
        <w:pict w14:anchorId="1B07A0EA">
          <v:shape id="_x0000_i1041" type="#_x0000_t75" style="width:468pt;height:345.75pt">
            <v:imagedata r:id="rId22" o:title="Rate_1YR_22"/>
          </v:shape>
        </w:pict>
      </w:r>
      <w:r>
        <w:rPr>
          <w:rFonts w:ascii="Arial" w:hAnsi="Arial" w:cs="Arial"/>
        </w:rPr>
        <w:lastRenderedPageBreak/>
        <w:pict w14:anchorId="37465BC6">
          <v:shape id="_x0000_i1042" type="#_x0000_t75" style="width:468pt;height:345.75pt">
            <v:imagedata r:id="rId23" o:title="Rate_1YR_23"/>
          </v:shape>
        </w:pict>
      </w:r>
      <w:r>
        <w:rPr>
          <w:rFonts w:ascii="Arial" w:hAnsi="Arial" w:cs="Arial"/>
        </w:rPr>
        <w:lastRenderedPageBreak/>
        <w:pict w14:anchorId="380FF8D0">
          <v:shape id="_x0000_i1043" type="#_x0000_t75" style="width:468pt;height:345.75pt">
            <v:imagedata r:id="rId24" o:title="Rate_1YR_24"/>
          </v:shape>
        </w:pict>
      </w:r>
      <w:r>
        <w:rPr>
          <w:rFonts w:ascii="Arial" w:hAnsi="Arial" w:cs="Arial"/>
        </w:rPr>
        <w:lastRenderedPageBreak/>
        <w:pict w14:anchorId="16706492">
          <v:shape id="_x0000_i1044" type="#_x0000_t75" style="width:468pt;height:345.75pt">
            <v:imagedata r:id="rId25" o:title="Rate_1YR_25"/>
          </v:shape>
        </w:pict>
      </w:r>
      <w:r>
        <w:rPr>
          <w:rFonts w:ascii="Arial" w:hAnsi="Arial" w:cs="Arial"/>
        </w:rPr>
        <w:lastRenderedPageBreak/>
        <w:pict w14:anchorId="37922192">
          <v:shape id="_x0000_i1045" type="#_x0000_t75" style="width:468pt;height:345.75pt">
            <v:imagedata r:id="rId26" o:title="Rate_1YR_26"/>
          </v:shape>
        </w:pict>
      </w:r>
      <w:r>
        <w:rPr>
          <w:rFonts w:ascii="Arial" w:hAnsi="Arial" w:cs="Arial"/>
        </w:rPr>
        <w:lastRenderedPageBreak/>
        <w:pict w14:anchorId="05E6C5A7">
          <v:shape id="_x0000_i1046" type="#_x0000_t75" style="width:468pt;height:345.75pt">
            <v:imagedata r:id="rId27" o:title="Rate_1YR_27"/>
          </v:shape>
        </w:pict>
      </w:r>
      <w:r>
        <w:rPr>
          <w:rFonts w:ascii="Arial" w:hAnsi="Arial" w:cs="Arial"/>
        </w:rPr>
        <w:lastRenderedPageBreak/>
        <w:pict w14:anchorId="0F22032E">
          <v:shape id="_x0000_i1047" type="#_x0000_t75" style="width:468pt;height:345.75pt">
            <v:imagedata r:id="rId28" o:title="Rate_1YR_30"/>
          </v:shape>
        </w:pict>
      </w:r>
      <w:r>
        <w:rPr>
          <w:rFonts w:ascii="Arial" w:hAnsi="Arial" w:cs="Arial"/>
        </w:rPr>
        <w:lastRenderedPageBreak/>
        <w:pict w14:anchorId="53AABCF7">
          <v:shape id="_x0000_i1048" type="#_x0000_t75" style="width:468pt;height:345.75pt">
            <v:imagedata r:id="rId29" o:title="Rate_1YR_31"/>
          </v:shape>
        </w:pict>
      </w:r>
      <w:r>
        <w:rPr>
          <w:rFonts w:ascii="Arial" w:hAnsi="Arial" w:cs="Arial"/>
        </w:rPr>
        <w:lastRenderedPageBreak/>
        <w:pict w14:anchorId="2C23D90F">
          <v:shape id="_x0000_i1049" type="#_x0000_t75" style="width:468pt;height:345.75pt">
            <v:imagedata r:id="rId30" o:title="Rate_1YR_32"/>
          </v:shape>
        </w:pict>
      </w:r>
      <w:r>
        <w:rPr>
          <w:rFonts w:ascii="Arial" w:hAnsi="Arial" w:cs="Arial"/>
        </w:rPr>
        <w:lastRenderedPageBreak/>
        <w:pict w14:anchorId="7B584327">
          <v:shape id="_x0000_i1050" type="#_x0000_t75" style="width:468pt;height:345.75pt">
            <v:imagedata r:id="rId31" o:title="Rate_1YR_33"/>
          </v:shape>
        </w:pict>
      </w:r>
      <w:r>
        <w:rPr>
          <w:rFonts w:ascii="Arial" w:hAnsi="Arial" w:cs="Arial"/>
        </w:rPr>
        <w:lastRenderedPageBreak/>
        <w:pict w14:anchorId="14C4D5AB">
          <v:shape id="_x0000_i1051" type="#_x0000_t75" style="width:468pt;height:345.75pt">
            <v:imagedata r:id="rId32" o:title="Rate_1YR_35"/>
          </v:shape>
        </w:pict>
      </w:r>
      <w:r>
        <w:rPr>
          <w:rFonts w:ascii="Arial" w:hAnsi="Arial" w:cs="Arial"/>
        </w:rPr>
        <w:lastRenderedPageBreak/>
        <w:pict w14:anchorId="35ED8B67">
          <v:shape id="_x0000_i1052" type="#_x0000_t75" style="width:468pt;height:345.75pt">
            <v:imagedata r:id="rId33" o:title="Rate_1YR_36"/>
          </v:shape>
        </w:pict>
      </w:r>
      <w:r>
        <w:rPr>
          <w:rFonts w:ascii="Arial" w:hAnsi="Arial" w:cs="Arial"/>
        </w:rPr>
        <w:lastRenderedPageBreak/>
        <w:pict w14:anchorId="1227A865">
          <v:shape id="_x0000_i1053" type="#_x0000_t75" style="width:468pt;height:345.75pt">
            <v:imagedata r:id="rId34" o:title="Rate_1YR_37"/>
          </v:shape>
        </w:pict>
      </w:r>
      <w:r>
        <w:rPr>
          <w:rFonts w:ascii="Arial" w:hAnsi="Arial" w:cs="Arial"/>
        </w:rPr>
        <w:lastRenderedPageBreak/>
        <w:pict w14:anchorId="7D50839E">
          <v:shape id="_x0000_i1054" type="#_x0000_t75" style="width:468pt;height:345.75pt">
            <v:imagedata r:id="rId35" o:title="Rate_1YR_38"/>
          </v:shape>
        </w:pict>
      </w:r>
      <w:r>
        <w:rPr>
          <w:rFonts w:ascii="Arial" w:hAnsi="Arial" w:cs="Arial"/>
        </w:rPr>
        <w:lastRenderedPageBreak/>
        <w:pict w14:anchorId="6B9F4628">
          <v:shape id="_x0000_i1055" type="#_x0000_t75" style="width:468pt;height:345.75pt">
            <v:imagedata r:id="rId36" o:title="Rate_1YR_40"/>
          </v:shape>
        </w:pict>
      </w:r>
      <w:r>
        <w:rPr>
          <w:rFonts w:ascii="Arial" w:hAnsi="Arial" w:cs="Arial"/>
        </w:rPr>
        <w:lastRenderedPageBreak/>
        <w:pict w14:anchorId="289CF92D">
          <v:shape id="_x0000_i1056" type="#_x0000_t75" style="width:468pt;height:345.75pt">
            <v:imagedata r:id="rId37" o:title="Rate_1YR_41"/>
          </v:shape>
        </w:pict>
      </w:r>
      <w:r>
        <w:rPr>
          <w:rFonts w:ascii="Arial" w:hAnsi="Arial" w:cs="Arial"/>
        </w:rPr>
        <w:lastRenderedPageBreak/>
        <w:pict w14:anchorId="46B9065E">
          <v:shape id="_x0000_i1057" type="#_x0000_t75" style="width:468pt;height:345.75pt">
            <v:imagedata r:id="rId38" o:title="Rate_1YR_42"/>
          </v:shape>
        </w:pict>
      </w:r>
      <w:r>
        <w:rPr>
          <w:rFonts w:ascii="Arial" w:hAnsi="Arial" w:cs="Arial"/>
        </w:rPr>
        <w:lastRenderedPageBreak/>
        <w:pict w14:anchorId="71EA439A">
          <v:shape id="_x0000_i1058" type="#_x0000_t75" style="width:468pt;height:345.75pt">
            <v:imagedata r:id="rId39" o:title="Rate_1YR_43"/>
          </v:shape>
        </w:pict>
      </w:r>
      <w:r>
        <w:rPr>
          <w:rFonts w:ascii="Arial" w:hAnsi="Arial" w:cs="Arial"/>
        </w:rPr>
        <w:lastRenderedPageBreak/>
        <w:pict w14:anchorId="14374E74">
          <v:shape id="_x0000_i1059" type="#_x0000_t75" style="width:468pt;height:345.75pt">
            <v:imagedata r:id="rId40" o:title="Rate_1YR_45"/>
          </v:shape>
        </w:pict>
      </w:r>
      <w:r>
        <w:rPr>
          <w:rFonts w:ascii="Arial" w:hAnsi="Arial" w:cs="Arial"/>
        </w:rPr>
        <w:lastRenderedPageBreak/>
        <w:pict w14:anchorId="346C7F38">
          <v:shape id="_x0000_i1060" type="#_x0000_t75" style="width:468pt;height:345.75pt">
            <v:imagedata r:id="rId41" o:title="Rate_1YR_46"/>
          </v:shape>
        </w:pict>
      </w:r>
      <w:r>
        <w:rPr>
          <w:rFonts w:ascii="Arial" w:hAnsi="Arial" w:cs="Arial"/>
        </w:rPr>
        <w:lastRenderedPageBreak/>
        <w:pict w14:anchorId="3F8C82C1">
          <v:shape id="_x0000_i1061" type="#_x0000_t75" style="width:468pt;height:345.75pt">
            <v:imagedata r:id="rId42" o:title="Rate_1YR_47"/>
          </v:shape>
        </w:pict>
      </w:r>
      <w:r>
        <w:rPr>
          <w:rFonts w:ascii="Arial" w:hAnsi="Arial" w:cs="Arial"/>
        </w:rPr>
        <w:lastRenderedPageBreak/>
        <w:pict w14:anchorId="1563E91A">
          <v:shape id="_x0000_i1062" type="#_x0000_t75" style="width:468pt;height:345.75pt">
            <v:imagedata r:id="rId43" o:title="Rate_1YR_48"/>
          </v:shape>
        </w:pict>
      </w:r>
      <w:r>
        <w:rPr>
          <w:rFonts w:ascii="Arial" w:hAnsi="Arial" w:cs="Arial"/>
        </w:rPr>
        <w:lastRenderedPageBreak/>
        <w:pict w14:anchorId="3028506B">
          <v:shape id="_x0000_i1063" type="#_x0000_t75" style="width:468pt;height:345.75pt">
            <v:imagedata r:id="rId44" o:title="Rate_1YR_49"/>
          </v:shape>
        </w:pict>
      </w:r>
      <w:r>
        <w:rPr>
          <w:rFonts w:ascii="Arial" w:hAnsi="Arial" w:cs="Arial"/>
        </w:rPr>
        <w:lastRenderedPageBreak/>
        <w:pict w14:anchorId="3282BF00">
          <v:shape id="_x0000_i1064" type="#_x0000_t75" style="width:468pt;height:345.75pt">
            <v:imagedata r:id="rId45" o:title="Rate_1YR_51"/>
          </v:shape>
        </w:pict>
      </w:r>
      <w:r>
        <w:rPr>
          <w:rFonts w:ascii="Arial" w:hAnsi="Arial" w:cs="Arial"/>
        </w:rPr>
        <w:lastRenderedPageBreak/>
        <w:pict w14:anchorId="4B856D75">
          <v:shape id="_x0000_i1065" type="#_x0000_t75" style="width:468pt;height:345.75pt">
            <v:imagedata r:id="rId46" o:title="Rate_1YR_52"/>
          </v:shape>
        </w:pict>
      </w:r>
      <w:r>
        <w:rPr>
          <w:rFonts w:ascii="Arial" w:hAnsi="Arial" w:cs="Arial"/>
        </w:rPr>
        <w:lastRenderedPageBreak/>
        <w:pict w14:anchorId="4BB07CA7">
          <v:shape id="_x0000_i1066" type="#_x0000_t75" style="width:468pt;height:345.75pt">
            <v:imagedata r:id="rId47" o:title="Rate_1YR_53"/>
          </v:shape>
        </w:pict>
      </w:r>
      <w:r>
        <w:rPr>
          <w:rFonts w:ascii="Arial" w:hAnsi="Arial" w:cs="Arial"/>
        </w:rPr>
        <w:lastRenderedPageBreak/>
        <w:pict w14:anchorId="5F020265">
          <v:shape id="_x0000_i1067" type="#_x0000_t75" style="width:468pt;height:345.75pt">
            <v:imagedata r:id="rId48" o:title="Rate_1YR_54"/>
          </v:shape>
        </w:pict>
      </w:r>
      <w:r>
        <w:rPr>
          <w:rFonts w:ascii="Arial" w:hAnsi="Arial" w:cs="Arial"/>
        </w:rPr>
        <w:lastRenderedPageBreak/>
        <w:pict w14:anchorId="7DF70CE1">
          <v:shape id="_x0000_i1068" type="#_x0000_t75" style="width:468pt;height:345.75pt">
            <v:imagedata r:id="rId49" o:title="Rate_1YR_55"/>
          </v:shape>
        </w:pict>
      </w:r>
      <w:r>
        <w:rPr>
          <w:rFonts w:ascii="Arial" w:hAnsi="Arial" w:cs="Arial"/>
        </w:rPr>
        <w:lastRenderedPageBreak/>
        <w:pict w14:anchorId="38C835A9">
          <v:shape id="_x0000_i1069" type="#_x0000_t75" style="width:468pt;height:345.75pt">
            <v:imagedata r:id="rId50" o:title="Rate_1YR_57"/>
          </v:shape>
        </w:pict>
      </w:r>
      <w:r>
        <w:rPr>
          <w:rFonts w:ascii="Arial" w:hAnsi="Arial" w:cs="Arial"/>
        </w:rPr>
        <w:lastRenderedPageBreak/>
        <w:pict w14:anchorId="5946DB95">
          <v:shape id="_x0000_i1070" type="#_x0000_t75" style="width:468pt;height:345.75pt">
            <v:imagedata r:id="rId51" o:title="Rate_1YR_58"/>
          </v:shape>
        </w:pict>
      </w:r>
      <w:r>
        <w:rPr>
          <w:rFonts w:ascii="Arial" w:hAnsi="Arial" w:cs="Arial"/>
        </w:rPr>
        <w:lastRenderedPageBreak/>
        <w:pict w14:anchorId="6AB390FA">
          <v:shape id="_x0000_i1071" type="#_x0000_t75" style="width:468pt;height:345.75pt">
            <v:imagedata r:id="rId52" o:title="Rate_1YR_59"/>
          </v:shape>
        </w:pict>
      </w:r>
      <w:r>
        <w:rPr>
          <w:rFonts w:ascii="Arial" w:hAnsi="Arial" w:cs="Arial"/>
        </w:rPr>
        <w:lastRenderedPageBreak/>
        <w:pict w14:anchorId="2E53E96E">
          <v:shape id="_x0000_i1072" type="#_x0000_t75" style="width:468pt;height:345.75pt">
            <v:imagedata r:id="rId53" o:title="Rate_1YR_60"/>
          </v:shape>
        </w:pict>
      </w:r>
      <w:r>
        <w:rPr>
          <w:rFonts w:ascii="Arial" w:hAnsi="Arial" w:cs="Arial"/>
        </w:rPr>
        <w:lastRenderedPageBreak/>
        <w:pict w14:anchorId="03CE6DFA">
          <v:shape id="_x0000_i1073" type="#_x0000_t75" style="width:468pt;height:345.75pt">
            <v:imagedata r:id="rId54" o:title="Rate_1YR_61"/>
          </v:shape>
        </w:pict>
      </w:r>
    </w:p>
    <w:sectPr w:rsidR="00FC1157" w:rsidRPr="001424A5" w:rsidSect="004D7F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BA4205"/>
    <w:multiLevelType w:val="hybridMultilevel"/>
    <w:tmpl w:val="16340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FB6"/>
    <w:rsid w:val="000137EE"/>
    <w:rsid w:val="0006165F"/>
    <w:rsid w:val="000E4679"/>
    <w:rsid w:val="000E4C0C"/>
    <w:rsid w:val="000E52F0"/>
    <w:rsid w:val="000E5541"/>
    <w:rsid w:val="001017FA"/>
    <w:rsid w:val="001349F1"/>
    <w:rsid w:val="00136269"/>
    <w:rsid w:val="001424A5"/>
    <w:rsid w:val="001B35FF"/>
    <w:rsid w:val="001B3FD3"/>
    <w:rsid w:val="001D37B7"/>
    <w:rsid w:val="001E6635"/>
    <w:rsid w:val="00232BF8"/>
    <w:rsid w:val="00266961"/>
    <w:rsid w:val="00294813"/>
    <w:rsid w:val="002E204C"/>
    <w:rsid w:val="002E7C76"/>
    <w:rsid w:val="00327477"/>
    <w:rsid w:val="00340845"/>
    <w:rsid w:val="003960AD"/>
    <w:rsid w:val="003A753C"/>
    <w:rsid w:val="003C6B79"/>
    <w:rsid w:val="003F5BE6"/>
    <w:rsid w:val="00405193"/>
    <w:rsid w:val="00421175"/>
    <w:rsid w:val="004227EA"/>
    <w:rsid w:val="00432DA0"/>
    <w:rsid w:val="0045591C"/>
    <w:rsid w:val="004653EE"/>
    <w:rsid w:val="004C6D60"/>
    <w:rsid w:val="004D7FB6"/>
    <w:rsid w:val="0056584E"/>
    <w:rsid w:val="00566EA4"/>
    <w:rsid w:val="005905B6"/>
    <w:rsid w:val="005921DC"/>
    <w:rsid w:val="005A3A1E"/>
    <w:rsid w:val="005C2ED4"/>
    <w:rsid w:val="005C66FA"/>
    <w:rsid w:val="005D4AC4"/>
    <w:rsid w:val="005E3F55"/>
    <w:rsid w:val="00602DF0"/>
    <w:rsid w:val="006509B3"/>
    <w:rsid w:val="006B155D"/>
    <w:rsid w:val="006F0D1B"/>
    <w:rsid w:val="006F2AC8"/>
    <w:rsid w:val="00713A7A"/>
    <w:rsid w:val="00722815"/>
    <w:rsid w:val="007256B7"/>
    <w:rsid w:val="0078716A"/>
    <w:rsid w:val="007A0804"/>
    <w:rsid w:val="007A2603"/>
    <w:rsid w:val="007E45C8"/>
    <w:rsid w:val="00850277"/>
    <w:rsid w:val="0085193C"/>
    <w:rsid w:val="00857E90"/>
    <w:rsid w:val="00870AFC"/>
    <w:rsid w:val="008768B9"/>
    <w:rsid w:val="008E7A2C"/>
    <w:rsid w:val="0090390E"/>
    <w:rsid w:val="00911E3E"/>
    <w:rsid w:val="00937A1F"/>
    <w:rsid w:val="00950002"/>
    <w:rsid w:val="00952393"/>
    <w:rsid w:val="00987713"/>
    <w:rsid w:val="009B1F6B"/>
    <w:rsid w:val="009B2A94"/>
    <w:rsid w:val="009E2472"/>
    <w:rsid w:val="00A34947"/>
    <w:rsid w:val="00A508C6"/>
    <w:rsid w:val="00A53C54"/>
    <w:rsid w:val="00A55484"/>
    <w:rsid w:val="00A63A6F"/>
    <w:rsid w:val="00AC3709"/>
    <w:rsid w:val="00AF459E"/>
    <w:rsid w:val="00B356DD"/>
    <w:rsid w:val="00B47313"/>
    <w:rsid w:val="00B62BF6"/>
    <w:rsid w:val="00B6498A"/>
    <w:rsid w:val="00BB02F4"/>
    <w:rsid w:val="00C33B81"/>
    <w:rsid w:val="00CC3258"/>
    <w:rsid w:val="00CD2E61"/>
    <w:rsid w:val="00D33D2A"/>
    <w:rsid w:val="00D54895"/>
    <w:rsid w:val="00D613D6"/>
    <w:rsid w:val="00D660F1"/>
    <w:rsid w:val="00DA2A13"/>
    <w:rsid w:val="00E03635"/>
    <w:rsid w:val="00E124B7"/>
    <w:rsid w:val="00E31453"/>
    <w:rsid w:val="00E40855"/>
    <w:rsid w:val="00E938C8"/>
    <w:rsid w:val="00EA38A2"/>
    <w:rsid w:val="00EB7EC8"/>
    <w:rsid w:val="00EC0177"/>
    <w:rsid w:val="00EC7799"/>
    <w:rsid w:val="00EC7FFD"/>
    <w:rsid w:val="00EF7F93"/>
    <w:rsid w:val="00F05F09"/>
    <w:rsid w:val="00F366A8"/>
    <w:rsid w:val="00F609A0"/>
    <w:rsid w:val="00FC1157"/>
    <w:rsid w:val="00FD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4:docId w14:val="6167C4E7"/>
  <w15:chartTrackingRefBased/>
  <w15:docId w15:val="{67792850-22D3-4FA1-962C-E5FA0159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5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37B7"/>
    <w:pPr>
      <w:spacing w:after="200" w:line="27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F2A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A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A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A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A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752</Words>
  <Characters>4288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L. Salemi</dc:creator>
  <cp:keywords/>
  <dc:description/>
  <cp:lastModifiedBy>Wade, Diane (CDC/DDNID/NCBDDD/OD) (CTR)</cp:lastModifiedBy>
  <cp:revision>2</cp:revision>
  <dcterms:created xsi:type="dcterms:W3CDTF">2020-03-17T15:06:00Z</dcterms:created>
  <dcterms:modified xsi:type="dcterms:W3CDTF">2020-03-17T15:06:00Z</dcterms:modified>
</cp:coreProperties>
</file>