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D" w:rsidRDefault="00955E9D" w:rsidP="00955E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Supplementary Figure 1 legend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Pairwise-SNP distances for </w:t>
      </w:r>
      <w:r>
        <w:rPr>
          <w:rFonts w:ascii="Times New Roman" w:hAnsi="Times New Roman" w:cs="Times New Roman"/>
          <w:i/>
          <w:sz w:val="24"/>
          <w:szCs w:val="24"/>
        </w:rPr>
        <w:t>emm43.4/</w:t>
      </w:r>
      <w:r>
        <w:rPr>
          <w:rFonts w:ascii="Times New Roman" w:hAnsi="Times New Roman" w:cs="Times New Roman"/>
          <w:sz w:val="24"/>
          <w:szCs w:val="24"/>
        </w:rPr>
        <w:t xml:space="preserve">ST3 isolates collected in King County, Washington, using kSNP3.0. The isolates from patients A and E exhibited 8-fold decreased susceptibility to ampicillin and shared the same deduced PBP2x substitution (T553K).  Genome sequence accessions for these GAS isolates associated in SRA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PRJNA559889 from the indicated patients are SAMN12562623 (patient A), SAMN12562622 (patient B), SAMN12562624 (patient C),  SAMN12562625 (patient D), and SAMN12562626 (patient E).</w:t>
      </w:r>
    </w:p>
    <w:p w:rsidR="00955E9D" w:rsidRDefault="00955E9D" w:rsidP="00955E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2 legend. Lack of growth rate difference between </w:t>
      </w:r>
      <w:r>
        <w:rPr>
          <w:rFonts w:ascii="Times New Roman" w:hAnsi="Times New Roman" w:cs="Times New Roman"/>
          <w:i/>
          <w:sz w:val="24"/>
          <w:szCs w:val="24"/>
        </w:rPr>
        <w:t>emm43.4/</w:t>
      </w:r>
      <w:r>
        <w:rPr>
          <w:rFonts w:ascii="Times New Roman" w:hAnsi="Times New Roman" w:cs="Times New Roman"/>
          <w:sz w:val="24"/>
          <w:szCs w:val="24"/>
        </w:rPr>
        <w:t xml:space="preserve">ST3 strains containing PBP2x T553K substitution and near isogenic controls. Harvested colonies from fresh overnight culture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5 ml fresh Todd Hewitt broth with 0.5% yeast extract (THY) to make a suspension with OD</w:t>
      </w:r>
      <w:r>
        <w:rPr>
          <w:rFonts w:ascii="Times New Roman" w:hAnsi="Times New Roman" w:cs="Times New Roman"/>
          <w:sz w:val="24"/>
          <w:szCs w:val="24"/>
          <w:vertAlign w:val="subscript"/>
        </w:rPr>
        <w:t>600nm</w:t>
      </w:r>
      <w:r>
        <w:rPr>
          <w:rFonts w:ascii="Times New Roman" w:hAnsi="Times New Roman" w:cs="Times New Roman"/>
          <w:sz w:val="24"/>
          <w:szCs w:val="24"/>
        </w:rPr>
        <w:t>=0.5. 100ul of the suspension was inoculated into 5mL of fresh THY to make a starting culture of OD</w:t>
      </w:r>
      <w:r>
        <w:rPr>
          <w:rFonts w:ascii="Times New Roman" w:hAnsi="Times New Roman" w:cs="Times New Roman"/>
          <w:sz w:val="24"/>
          <w:szCs w:val="24"/>
          <w:vertAlign w:val="subscript"/>
        </w:rPr>
        <w:t>600nm</w:t>
      </w:r>
      <w:r>
        <w:rPr>
          <w:rFonts w:ascii="Times New Roman" w:hAnsi="Times New Roman" w:cs="Times New Roman"/>
          <w:sz w:val="24"/>
          <w:szCs w:val="24"/>
        </w:rPr>
        <w:t xml:space="preserve">. Mean optical density OD=600nm was measured every 15 minutes for 24 hours at 37°C. Each data point is a mean of ODs from the 16 wells for a same isolate at a given time point. Two isolates with point mutation (from Patient A and Patient E) didn’t show difference in growth characteristics compared to their near-isogenic controls (from Patients B, C, and D).  </w:t>
      </w:r>
    </w:p>
    <w:p w:rsidR="00955E9D" w:rsidRDefault="00955E9D"/>
    <w:sectPr w:rsidR="0095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9D"/>
    <w:rsid w:val="00955E9D"/>
    <w:rsid w:val="009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0CDE0-086A-464C-B91C-12D3595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9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Kuppuraj S</dc:creator>
  <cp:keywords/>
  <dc:description/>
  <cp:lastModifiedBy>Kuppuraj S</cp:lastModifiedBy>
  <cp:revision>1</cp:revision>
  <dcterms:created xsi:type="dcterms:W3CDTF">2019-10-19T08:04:00Z</dcterms:created>
  <dcterms:modified xsi:type="dcterms:W3CDTF">2019-10-19T08:04:00Z</dcterms:modified>
</cp:coreProperties>
</file>