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1590"/>
        <w:gridCol w:w="1590"/>
        <w:gridCol w:w="1591"/>
        <w:gridCol w:w="1590"/>
        <w:gridCol w:w="1381"/>
        <w:gridCol w:w="1890"/>
      </w:tblGrid>
      <w:tr w:rsidR="002B31F3" w:rsidRPr="00E04B36" w:rsidTr="00A23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12960" w:type="dxa"/>
            <w:gridSpan w:val="7"/>
            <w:tcBorders>
              <w:top w:val="single" w:sz="12" w:space="0" w:color="auto"/>
              <w:bottom w:val="single" w:sz="4" w:space="0" w:color="000000"/>
            </w:tcBorders>
          </w:tcPr>
          <w:p w:rsidR="002B31F3" w:rsidRPr="00E04B36" w:rsidRDefault="00293A17" w:rsidP="00293A17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Supplemental </w:t>
            </w:r>
            <w:r w:rsidR="002B31F3" w:rsidRPr="00E04B36"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2B31F3">
              <w:rPr>
                <w:rFonts w:ascii="Arial" w:hAnsi="Arial" w:cs="Arial"/>
                <w:b/>
                <w:color w:val="000000" w:themeColor="text1"/>
              </w:rPr>
              <w:t>ABLE</w:t>
            </w:r>
            <w:r w:rsidR="008A2DF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E44B7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8A2DF5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2B31F3" w:rsidRPr="00E04B36">
              <w:rPr>
                <w:rFonts w:ascii="Arial" w:hAnsi="Arial" w:cs="Arial"/>
                <w:b/>
                <w:color w:val="000000" w:themeColor="text1"/>
              </w:rPr>
              <w:t xml:space="preserve"> Business Systems Supporting Workplace Health and Safety</w:t>
            </w:r>
            <w:r w:rsidR="002B31F3">
              <w:rPr>
                <w:rFonts w:ascii="Arial" w:hAnsi="Arial" w:cs="Arial"/>
                <w:b/>
                <w:color w:val="000000" w:themeColor="text1"/>
              </w:rPr>
              <w:t xml:space="preserve"> by Size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within whose Assessments Completed by </w:t>
            </w:r>
            <w:r w:rsidR="002B31F3">
              <w:rPr>
                <w:rFonts w:ascii="Arial" w:hAnsi="Arial" w:cs="Arial"/>
                <w:b/>
                <w:color w:val="000000" w:themeColor="text1"/>
              </w:rPr>
              <w:t xml:space="preserve">Executive (n=117)  </w:t>
            </w:r>
            <w:r w:rsidR="002B31F3" w:rsidRPr="0049441B">
              <w:rPr>
                <w:rFonts w:ascii="Arial" w:hAnsi="Arial" w:cs="Arial"/>
                <w:b/>
                <w:color w:val="000000" w:themeColor="text1"/>
                <w:szCs w:val="22"/>
              </w:rPr>
              <w:t>(2013-2017)</w:t>
            </w:r>
            <w:r w:rsidR="002B31F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  <w:tcBorders>
              <w:bottom w:val="single" w:sz="4" w:space="0" w:color="000000"/>
            </w:tcBorders>
          </w:tcPr>
          <w:p w:rsidR="002B31F3" w:rsidRPr="00E04B36" w:rsidRDefault="002B31F3" w:rsidP="000C1595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Program component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293A17" w:rsidRPr="00E04B36" w:rsidRDefault="00293A17" w:rsidP="00293A17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 xml:space="preserve">Micro </w:t>
            </w:r>
          </w:p>
          <w:p w:rsidR="00293A17" w:rsidRDefault="00293A17" w:rsidP="00293A1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2-10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2B31F3" w:rsidRPr="00636488" w:rsidRDefault="002B31F3" w:rsidP="00293A17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(N=43)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293A17" w:rsidRPr="00E04B36" w:rsidRDefault="00293A17" w:rsidP="00293A17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Small</w:t>
            </w:r>
          </w:p>
          <w:p w:rsidR="00293A17" w:rsidRPr="00E04B36" w:rsidRDefault="00293A17" w:rsidP="00293A17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11-50</w:t>
            </w:r>
          </w:p>
          <w:p w:rsidR="002B31F3" w:rsidRPr="00636488" w:rsidRDefault="00293A17" w:rsidP="00293A17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2B31F3">
              <w:rPr>
                <w:rFonts w:ascii="Arial" w:eastAsia="Times New Roman" w:hAnsi="Arial" w:cs="Arial"/>
                <w:color w:val="000000" w:themeColor="text1"/>
              </w:rPr>
              <w:t>(N=49)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93A17" w:rsidRPr="00E04B36" w:rsidRDefault="00293A17" w:rsidP="00293A17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Medium</w:t>
            </w:r>
          </w:p>
          <w:p w:rsidR="002B31F3" w:rsidRPr="00636488" w:rsidRDefault="00293A17" w:rsidP="00293A1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51-200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2B31F3">
              <w:rPr>
                <w:rFonts w:ascii="Arial" w:eastAsia="Times New Roman" w:hAnsi="Arial" w:cs="Arial"/>
                <w:color w:val="000000" w:themeColor="text1"/>
              </w:rPr>
              <w:t>(N=13)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293A17" w:rsidRPr="00E04B36" w:rsidRDefault="00293A17" w:rsidP="00293A17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Large</w:t>
            </w:r>
          </w:p>
          <w:p w:rsidR="00293A17" w:rsidRDefault="00293A17" w:rsidP="00293A1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&gt;200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2B31F3" w:rsidRPr="00636488" w:rsidRDefault="002B31F3" w:rsidP="00293A17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(N=12)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Total (N=117)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B31F3" w:rsidRPr="00E04B36" w:rsidRDefault="008A2DF5" w:rsidP="000C1595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Chi-square/Fisher’s </w:t>
            </w:r>
            <w:r w:rsidR="002B31F3">
              <w:rPr>
                <w:rFonts w:ascii="Arial" w:eastAsia="Times New Roman" w:hAnsi="Arial" w:cs="Arial"/>
                <w:color w:val="000000" w:themeColor="text1"/>
              </w:rPr>
              <w:t>p-value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  <w:tcBorders>
              <w:top w:val="single" w:sz="4" w:space="0" w:color="000000"/>
            </w:tcBorders>
          </w:tcPr>
          <w:p w:rsidR="002B31F3" w:rsidRPr="00E04B36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Organizational Supports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Companywide Communications  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(47%)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34 (69%)</w:t>
            </w: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12 (92%)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75 (64%)</w:t>
            </w: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0.009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Offer Health insurance coverage to its employees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(40%)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38 (78%)</w:t>
            </w:r>
          </w:p>
        </w:tc>
        <w:tc>
          <w:tcPr>
            <w:tcW w:w="1591" w:type="dxa"/>
            <w:vAlign w:val="center"/>
          </w:tcPr>
          <w:p w:rsidR="002B31F3" w:rsidRPr="00EA7A95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12 (92%)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(92%)</w:t>
            </w:r>
          </w:p>
        </w:tc>
        <w:tc>
          <w:tcPr>
            <w:tcW w:w="1381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78 (67%)</w:t>
            </w:r>
          </w:p>
        </w:tc>
        <w:tc>
          <w:tcPr>
            <w:tcW w:w="1890" w:type="dxa"/>
            <w:vAlign w:val="center"/>
          </w:tcPr>
          <w:p w:rsidR="002B31F3" w:rsidRPr="00E04B36" w:rsidRDefault="00381520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&lt;0.001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Have worker’s compensation insurance coverage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(65%)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44 (90%)</w:t>
            </w:r>
          </w:p>
        </w:tc>
        <w:tc>
          <w:tcPr>
            <w:tcW w:w="1591" w:type="dxa"/>
            <w:vAlign w:val="center"/>
          </w:tcPr>
          <w:p w:rsidR="002B31F3" w:rsidRPr="00EA7A95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13 (100%)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(92%)</w:t>
            </w:r>
          </w:p>
        </w:tc>
        <w:tc>
          <w:tcPr>
            <w:tcW w:w="1381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96 (82%)</w:t>
            </w:r>
          </w:p>
        </w:tc>
        <w:tc>
          <w:tcPr>
            <w:tcW w:w="1890" w:type="dxa"/>
            <w:vAlign w:val="center"/>
          </w:tcPr>
          <w:p w:rsidR="002B31F3" w:rsidRPr="00E04B36" w:rsidRDefault="00381520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0.004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Wellness champions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Senior executive (CEO, CFO, COO)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(70%)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29 (59%)</w:t>
            </w: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8 (62%)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76 (65%)</w:t>
            </w: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0.65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Manager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(33%)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(61%)</w:t>
            </w: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11 (85%)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64 (55%)</w:t>
            </w: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(23%)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(51%)</w:t>
            </w: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(42%)</w:t>
            </w: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49 (42%)</w:t>
            </w: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0.007</w:t>
            </w:r>
          </w:p>
        </w:tc>
      </w:tr>
      <w:tr w:rsidR="002B31F3" w:rsidRPr="00E04B36" w:rsidTr="00A233BB">
        <w:trPr>
          <w:trHeight w:val="205"/>
        </w:trPr>
        <w:tc>
          <w:tcPr>
            <w:tcW w:w="3328" w:type="dxa"/>
          </w:tcPr>
          <w:p w:rsidR="002B31F3" w:rsidRPr="00E04B36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Workplace Assessment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 survey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(16%)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(41%)</w:t>
            </w: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(42%)</w:t>
            </w: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 (35%)</w:t>
            </w: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risk assessment (HRA)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(9%)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(27%)</w:t>
            </w:r>
          </w:p>
        </w:tc>
        <w:tc>
          <w:tcPr>
            <w:tcW w:w="159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(62%)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C41FE5">
              <w:rPr>
                <w:rFonts w:ascii="Arial" w:eastAsia="Times New Roman" w:hAnsi="Arial" w:cs="Arial"/>
                <w:color w:val="000000" w:themeColor="text1"/>
              </w:rPr>
              <w:t>10 (83%)</w:t>
            </w: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(30%)</w:t>
            </w: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&lt;0.001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Physical worksite assessment 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(21%)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(31%)</w:t>
            </w:r>
          </w:p>
        </w:tc>
        <w:tc>
          <w:tcPr>
            <w:tcW w:w="159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(50%)</w:t>
            </w: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37 (32%)</w:t>
            </w:r>
          </w:p>
        </w:tc>
        <w:tc>
          <w:tcPr>
            <w:tcW w:w="1890" w:type="dxa"/>
            <w:vAlign w:val="center"/>
          </w:tcPr>
          <w:p w:rsidR="002B31F3" w:rsidRPr="00E04B36" w:rsidRDefault="00082CF4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0.07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Causes of job absence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(12%)</w:t>
            </w:r>
          </w:p>
        </w:tc>
        <w:tc>
          <w:tcPr>
            <w:tcW w:w="1590" w:type="dxa"/>
            <w:vAlign w:val="center"/>
          </w:tcPr>
          <w:p w:rsidR="00082CF4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(8%)</w:t>
            </w:r>
          </w:p>
        </w:tc>
        <w:tc>
          <w:tcPr>
            <w:tcW w:w="159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(31%)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(25%)</w:t>
            </w:r>
          </w:p>
        </w:tc>
        <w:tc>
          <w:tcPr>
            <w:tcW w:w="138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(14%)</w:t>
            </w:r>
          </w:p>
        </w:tc>
        <w:tc>
          <w:tcPr>
            <w:tcW w:w="1890" w:type="dxa"/>
            <w:vAlign w:val="center"/>
          </w:tcPr>
          <w:p w:rsidR="002B31F3" w:rsidRPr="00E04B36" w:rsidRDefault="00082CF4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0.10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Disability claims &amp; costs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(12%)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(20%)</w:t>
            </w:r>
          </w:p>
        </w:tc>
        <w:tc>
          <w:tcPr>
            <w:tcW w:w="159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(46%)</w:t>
            </w:r>
          </w:p>
        </w:tc>
        <w:tc>
          <w:tcPr>
            <w:tcW w:w="1590" w:type="dxa"/>
            <w:vAlign w:val="center"/>
          </w:tcPr>
          <w:p w:rsidR="002B31F3" w:rsidRPr="00C41FE5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C41FE5">
              <w:rPr>
                <w:rFonts w:ascii="Arial" w:eastAsia="Times New Roman" w:hAnsi="Arial" w:cs="Arial"/>
                <w:color w:val="000000" w:themeColor="text1"/>
              </w:rPr>
              <w:t>7 (58%)</w:t>
            </w:r>
          </w:p>
        </w:tc>
        <w:tc>
          <w:tcPr>
            <w:tcW w:w="138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(24%)</w:t>
            </w:r>
          </w:p>
        </w:tc>
        <w:tc>
          <w:tcPr>
            <w:tcW w:w="1890" w:type="dxa"/>
            <w:vAlign w:val="center"/>
          </w:tcPr>
          <w:p w:rsidR="002B31F3" w:rsidRPr="00E04B36" w:rsidRDefault="00082CF4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care claims &amp; costs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(14%)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(20%)</w:t>
            </w:r>
          </w:p>
        </w:tc>
        <w:tc>
          <w:tcPr>
            <w:tcW w:w="159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(46%)</w:t>
            </w:r>
          </w:p>
        </w:tc>
        <w:tc>
          <w:tcPr>
            <w:tcW w:w="1590" w:type="dxa"/>
            <w:vAlign w:val="center"/>
          </w:tcPr>
          <w:p w:rsidR="002B31F3" w:rsidRPr="00C41FE5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C41FE5"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38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(26%)</w:t>
            </w:r>
          </w:p>
        </w:tc>
        <w:tc>
          <w:tcPr>
            <w:tcW w:w="1890" w:type="dxa"/>
            <w:vAlign w:val="center"/>
          </w:tcPr>
          <w:p w:rsidR="002B31F3" w:rsidRPr="00E04B36" w:rsidRDefault="00082CF4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Workers’ compensation claims &amp; costs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(9%)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(27%)</w:t>
            </w:r>
          </w:p>
        </w:tc>
        <w:tc>
          <w:tcPr>
            <w:tcW w:w="159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(23%)</w:t>
            </w:r>
          </w:p>
        </w:tc>
        <w:tc>
          <w:tcPr>
            <w:tcW w:w="1590" w:type="dxa"/>
            <w:vAlign w:val="center"/>
          </w:tcPr>
          <w:p w:rsidR="002B31F3" w:rsidRPr="00C41FE5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C41FE5">
              <w:rPr>
                <w:rFonts w:ascii="Arial" w:eastAsia="Times New Roman" w:hAnsi="Arial" w:cs="Arial"/>
                <w:color w:val="000000" w:themeColor="text1"/>
              </w:rPr>
              <w:t>5 (42%)</w:t>
            </w:r>
          </w:p>
        </w:tc>
        <w:tc>
          <w:tcPr>
            <w:tcW w:w="138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(21%)</w:t>
            </w:r>
          </w:p>
        </w:tc>
        <w:tc>
          <w:tcPr>
            <w:tcW w:w="1890" w:type="dxa"/>
            <w:vAlign w:val="center"/>
          </w:tcPr>
          <w:p w:rsidR="002B31F3" w:rsidRPr="00E04B36" w:rsidRDefault="00082CF4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0.04</w:t>
            </w:r>
          </w:p>
        </w:tc>
      </w:tr>
      <w:tr w:rsidR="002B31F3" w:rsidRPr="00E04B36" w:rsidTr="00A233BB">
        <w:trPr>
          <w:trHeight w:val="577"/>
        </w:trPr>
        <w:tc>
          <w:tcPr>
            <w:tcW w:w="3328" w:type="dxa"/>
          </w:tcPr>
          <w:p w:rsidR="002B31F3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2B31F3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2B31F3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2B31F3" w:rsidRPr="00E04B36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lastRenderedPageBreak/>
              <w:t>Engagement</w:t>
            </w:r>
          </w:p>
        </w:tc>
        <w:tc>
          <w:tcPr>
            <w:tcW w:w="1590" w:type="dxa"/>
          </w:tcPr>
          <w:p w:rsidR="002B31F3" w:rsidRPr="00E04B36" w:rsidRDefault="002B31F3" w:rsidP="000C1595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2B31F3" w:rsidRPr="00E04B36" w:rsidRDefault="002B31F3" w:rsidP="000C1595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</w:tcPr>
          <w:p w:rsidR="002B31F3" w:rsidRPr="00E04B36" w:rsidRDefault="002B31F3" w:rsidP="000C1595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2B31F3" w:rsidRPr="00E04B36" w:rsidRDefault="002B31F3" w:rsidP="000C1595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81" w:type="dxa"/>
          </w:tcPr>
          <w:p w:rsidR="002B31F3" w:rsidRPr="00E04B36" w:rsidRDefault="002B31F3" w:rsidP="000C1595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:rsidR="002B31F3" w:rsidRPr="00E04B36" w:rsidRDefault="002B31F3" w:rsidP="000C1595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31F3" w:rsidRPr="00E04B36" w:rsidTr="00A233BB">
        <w:trPr>
          <w:trHeight w:val="577"/>
        </w:trPr>
        <w:tc>
          <w:tcPr>
            <w:tcW w:w="3328" w:type="dxa"/>
          </w:tcPr>
          <w:p w:rsidR="002B31F3" w:rsidRPr="00727A00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E04B36">
              <w:rPr>
                <w:rFonts w:ascii="Arial" w:hAnsi="Arial" w:cs="Arial"/>
                <w:color w:val="000000" w:themeColor="text1"/>
              </w:rPr>
              <w:t>onsider ethnicity, language, reading levels, age, g</w:t>
            </w:r>
            <w:r>
              <w:rPr>
                <w:rFonts w:ascii="Arial" w:hAnsi="Arial" w:cs="Arial"/>
                <w:color w:val="000000" w:themeColor="text1"/>
              </w:rPr>
              <w:t>ender or diversity of employees*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(42%)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(39%)</w:t>
            </w:r>
          </w:p>
        </w:tc>
        <w:tc>
          <w:tcPr>
            <w:tcW w:w="159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(85%)</w:t>
            </w:r>
          </w:p>
        </w:tc>
        <w:tc>
          <w:tcPr>
            <w:tcW w:w="1590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381" w:type="dxa"/>
            <w:vAlign w:val="center"/>
          </w:tcPr>
          <w:p w:rsidR="002B31F3" w:rsidRPr="00E04B36" w:rsidRDefault="00082CF4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56 (48%)</w:t>
            </w:r>
          </w:p>
        </w:tc>
        <w:tc>
          <w:tcPr>
            <w:tcW w:w="1890" w:type="dxa"/>
            <w:vAlign w:val="center"/>
          </w:tcPr>
          <w:p w:rsidR="002B31F3" w:rsidRPr="00E04B36" w:rsidRDefault="00082CF4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0.08</w:t>
            </w:r>
          </w:p>
        </w:tc>
      </w:tr>
      <w:tr w:rsidR="002B31F3" w:rsidRPr="00E04B36" w:rsidTr="00A233BB">
        <w:trPr>
          <w:trHeight w:val="577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Include off-site employees’ wellness** 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(19%)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(31%)</w:t>
            </w:r>
          </w:p>
        </w:tc>
        <w:tc>
          <w:tcPr>
            <w:tcW w:w="1591" w:type="dxa"/>
            <w:vAlign w:val="center"/>
          </w:tcPr>
          <w:p w:rsidR="002B31F3" w:rsidRPr="00EA7A95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381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40 (34%)</w:t>
            </w:r>
          </w:p>
        </w:tc>
        <w:tc>
          <w:tcPr>
            <w:tcW w:w="1890" w:type="dxa"/>
            <w:vAlign w:val="center"/>
          </w:tcPr>
          <w:p w:rsidR="002B31F3" w:rsidRPr="00E04B36" w:rsidRDefault="004402CD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0.006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727A00" w:rsidRDefault="002B31F3" w:rsidP="000C1595">
            <w:pPr>
              <w:jc w:val="right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727A00">
              <w:rPr>
                <w:rFonts w:ascii="Arial" w:hAnsi="Arial" w:cs="Arial"/>
                <w:b/>
                <w:color w:val="000000" w:themeColor="text1"/>
              </w:rPr>
              <w:t>Incentive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Awards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(16%)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(33%)</w:t>
            </w:r>
          </w:p>
        </w:tc>
        <w:tc>
          <w:tcPr>
            <w:tcW w:w="1591" w:type="dxa"/>
            <w:vAlign w:val="center"/>
          </w:tcPr>
          <w:p w:rsidR="002B31F3" w:rsidRPr="00EA7A95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(50%)</w:t>
            </w:r>
          </w:p>
        </w:tc>
        <w:tc>
          <w:tcPr>
            <w:tcW w:w="1381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38 (32%)</w:t>
            </w:r>
          </w:p>
        </w:tc>
        <w:tc>
          <w:tcPr>
            <w:tcW w:w="1890" w:type="dxa"/>
            <w:vAlign w:val="center"/>
          </w:tcPr>
          <w:p w:rsidR="002B31F3" w:rsidRPr="00E04B36" w:rsidRDefault="004402CD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Cash 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(12%)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(29%)</w:t>
            </w:r>
          </w:p>
        </w:tc>
        <w:tc>
          <w:tcPr>
            <w:tcW w:w="1591" w:type="dxa"/>
            <w:vAlign w:val="center"/>
          </w:tcPr>
          <w:p w:rsidR="002B31F3" w:rsidRPr="00EA7A95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(42%)</w:t>
            </w:r>
          </w:p>
        </w:tc>
        <w:tc>
          <w:tcPr>
            <w:tcW w:w="1381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(28%)</w:t>
            </w:r>
          </w:p>
        </w:tc>
        <w:tc>
          <w:tcPr>
            <w:tcW w:w="1890" w:type="dxa"/>
            <w:vAlign w:val="center"/>
          </w:tcPr>
          <w:p w:rsidR="002B31F3" w:rsidRPr="00E04B36" w:rsidRDefault="004402CD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0.0004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insurance premiums discount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(12%)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(18%)</w:t>
            </w:r>
          </w:p>
        </w:tc>
        <w:tc>
          <w:tcPr>
            <w:tcW w:w="1591" w:type="dxa"/>
            <w:vAlign w:val="center"/>
          </w:tcPr>
          <w:p w:rsidR="002B31F3" w:rsidRPr="00EA7A95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(42%)</w:t>
            </w:r>
          </w:p>
        </w:tc>
        <w:tc>
          <w:tcPr>
            <w:tcW w:w="1381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(16%)</w:t>
            </w:r>
          </w:p>
        </w:tc>
        <w:tc>
          <w:tcPr>
            <w:tcW w:w="1890" w:type="dxa"/>
            <w:vAlign w:val="center"/>
          </w:tcPr>
          <w:p w:rsidR="004402CD" w:rsidRPr="00E04B36" w:rsidRDefault="004402CD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Contributions or discounts for health activities, gear, equipment 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(14%)</w:t>
            </w:r>
          </w:p>
        </w:tc>
        <w:tc>
          <w:tcPr>
            <w:tcW w:w="1590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(14%)</w:t>
            </w:r>
          </w:p>
        </w:tc>
        <w:tc>
          <w:tcPr>
            <w:tcW w:w="1591" w:type="dxa"/>
            <w:vAlign w:val="center"/>
          </w:tcPr>
          <w:p w:rsidR="002B31F3" w:rsidRPr="00EA7A95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5 (38%)</w:t>
            </w:r>
          </w:p>
        </w:tc>
        <w:tc>
          <w:tcPr>
            <w:tcW w:w="1590" w:type="dxa"/>
            <w:vAlign w:val="center"/>
          </w:tcPr>
          <w:p w:rsidR="002B31F3" w:rsidRPr="00C41FE5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C41FE5">
              <w:rPr>
                <w:rFonts w:ascii="Arial" w:eastAsia="Times New Roman" w:hAnsi="Arial" w:cs="Arial"/>
                <w:color w:val="000000" w:themeColor="text1"/>
              </w:rPr>
              <w:t>5 (42%)</w:t>
            </w:r>
          </w:p>
        </w:tc>
        <w:tc>
          <w:tcPr>
            <w:tcW w:w="1381" w:type="dxa"/>
            <w:vAlign w:val="center"/>
          </w:tcPr>
          <w:p w:rsidR="002B31F3" w:rsidRPr="00E04B36" w:rsidRDefault="004402CD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(20%)</w:t>
            </w:r>
          </w:p>
        </w:tc>
        <w:tc>
          <w:tcPr>
            <w:tcW w:w="1890" w:type="dxa"/>
            <w:vAlign w:val="center"/>
          </w:tcPr>
          <w:p w:rsidR="002B31F3" w:rsidRPr="00E04B36" w:rsidRDefault="004402CD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0.04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Impact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Health and safety program has positive impact on</w:t>
            </w: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2B31F3" w:rsidRPr="00EA7A95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2B31F3" w:rsidRPr="00E04B36" w:rsidRDefault="002B31F3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B31F3" w:rsidRPr="00E04B36" w:rsidRDefault="002B31F3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Productivity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(35%)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34 (69%)</w:t>
            </w:r>
          </w:p>
        </w:tc>
        <w:tc>
          <w:tcPr>
            <w:tcW w:w="1591" w:type="dxa"/>
            <w:vAlign w:val="center"/>
          </w:tcPr>
          <w:p w:rsidR="002B31F3" w:rsidRPr="00EA7A95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11 (85%)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(83%)</w:t>
            </w:r>
          </w:p>
        </w:tc>
        <w:tc>
          <w:tcPr>
            <w:tcW w:w="1381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70 (60%)</w:t>
            </w:r>
          </w:p>
        </w:tc>
        <w:tc>
          <w:tcPr>
            <w:tcW w:w="1890" w:type="dxa"/>
            <w:vAlign w:val="center"/>
          </w:tcPr>
          <w:p w:rsidR="002B31F3" w:rsidRPr="00E04B36" w:rsidRDefault="00381520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0.0002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 job satisfaction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(42%)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36 (73%)</w:t>
            </w:r>
          </w:p>
        </w:tc>
        <w:tc>
          <w:tcPr>
            <w:tcW w:w="1591" w:type="dxa"/>
            <w:vAlign w:val="center"/>
          </w:tcPr>
          <w:p w:rsidR="002B31F3" w:rsidRPr="00EA7A95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11 (85%)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(83%)</w:t>
            </w:r>
          </w:p>
        </w:tc>
        <w:tc>
          <w:tcPr>
            <w:tcW w:w="1381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75 (64%)</w:t>
            </w:r>
          </w:p>
        </w:tc>
        <w:tc>
          <w:tcPr>
            <w:tcW w:w="1890" w:type="dxa"/>
            <w:vAlign w:val="center"/>
          </w:tcPr>
          <w:p w:rsidR="002B31F3" w:rsidRPr="00E04B36" w:rsidRDefault="00381520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insurance claims &amp; costs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(40%)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(67%)</w:t>
            </w:r>
          </w:p>
        </w:tc>
        <w:tc>
          <w:tcPr>
            <w:tcW w:w="1591" w:type="dxa"/>
            <w:vAlign w:val="center"/>
          </w:tcPr>
          <w:p w:rsidR="002B31F3" w:rsidRPr="00EA7A95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A7A95">
              <w:rPr>
                <w:rFonts w:ascii="Arial" w:eastAsia="Times New Roman" w:hAnsi="Arial" w:cs="Arial"/>
                <w:color w:val="000000" w:themeColor="text1"/>
              </w:rPr>
              <w:t>11 (85%)</w:t>
            </w:r>
          </w:p>
        </w:tc>
        <w:tc>
          <w:tcPr>
            <w:tcW w:w="1590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(83%)</w:t>
            </w:r>
          </w:p>
        </w:tc>
        <w:tc>
          <w:tcPr>
            <w:tcW w:w="1381" w:type="dxa"/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71 (61%)</w:t>
            </w:r>
          </w:p>
        </w:tc>
        <w:tc>
          <w:tcPr>
            <w:tcW w:w="1890" w:type="dxa"/>
            <w:vAlign w:val="center"/>
          </w:tcPr>
          <w:p w:rsidR="002B31F3" w:rsidRPr="00E04B36" w:rsidRDefault="00381520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2B31F3" w:rsidRPr="00E04B36" w:rsidTr="00A233BB">
        <w:trPr>
          <w:trHeight w:val="336"/>
        </w:trPr>
        <w:tc>
          <w:tcPr>
            <w:tcW w:w="3328" w:type="dxa"/>
            <w:tcBorders>
              <w:bottom w:val="single" w:sz="12" w:space="0" w:color="auto"/>
            </w:tcBorders>
          </w:tcPr>
          <w:p w:rsidR="002B31F3" w:rsidRPr="00E04B36" w:rsidRDefault="002B31F3" w:rsidP="000C1595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Workers’ compensation claims &amp; costs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(35%)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29 (59%)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C41FE5"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B31F3" w:rsidRPr="00E04B36" w:rsidRDefault="00381520" w:rsidP="00490372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62 (53%)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2B31F3" w:rsidRPr="00E04B36" w:rsidRDefault="00381520" w:rsidP="00490372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2B31F3" w:rsidRPr="00E04B36" w:rsidTr="00A233BB">
        <w:trPr>
          <w:trHeight w:val="336"/>
        </w:trPr>
        <w:tc>
          <w:tcPr>
            <w:tcW w:w="129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B31F3" w:rsidRPr="00727A00" w:rsidRDefault="002B31F3" w:rsidP="000C1595">
            <w:pPr>
              <w:outlineLvl w:val="0"/>
              <w:rPr>
                <w:rFonts w:ascii="Arial" w:hAnsi="Arial" w:cs="Arial"/>
                <w:color w:val="000000" w:themeColor="text1"/>
              </w:rPr>
            </w:pPr>
            <w:r w:rsidRPr="00727A00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1520">
              <w:rPr>
                <w:rFonts w:ascii="Arial" w:hAnsi="Arial" w:cs="Arial"/>
                <w:color w:val="000000" w:themeColor="text1"/>
              </w:rPr>
              <w:t>29</w:t>
            </w:r>
            <w:r w:rsidRPr="00727A00">
              <w:rPr>
                <w:rFonts w:ascii="Arial" w:hAnsi="Arial" w:cs="Arial"/>
                <w:color w:val="000000" w:themeColor="text1"/>
              </w:rPr>
              <w:t xml:space="preserve"> businesses indicated they did not have to tailor their programs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2B31F3" w:rsidRPr="00FB2BD8" w:rsidRDefault="002B31F3" w:rsidP="00381520">
            <w:pPr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**</w:t>
            </w:r>
            <w:r w:rsidRPr="00FB2BD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1520">
              <w:rPr>
                <w:rFonts w:ascii="Arial" w:hAnsi="Arial" w:cs="Arial"/>
                <w:color w:val="000000" w:themeColor="text1"/>
              </w:rPr>
              <w:t>12</w:t>
            </w:r>
            <w:r w:rsidRPr="00FB2BD8">
              <w:rPr>
                <w:rFonts w:ascii="Arial" w:hAnsi="Arial" w:cs="Arial"/>
                <w:color w:val="000000" w:themeColor="text1"/>
              </w:rPr>
              <w:t xml:space="preserve"> businesses indicated that they did not have off-site employees</w:t>
            </w:r>
            <w:r w:rsidR="0038152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:rsidR="002B31F3" w:rsidRDefault="002B31F3" w:rsidP="002B31F3"/>
    <w:p w:rsidR="001E44B7" w:rsidRDefault="001E44B7" w:rsidP="002B31F3"/>
    <w:p w:rsidR="001E44B7" w:rsidRDefault="001E44B7" w:rsidP="002B31F3"/>
    <w:p w:rsidR="001E44B7" w:rsidRDefault="001E44B7" w:rsidP="002B31F3"/>
    <w:tbl>
      <w:tblPr>
        <w:tblStyle w:val="Style1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1590"/>
        <w:gridCol w:w="1590"/>
        <w:gridCol w:w="1591"/>
        <w:gridCol w:w="1590"/>
        <w:gridCol w:w="1590"/>
        <w:gridCol w:w="1591"/>
      </w:tblGrid>
      <w:tr w:rsidR="001E44B7" w:rsidRPr="00E04B36" w:rsidTr="00C5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12870" w:type="dxa"/>
            <w:gridSpan w:val="7"/>
            <w:tcBorders>
              <w:top w:val="single" w:sz="12" w:space="0" w:color="auto"/>
              <w:bottom w:val="single" w:sz="4" w:space="0" w:color="000000"/>
            </w:tcBorders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Supplemental 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ABLE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b.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 xml:space="preserve"> Business Systems Supporting Workplace Health and Safety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by Size within whose Assessments Completed by Health and Safety Professionals (n=63)  </w:t>
            </w:r>
            <w:r w:rsidRPr="0049441B">
              <w:rPr>
                <w:rFonts w:ascii="Arial" w:hAnsi="Arial" w:cs="Arial"/>
                <w:b/>
                <w:color w:val="000000" w:themeColor="text1"/>
                <w:szCs w:val="22"/>
              </w:rPr>
              <w:t>(2013-2017)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  <w:tcBorders>
              <w:bottom w:val="single" w:sz="4" w:space="0" w:color="000000"/>
            </w:tcBorders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Program component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 xml:space="preserve">Micro 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2-10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(N=6)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Small</w:t>
            </w:r>
          </w:p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11-50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(N=14)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Medium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51-200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(N=8)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Large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&gt;200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(N=35)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Total (N=63)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Chi-square/ Fisher’s test p-value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  <w:tcBorders>
              <w:top w:val="single" w:sz="4" w:space="0" w:color="000000"/>
            </w:tcBorders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Organizational Supports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Companywide Communications 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(50%)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 (65%)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Offer Health insurance coverage to its employees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(100%)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(100%)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(88%)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(100%)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62 (98%)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0.22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Have worker’s compensation insurance coverage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(100%)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(100%)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(88%)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(100%)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62 (98%)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0.22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Wellness champions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Senior executive (CEO, CFO, COO)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(43%)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(37%)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0.62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Manager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(67%)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(64%)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(71%)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 (67%)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0.67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(83%)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(64%)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31 (89%)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49 (78%)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0.04</w:t>
            </w:r>
          </w:p>
        </w:tc>
      </w:tr>
      <w:tr w:rsidR="001E44B7" w:rsidRPr="00E04B36" w:rsidTr="00C53DF1">
        <w:trPr>
          <w:trHeight w:val="205"/>
        </w:trPr>
        <w:tc>
          <w:tcPr>
            <w:tcW w:w="3328" w:type="dxa"/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Workplace Assessment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 survey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29 (83%)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36 (57%)</w:t>
            </w:r>
          </w:p>
        </w:tc>
        <w:tc>
          <w:tcPr>
            <w:tcW w:w="1591" w:type="dxa"/>
            <w:vAlign w:val="center"/>
          </w:tcPr>
          <w:p w:rsidR="001E44B7" w:rsidRPr="00EB7285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B7285"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risk assessment (HRA)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(25%)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37 (59%)</w:t>
            </w:r>
          </w:p>
        </w:tc>
        <w:tc>
          <w:tcPr>
            <w:tcW w:w="1591" w:type="dxa"/>
            <w:vAlign w:val="center"/>
          </w:tcPr>
          <w:p w:rsidR="001E44B7" w:rsidRPr="00EB7285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B7285">
              <w:rPr>
                <w:rFonts w:ascii="Arial" w:eastAsia="Times New Roman" w:hAnsi="Arial" w:cs="Arial"/>
                <w:color w:val="000000" w:themeColor="text1"/>
              </w:rPr>
              <w:t>0.0007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Physical worksite assessment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(25%)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(57%)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29 (46%)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0.17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Causes of job absence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(31%)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(27%)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0.78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Disability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(40%)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(38%)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0.82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care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(50%)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 (67%)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0.08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Workers’ compensation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(51%)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(44%)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0.48</w:t>
            </w:r>
          </w:p>
        </w:tc>
      </w:tr>
      <w:tr w:rsidR="001E44B7" w:rsidRPr="00E04B36" w:rsidTr="00C53DF1">
        <w:trPr>
          <w:trHeight w:val="577"/>
        </w:trPr>
        <w:tc>
          <w:tcPr>
            <w:tcW w:w="3328" w:type="dxa"/>
          </w:tcPr>
          <w:p w:rsidR="001E44B7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1E44B7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1E44B7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lastRenderedPageBreak/>
              <w:t>Engagement</w:t>
            </w: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577"/>
        </w:trPr>
        <w:tc>
          <w:tcPr>
            <w:tcW w:w="3328" w:type="dxa"/>
          </w:tcPr>
          <w:p w:rsidR="001E44B7" w:rsidRPr="00727A00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E04B36">
              <w:rPr>
                <w:rFonts w:ascii="Arial" w:hAnsi="Arial" w:cs="Arial"/>
                <w:color w:val="000000" w:themeColor="text1"/>
              </w:rPr>
              <w:t>onsider ethnicity, language, reading levels, age, g</w:t>
            </w:r>
            <w:r>
              <w:rPr>
                <w:rFonts w:ascii="Arial" w:hAnsi="Arial" w:cs="Arial"/>
                <w:color w:val="000000" w:themeColor="text1"/>
              </w:rPr>
              <w:t>ender or diversity of employees*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(63%)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(94%)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45 (71%)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E04B36" w:rsidTr="00C53DF1">
        <w:trPr>
          <w:trHeight w:val="577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Include off-site employees’ wellness**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(69%)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37 (59%)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0.08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727A00" w:rsidRDefault="001E44B7" w:rsidP="00C53DF1">
            <w:pPr>
              <w:jc w:val="right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727A00">
              <w:rPr>
                <w:rFonts w:ascii="Arial" w:hAnsi="Arial" w:cs="Arial"/>
                <w:b/>
                <w:color w:val="000000" w:themeColor="text1"/>
              </w:rPr>
              <w:t>Incentive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Awards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(74%)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(52%)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0.0006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Cash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22 (63%)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(41%)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0.0008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insurance premiums discount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(67%)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(31%)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(33%)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0.29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Contributions or discounts for health activities, gear, equipment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(37%)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(27%)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0.22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Impact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Health and safety program has positive impact on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Productivity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(86%)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(88%)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(69%)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45 (71%)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0.09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 job satisfaction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(86%)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(88%)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(66%)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45 (71%)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0.27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insurance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(93%)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B7285">
              <w:rPr>
                <w:rFonts w:ascii="Arial" w:eastAsia="Times New Roman" w:hAnsi="Arial" w:cs="Arial"/>
                <w:color w:val="000000" w:themeColor="text1"/>
              </w:rPr>
              <w:t>7 (88%)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(66%)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45 (71%)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  <w:tcBorders>
              <w:bottom w:val="single" w:sz="12" w:space="0" w:color="auto"/>
            </w:tcBorders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Workers’ compensation claims &amp; costs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(79%)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(88%)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22 (63%)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 (67%)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0.15</w:t>
            </w:r>
          </w:p>
        </w:tc>
      </w:tr>
      <w:tr w:rsidR="001E44B7" w:rsidRPr="00E04B36" w:rsidTr="00C53DF1">
        <w:trPr>
          <w:trHeight w:val="336"/>
        </w:trPr>
        <w:tc>
          <w:tcPr>
            <w:tcW w:w="1287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E44B7" w:rsidRPr="00727A00" w:rsidRDefault="001E44B7" w:rsidP="00C53DF1">
            <w:pPr>
              <w:outlineLvl w:val="0"/>
              <w:rPr>
                <w:rFonts w:ascii="Arial" w:hAnsi="Arial" w:cs="Arial"/>
                <w:color w:val="000000" w:themeColor="text1"/>
              </w:rPr>
            </w:pPr>
            <w:r w:rsidRPr="00727A00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 xml:space="preserve"> 6</w:t>
            </w:r>
            <w:r w:rsidRPr="00727A00">
              <w:rPr>
                <w:rFonts w:ascii="Arial" w:hAnsi="Arial" w:cs="Arial"/>
                <w:color w:val="000000" w:themeColor="text1"/>
              </w:rPr>
              <w:t xml:space="preserve"> businesses indicated they did not have to tailor their programs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1E44B7" w:rsidRPr="00FB2BD8" w:rsidRDefault="001E44B7" w:rsidP="00C53DF1">
            <w:pPr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**</w:t>
            </w:r>
            <w:r w:rsidRPr="00FB2BD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FB2BD8">
              <w:rPr>
                <w:rFonts w:ascii="Arial" w:hAnsi="Arial" w:cs="Arial"/>
                <w:color w:val="000000" w:themeColor="text1"/>
              </w:rPr>
              <w:t xml:space="preserve"> businesses indicated that they did not have off-site employees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:rsidR="001E44B7" w:rsidRDefault="001E44B7" w:rsidP="001E44B7"/>
    <w:p w:rsidR="001E44B7" w:rsidRDefault="001E44B7" w:rsidP="001E44B7"/>
    <w:p w:rsidR="00B77320" w:rsidRDefault="00B77320"/>
    <w:p w:rsidR="001E44B7" w:rsidRDefault="001E44B7"/>
    <w:p w:rsidR="001E44B7" w:rsidRDefault="001E44B7"/>
    <w:tbl>
      <w:tblPr>
        <w:tblStyle w:val="Style1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1590"/>
        <w:gridCol w:w="1590"/>
        <w:gridCol w:w="1591"/>
        <w:gridCol w:w="1590"/>
        <w:gridCol w:w="1590"/>
        <w:gridCol w:w="1591"/>
      </w:tblGrid>
      <w:tr w:rsidR="001E44B7" w:rsidRPr="00E04B36" w:rsidTr="00C5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12870" w:type="dxa"/>
            <w:gridSpan w:val="7"/>
            <w:tcBorders>
              <w:top w:val="single" w:sz="12" w:space="0" w:color="auto"/>
              <w:bottom w:val="single" w:sz="4" w:space="0" w:color="000000"/>
            </w:tcBorders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Supplemental 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ABLE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c.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 xml:space="preserve"> Business Systems Supporting Workplace Health and Safety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by Size within whose Assessments Completed by Other Positions (n=117)  </w:t>
            </w:r>
            <w:r w:rsidRPr="0049441B">
              <w:rPr>
                <w:rFonts w:ascii="Arial" w:hAnsi="Arial" w:cs="Arial"/>
                <w:b/>
                <w:color w:val="000000" w:themeColor="text1"/>
                <w:szCs w:val="22"/>
              </w:rPr>
              <w:t>(2013-2017)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  <w:tcBorders>
              <w:bottom w:val="single" w:sz="4" w:space="0" w:color="000000"/>
            </w:tcBorders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Program component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 xml:space="preserve">Micro 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2-10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(N=29)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Small</w:t>
            </w:r>
          </w:p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11-50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(N=53)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Medium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51-200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(N=25)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Large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&gt;200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(N=10)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Total (N=117)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Chi-square/ Fisher’s test p-value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  <w:tcBorders>
              <w:top w:val="single" w:sz="4" w:space="0" w:color="000000"/>
            </w:tcBorders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Organizational Supports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Companywide Communications 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(62%)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31 (58%)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(68%)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74 (63%)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0.61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Offer Health insurance coverage to its employees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(72%)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44 (83%)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(96%)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(100%)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99 (85%)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0.06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Have worker’s compensation insurance coverage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(69%)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49 (92%)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(96%)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(100%)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103 (88%)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0.008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Wellness champions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Senior executive (CEO, CFO, COO)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(31%)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(34%)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(52%)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45 (38%)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0.30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Manager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(24%)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(40%)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(56%)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50 (43%)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0.008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(41%)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(49%)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(68%)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63 (54%)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0.07</w:t>
            </w:r>
          </w:p>
        </w:tc>
      </w:tr>
      <w:tr w:rsidR="001E44B7" w:rsidRPr="00E04B36" w:rsidTr="00C53DF1">
        <w:trPr>
          <w:trHeight w:val="205"/>
        </w:trPr>
        <w:tc>
          <w:tcPr>
            <w:tcW w:w="3328" w:type="dxa"/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Workplace Assessment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 survey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(30%)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(52%)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 (36%)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risk assessment (HRA)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(21%)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(19%)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(44%)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34 (29%)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Physical worksite assessment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(25%)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(16%)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(21%)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0.006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Causes of job absence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(15%)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(4%)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(14%)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0.007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Disability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(15%)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(14%)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0.007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care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(36%)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 (23%)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Workers’ compensation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(26%)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(20%)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(21%)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0.0007</w:t>
            </w:r>
          </w:p>
        </w:tc>
      </w:tr>
      <w:tr w:rsidR="001E44B7" w:rsidRPr="00E04B36" w:rsidTr="00C53DF1">
        <w:trPr>
          <w:trHeight w:val="577"/>
        </w:trPr>
        <w:tc>
          <w:tcPr>
            <w:tcW w:w="3328" w:type="dxa"/>
          </w:tcPr>
          <w:p w:rsidR="001E44B7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1E44B7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1E44B7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lastRenderedPageBreak/>
              <w:t>Engagement</w:t>
            </w: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577"/>
        </w:trPr>
        <w:tc>
          <w:tcPr>
            <w:tcW w:w="3328" w:type="dxa"/>
          </w:tcPr>
          <w:p w:rsidR="001E44B7" w:rsidRPr="00727A00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E04B36">
              <w:rPr>
                <w:rFonts w:ascii="Arial" w:hAnsi="Arial" w:cs="Arial"/>
                <w:color w:val="000000" w:themeColor="text1"/>
              </w:rPr>
              <w:t>onsider ethnicity, language, reading levels, age, g</w:t>
            </w:r>
            <w:r>
              <w:rPr>
                <w:rFonts w:ascii="Arial" w:hAnsi="Arial" w:cs="Arial"/>
                <w:color w:val="000000" w:themeColor="text1"/>
              </w:rPr>
              <w:t>ender or diversity of employees*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(28%)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(49%)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(68%)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56 (48%)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0.05</w:t>
            </w:r>
          </w:p>
        </w:tc>
      </w:tr>
      <w:tr w:rsidR="001E44B7" w:rsidRPr="00E04B36" w:rsidTr="00C53DF1">
        <w:trPr>
          <w:trHeight w:val="577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Include off-site employees’ wellness**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(21%)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(28%)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(48%)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39 (33%)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0.09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727A00" w:rsidRDefault="001E44B7" w:rsidP="00C53DF1">
            <w:pPr>
              <w:jc w:val="right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727A00">
              <w:rPr>
                <w:rFonts w:ascii="Arial" w:hAnsi="Arial" w:cs="Arial"/>
                <w:b/>
                <w:color w:val="000000" w:themeColor="text1"/>
              </w:rPr>
              <w:t>Incentive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Awards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(23%)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(52%)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31 (27%)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Cash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(17%)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(48%)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29 (25%)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insurance premiums discount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(17%)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(28%)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(20%)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(26%)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0.21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 xml:space="preserve">Contributions or discounts for health activities, gear, equipment 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(19%)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(40%)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(40%)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 (23%)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Impact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04B36">
              <w:rPr>
                <w:rFonts w:ascii="Arial" w:hAnsi="Arial" w:cs="Arial"/>
                <w:b/>
                <w:color w:val="000000" w:themeColor="text1"/>
              </w:rPr>
              <w:t>Health and safety program has positive impact on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Productivity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(55%)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(62%)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(52%)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70 (60%)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0.44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Employee job satisfaction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(62%)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34 (64%)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(48%)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72 (62%)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0.32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Health insurance claims &amp; costs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(52%)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(53%)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(60%)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66 (56%)</w:t>
            </w:r>
          </w:p>
        </w:tc>
        <w:tc>
          <w:tcPr>
            <w:tcW w:w="1591" w:type="dxa"/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0.40</w:t>
            </w:r>
          </w:p>
        </w:tc>
      </w:tr>
      <w:tr w:rsidR="001E44B7" w:rsidRPr="00E04B36" w:rsidTr="00C53DF1">
        <w:trPr>
          <w:trHeight w:val="336"/>
        </w:trPr>
        <w:tc>
          <w:tcPr>
            <w:tcW w:w="3328" w:type="dxa"/>
            <w:tcBorders>
              <w:bottom w:val="single" w:sz="12" w:space="0" w:color="auto"/>
            </w:tcBorders>
          </w:tcPr>
          <w:p w:rsidR="001E44B7" w:rsidRPr="00E04B36" w:rsidRDefault="001E44B7" w:rsidP="00C53DF1">
            <w:pPr>
              <w:jc w:val="right"/>
              <w:outlineLvl w:val="0"/>
              <w:rPr>
                <w:rFonts w:ascii="Arial" w:hAnsi="Arial" w:cs="Arial"/>
                <w:color w:val="000000" w:themeColor="text1"/>
              </w:rPr>
            </w:pPr>
            <w:r w:rsidRPr="00E04B36">
              <w:rPr>
                <w:rFonts w:ascii="Arial" w:hAnsi="Arial" w:cs="Arial"/>
                <w:color w:val="000000" w:themeColor="text1"/>
              </w:rPr>
              <w:t>Workers’ compensation claims &amp; costs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(41%)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(43%)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(60%)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58 (50%)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1E44B7" w:rsidRPr="00E04B36" w:rsidRDefault="001E44B7" w:rsidP="00C53DF1">
            <w:pPr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0.10</w:t>
            </w:r>
          </w:p>
        </w:tc>
      </w:tr>
      <w:tr w:rsidR="001E44B7" w:rsidRPr="00E04B36" w:rsidTr="00C53DF1">
        <w:trPr>
          <w:trHeight w:val="336"/>
        </w:trPr>
        <w:tc>
          <w:tcPr>
            <w:tcW w:w="1287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E44B7" w:rsidRPr="00727A00" w:rsidRDefault="001E44B7" w:rsidP="00C53DF1">
            <w:pPr>
              <w:outlineLvl w:val="0"/>
              <w:rPr>
                <w:rFonts w:ascii="Arial" w:hAnsi="Arial" w:cs="Arial"/>
                <w:color w:val="000000" w:themeColor="text1"/>
              </w:rPr>
            </w:pPr>
            <w:r w:rsidRPr="00727A00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 xml:space="preserve"> 22</w:t>
            </w:r>
            <w:r w:rsidRPr="00727A00">
              <w:rPr>
                <w:rFonts w:ascii="Arial" w:hAnsi="Arial" w:cs="Arial"/>
                <w:color w:val="000000" w:themeColor="text1"/>
              </w:rPr>
              <w:t xml:space="preserve"> businesses indicated they did not have to tailor their programs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1E44B7" w:rsidRPr="00FB2BD8" w:rsidRDefault="001E44B7" w:rsidP="00C53DF1">
            <w:pPr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**</w:t>
            </w:r>
            <w:r w:rsidRPr="00FB2BD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FB2BD8">
              <w:rPr>
                <w:rFonts w:ascii="Arial" w:hAnsi="Arial" w:cs="Arial"/>
                <w:color w:val="000000" w:themeColor="text1"/>
              </w:rPr>
              <w:t xml:space="preserve"> businesses indicated that they did not have off-site employees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:rsidR="001E44B7" w:rsidRDefault="001E44B7"/>
    <w:p w:rsidR="001E44B7" w:rsidRDefault="001E44B7"/>
    <w:p w:rsidR="001E44B7" w:rsidRDefault="001E44B7"/>
    <w:p w:rsidR="001E44B7" w:rsidRDefault="001E44B7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547"/>
        <w:gridCol w:w="1572"/>
        <w:gridCol w:w="1591"/>
        <w:gridCol w:w="1612"/>
        <w:gridCol w:w="1312"/>
        <w:gridCol w:w="1469"/>
        <w:gridCol w:w="1857"/>
      </w:tblGrid>
      <w:tr w:rsidR="001E44B7" w:rsidRPr="00E04B36" w:rsidTr="00C5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2960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Supplemental 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</w:rPr>
              <w:t>ABLE 2</w:t>
            </w:r>
            <w:r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 xml:space="preserve">. Business </w:t>
            </w:r>
            <w:r w:rsidRPr="00AF3F4F">
              <w:rPr>
                <w:rFonts w:ascii="Arial" w:hAnsi="Arial" w:cs="Arial"/>
                <w:b/>
                <w:color w:val="000000" w:themeColor="text1"/>
              </w:rPr>
              <w:t>Workplace Health and Safety Policies and Programs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by Size within whose Assessments Completed by Executive (n=117)  </w:t>
            </w:r>
            <w:r w:rsidRPr="0049441B">
              <w:rPr>
                <w:rFonts w:ascii="Arial" w:hAnsi="Arial" w:cs="Arial"/>
                <w:b/>
                <w:color w:val="000000" w:themeColor="text1"/>
                <w:szCs w:val="22"/>
              </w:rPr>
              <w:t>(2013-2017)</w:t>
            </w:r>
          </w:p>
        </w:tc>
      </w:tr>
      <w:tr w:rsidR="001E44B7" w:rsidRPr="00E04B36" w:rsidTr="00C53DF1">
        <w:trPr>
          <w:trHeight w:val="755"/>
        </w:trPr>
        <w:tc>
          <w:tcPr>
            <w:tcW w:w="3547" w:type="dxa"/>
            <w:tcBorders>
              <w:bottom w:val="single" w:sz="4" w:space="0" w:color="auto"/>
            </w:tcBorders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Assessment Component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 xml:space="preserve">Micro 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2-10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(N=43)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Small</w:t>
            </w:r>
          </w:p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11-50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(N=49)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Medium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51-200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(N=13)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Large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&gt;200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(N=12)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Total (N=117)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E44B7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Chi-square/Fisher’s</w:t>
            </w:r>
          </w:p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p-value</w:t>
            </w:r>
          </w:p>
        </w:tc>
      </w:tr>
      <w:tr w:rsidR="001E44B7" w:rsidRPr="00636488" w:rsidTr="00C53DF1">
        <w:trPr>
          <w:trHeight w:val="321"/>
        </w:trPr>
        <w:tc>
          <w:tcPr>
            <w:tcW w:w="3547" w:type="dxa"/>
            <w:tcBorders>
              <w:top w:val="single" w:sz="4" w:space="0" w:color="auto"/>
              <w:bottom w:val="nil"/>
            </w:tcBorders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Safety</w:t>
            </w:r>
            <w:r w:rsidRPr="00636488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Changed the way we work to reduce injuries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(35%)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(47%)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(77%)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(83%)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58 (50%)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0.004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Engineering controls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(37%)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(45%)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(58%)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54 (46%)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0.18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Administrative controls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(53%)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 (57%)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(85%)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71 (61%)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0.15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Provided Personal Protective Equipment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 (39%)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61 (62%)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(83%)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48 (41%)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accident prevention plan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(7%)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 (29%)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(28%)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Conducted ergonomic assessment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(33%)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(31%)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(30%)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 xml:space="preserve">Limited amount of time workers perform repetitive tasks  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 (16%)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(46%)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(24%)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0.17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Modified workstations or work tasks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(23%)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(31%)</w:t>
            </w:r>
          </w:p>
        </w:tc>
        <w:tc>
          <w:tcPr>
            <w:tcW w:w="1612" w:type="dxa"/>
            <w:vAlign w:val="center"/>
          </w:tcPr>
          <w:p w:rsidR="001E44B7" w:rsidRPr="004B457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B4578">
              <w:rPr>
                <w:rFonts w:ascii="Arial" w:hAnsi="Arial" w:cs="Arial"/>
                <w:color w:val="000000" w:themeColor="text1"/>
              </w:rPr>
              <w:t>10 (77%)</w:t>
            </w:r>
          </w:p>
        </w:tc>
        <w:tc>
          <w:tcPr>
            <w:tcW w:w="1312" w:type="dxa"/>
            <w:vAlign w:val="center"/>
          </w:tcPr>
          <w:p w:rsidR="001E44B7" w:rsidRPr="004B457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B4578">
              <w:rPr>
                <w:rFonts w:ascii="Arial" w:hAnsi="Arial" w:cs="Arial"/>
                <w:color w:val="000000" w:themeColor="text1"/>
              </w:rPr>
              <w:t>4 (33%)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39 (33%)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0.005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Plan for disaster and emergency preparedness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(30%)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 (59%)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(100%)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61(52%)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69"/>
        </w:trPr>
        <w:tc>
          <w:tcPr>
            <w:tcW w:w="9634" w:type="dxa"/>
            <w:gridSpan w:val="5"/>
          </w:tcPr>
          <w:p w:rsidR="001E44B7" w:rsidRPr="00636488" w:rsidRDefault="001E44B7" w:rsidP="00C53D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E44B7" w:rsidRPr="00636488" w:rsidRDefault="001E44B7" w:rsidP="00C53D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Health </w:t>
            </w:r>
          </w:p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F2051B" w:rsidRDefault="001E44B7" w:rsidP="00C53DF1">
            <w:pPr>
              <w:ind w:right="90"/>
              <w:rPr>
                <w:rFonts w:ascii="Arial" w:hAnsi="Arial" w:cs="Arial"/>
                <w:color w:val="000000" w:themeColor="text1"/>
              </w:rPr>
            </w:pPr>
            <w:r w:rsidRPr="00F2051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Tobacco Control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(19%)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(33%)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(31%)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(83%)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38 (32%)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0.0006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policy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(9%)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(22%)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(18%)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0.26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Ban tobacco use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(7%)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(12%)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(14%)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0.07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(2%)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(8%)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(15%)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(13%)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Refer employees to quit lines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(7%)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(15%)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(17%)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179"/>
        </w:trPr>
        <w:tc>
          <w:tcPr>
            <w:tcW w:w="3547" w:type="dxa"/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Nutrition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(43%)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B4578">
              <w:rPr>
                <w:rFonts w:ascii="Arial" w:eastAsia="Times New Roman" w:hAnsi="Arial" w:cs="Arial"/>
                <w:color w:val="000000" w:themeColor="text1"/>
              </w:rPr>
              <w:t>11 (85%)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(58%)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6238A">
              <w:rPr>
                <w:rFonts w:ascii="Arial" w:eastAsia="Times New Roman" w:hAnsi="Arial" w:cs="Arial"/>
                <w:color w:val="000000" w:themeColor="text1"/>
              </w:rPr>
              <w:t>50 (43%)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policy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(2%)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(8%)</w:t>
            </w:r>
          </w:p>
        </w:tc>
        <w:tc>
          <w:tcPr>
            <w:tcW w:w="1612" w:type="dxa"/>
            <w:vAlign w:val="center"/>
          </w:tcPr>
          <w:p w:rsidR="001E44B7" w:rsidRPr="004B457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B4578">
              <w:rPr>
                <w:rFonts w:ascii="Arial" w:eastAsia="Times New Roman" w:hAnsi="Arial" w:cs="Arial"/>
                <w:color w:val="000000" w:themeColor="text1"/>
              </w:rPr>
              <w:t>6 (46%)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(42%)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(14%)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nutritional info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(12%)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(27%)</w:t>
            </w:r>
          </w:p>
        </w:tc>
        <w:tc>
          <w:tcPr>
            <w:tcW w:w="1612" w:type="dxa"/>
            <w:vAlign w:val="center"/>
          </w:tcPr>
          <w:p w:rsidR="001E44B7" w:rsidRPr="004B457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B4578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(58%)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34 (29%)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Healthy vending options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(14%)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(22%)</w:t>
            </w:r>
          </w:p>
        </w:tc>
        <w:tc>
          <w:tcPr>
            <w:tcW w:w="1612" w:type="dxa"/>
            <w:vAlign w:val="center"/>
          </w:tcPr>
          <w:p w:rsidR="001E44B7" w:rsidRPr="004B457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B4578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(26%)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(24%)</w:t>
            </w:r>
          </w:p>
        </w:tc>
        <w:tc>
          <w:tcPr>
            <w:tcW w:w="1612" w:type="dxa"/>
            <w:vAlign w:val="center"/>
          </w:tcPr>
          <w:p w:rsidR="001E44B7" w:rsidRPr="004B457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B4578">
              <w:rPr>
                <w:rFonts w:ascii="Arial" w:eastAsia="Times New Roman" w:hAnsi="Arial" w:cs="Arial"/>
                <w:color w:val="000000" w:themeColor="text1"/>
              </w:rPr>
              <w:t>9 (69%)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31 (27%)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0.004</w:t>
            </w:r>
          </w:p>
        </w:tc>
      </w:tr>
      <w:tr w:rsidR="001E44B7" w:rsidRPr="00636488" w:rsidTr="00C53DF1">
        <w:trPr>
          <w:trHeight w:val="151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Mental Health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(33%)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39 (33%)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0.0005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clinical screening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(2%)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(2%)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(38%)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(11%)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Self-assessment tools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(2%)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educational materials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(7%)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(38%)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(18%)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counseling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(9%)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(31%)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(20%)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0.0003</w:t>
            </w:r>
          </w:p>
        </w:tc>
      </w:tr>
      <w:tr w:rsidR="001E44B7" w:rsidRPr="00636488" w:rsidTr="00C53DF1">
        <w:trPr>
          <w:trHeight w:val="104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Physical Activity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(40%)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(61%)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B4578">
              <w:rPr>
                <w:rFonts w:ascii="Arial" w:eastAsia="Times New Roman" w:hAnsi="Arial" w:cs="Arial"/>
                <w:color w:val="000000" w:themeColor="text1"/>
              </w:rPr>
              <w:t>13 (100%)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69 (59%)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cost of off-site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(9%)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(22%)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(26%)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Group programs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(21%)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(39%)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(58%)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 (36%)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1E44B7" w:rsidRPr="00636488" w:rsidTr="00C53DF1">
        <w:trPr>
          <w:trHeight w:val="170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Stress Management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(47%)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(77%)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(92%)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55 (47%)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Stress relief therapies (yoga, message, therapists)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(16%)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(24%)</w:t>
            </w:r>
          </w:p>
        </w:tc>
        <w:tc>
          <w:tcPr>
            <w:tcW w:w="1612" w:type="dxa"/>
            <w:vAlign w:val="center"/>
          </w:tcPr>
          <w:p w:rsidR="001E44B7" w:rsidRPr="004B457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B4578"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(33%)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(26%)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0.05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Financial advising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(7%)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(18%)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(46%)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(21%)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 xml:space="preserve">Family counseling 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(2%)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(21%)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11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color w:val="000000" w:themeColor="text1"/>
              </w:rPr>
              <w:t>Disease Prevention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(12%)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(31%)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(46%)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(75%)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(30%)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tcBorders>
              <w:bottom w:val="nil"/>
            </w:tcBorders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communication and 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(5%)</w:t>
            </w:r>
          </w:p>
        </w:tc>
        <w:tc>
          <w:tcPr>
            <w:tcW w:w="159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(22%)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(15%)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(58%)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22 (19%)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0.0004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tcBorders>
              <w:top w:val="nil"/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free or subsidized health screening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(7%)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(22%)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(23%)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(67%)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(21%)</w:t>
            </w:r>
          </w:p>
        </w:tc>
        <w:tc>
          <w:tcPr>
            <w:tcW w:w="1857" w:type="dxa"/>
            <w:tcBorders>
              <w:top w:val="nil"/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0.0003</w:t>
            </w:r>
          </w:p>
        </w:tc>
      </w:tr>
    </w:tbl>
    <w:p w:rsidR="001E44B7" w:rsidRDefault="001E44B7"/>
    <w:p w:rsidR="001E44B7" w:rsidRDefault="001E44B7"/>
    <w:p w:rsidR="001E44B7" w:rsidRDefault="001E44B7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548"/>
        <w:gridCol w:w="1572"/>
        <w:gridCol w:w="1592"/>
        <w:gridCol w:w="1612"/>
        <w:gridCol w:w="1312"/>
        <w:gridCol w:w="1467"/>
        <w:gridCol w:w="1857"/>
      </w:tblGrid>
      <w:tr w:rsidR="001E44B7" w:rsidRPr="00E04B36" w:rsidTr="00C5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2960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Supplemental 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</w:rPr>
              <w:t>ABLE 2</w:t>
            </w:r>
            <w:r>
              <w:rPr>
                <w:rFonts w:ascii="Arial" w:hAnsi="Arial" w:cs="Arial"/>
                <w:b/>
                <w:color w:val="000000" w:themeColor="text1"/>
              </w:rPr>
              <w:t>b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 xml:space="preserve">. Business </w:t>
            </w:r>
            <w:r w:rsidRPr="00AF3F4F">
              <w:rPr>
                <w:rFonts w:ascii="Arial" w:hAnsi="Arial" w:cs="Arial"/>
                <w:b/>
                <w:color w:val="000000" w:themeColor="text1"/>
              </w:rPr>
              <w:t>Workplace Health and Safety Policies and Programs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by Size within whose Assessments Completed by Health and Safety Professionals (n=63)  </w:t>
            </w:r>
            <w:r w:rsidRPr="0049441B">
              <w:rPr>
                <w:rFonts w:ascii="Arial" w:hAnsi="Arial" w:cs="Arial"/>
                <w:b/>
                <w:color w:val="000000" w:themeColor="text1"/>
                <w:szCs w:val="22"/>
              </w:rPr>
              <w:t>(2013-2017)</w:t>
            </w:r>
          </w:p>
        </w:tc>
      </w:tr>
      <w:tr w:rsidR="001E44B7" w:rsidRPr="00E04B36" w:rsidTr="00C53DF1">
        <w:trPr>
          <w:trHeight w:val="755"/>
        </w:trPr>
        <w:tc>
          <w:tcPr>
            <w:tcW w:w="3548" w:type="dxa"/>
            <w:tcBorders>
              <w:bottom w:val="single" w:sz="4" w:space="0" w:color="auto"/>
            </w:tcBorders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Assessment Component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 xml:space="preserve">Micro 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2-10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(N=6)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Small</w:t>
            </w:r>
          </w:p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11-50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(N=14)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Medium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51-200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(N=8)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Large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&gt;200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(N=35)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Total (N=63)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Chi-square/ Fisher’s test p-value</w:t>
            </w:r>
          </w:p>
        </w:tc>
      </w:tr>
      <w:tr w:rsidR="001E44B7" w:rsidRPr="00636488" w:rsidTr="00C53DF1">
        <w:trPr>
          <w:trHeight w:val="321"/>
        </w:trPr>
        <w:tc>
          <w:tcPr>
            <w:tcW w:w="3548" w:type="dxa"/>
            <w:tcBorders>
              <w:top w:val="single" w:sz="4" w:space="0" w:color="auto"/>
              <w:bottom w:val="nil"/>
            </w:tcBorders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Safety</w:t>
            </w:r>
            <w:r w:rsidRPr="00636488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Changed the way we work to reduce injuries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(36%)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(86%)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38 (60%)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Engineering controls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4 (67%)</w:t>
            </w:r>
          </w:p>
        </w:tc>
        <w:tc>
          <w:tcPr>
            <w:tcW w:w="159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8 (57%)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32 (91%)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48 (76%)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0.007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Administrative controls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5 (36%)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5 (63%)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30 (86%)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 (68%)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0.003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Provided Personal Protective Equipment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4 (29%)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5 (63%)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35 (100%)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47 (75%)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accident prevention plan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(29%)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 (38%)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20 (57%)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(48%)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0.30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Conducted ergonomic assessment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(21%)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29 (83%)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38 (60%)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 xml:space="preserve">Limited amount of time workers perform repetitive tasks  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2 (14%)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17 (49%)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(33%)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Modified workstations or work tasks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5 (36%)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 (38%)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28 (80%)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39 (62%)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0.007</w:t>
            </w:r>
          </w:p>
        </w:tc>
      </w:tr>
      <w:tr w:rsidR="001E44B7" w:rsidRPr="00636488" w:rsidTr="00C53DF1">
        <w:trPr>
          <w:trHeight w:val="369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Plan for disaster and emergency preparedness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4 (67%)</w:t>
            </w:r>
          </w:p>
        </w:tc>
        <w:tc>
          <w:tcPr>
            <w:tcW w:w="159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9 (64%)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7 (88%)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5093">
              <w:rPr>
                <w:rFonts w:ascii="Arial" w:hAnsi="Arial" w:cs="Arial"/>
                <w:color w:val="000000" w:themeColor="text1"/>
              </w:rPr>
              <w:t>35 (100%)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55 (87%)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0.0008</w:t>
            </w:r>
          </w:p>
        </w:tc>
      </w:tr>
      <w:tr w:rsidR="001E44B7" w:rsidRPr="00636488" w:rsidTr="00C53DF1">
        <w:trPr>
          <w:trHeight w:val="369"/>
        </w:trPr>
        <w:tc>
          <w:tcPr>
            <w:tcW w:w="9636" w:type="dxa"/>
            <w:gridSpan w:val="5"/>
          </w:tcPr>
          <w:p w:rsidR="001E44B7" w:rsidRPr="00636488" w:rsidRDefault="001E44B7" w:rsidP="00C53D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E44B7" w:rsidRPr="00636488" w:rsidRDefault="001E44B7" w:rsidP="00C53D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Health </w:t>
            </w:r>
          </w:p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7" w:type="dxa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</w:tcPr>
          <w:p w:rsidR="001E44B7" w:rsidRPr="00F2051B" w:rsidRDefault="001E44B7" w:rsidP="00C53DF1">
            <w:pPr>
              <w:ind w:right="90"/>
              <w:rPr>
                <w:rFonts w:ascii="Arial" w:hAnsi="Arial" w:cs="Arial"/>
                <w:color w:val="000000" w:themeColor="text1"/>
              </w:rPr>
            </w:pPr>
            <w:r w:rsidRPr="00F2051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Tobacco Control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(57%)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 (86%)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45 (71%)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policy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(43%)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(60%)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32 (51%)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0.47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Ban tobacco use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(36%)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(34%)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(33%)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&gt;0.99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Education</w:t>
            </w:r>
          </w:p>
        </w:tc>
        <w:tc>
          <w:tcPr>
            <w:tcW w:w="157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C5093"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C5093"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6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C5093"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9C5093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C5093">
              <w:rPr>
                <w:rFonts w:ascii="Arial" w:eastAsia="Times New Roman" w:hAnsi="Arial" w:cs="Arial"/>
                <w:color w:val="000000" w:themeColor="text1"/>
              </w:rPr>
              <w:t>26 (74%)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(56%)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0.003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Refer employees to quit lines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(36%)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 (77%)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37 (59%)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0.008</w:t>
            </w:r>
          </w:p>
        </w:tc>
      </w:tr>
      <w:tr w:rsidR="001E44B7" w:rsidRPr="00636488" w:rsidTr="00C53DF1">
        <w:trPr>
          <w:trHeight w:val="179"/>
        </w:trPr>
        <w:tc>
          <w:tcPr>
            <w:tcW w:w="3548" w:type="dxa"/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Nutrition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(67%)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(50%)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29 (83%)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F3574C">
              <w:rPr>
                <w:rFonts w:ascii="Arial" w:eastAsia="Times New Roman" w:hAnsi="Arial" w:cs="Arial"/>
                <w:color w:val="000000" w:themeColor="text1"/>
              </w:rPr>
              <w:t>44 (70%)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0.05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policy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(29%)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(17%)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0.05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nutritional info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(57%)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 (43%)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Healthy vending options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(14%)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(57%)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(40%)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(43%)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(69%)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(52%)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151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Mental Health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(57%)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(63%)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(94%)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49 (78%)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clinical screening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(14%)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(60%)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 (43%)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Self-assessment tools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(7%)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(54%)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(37%)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educational materials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(14%)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(74%)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34 (54%)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0.0006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counseling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(74%)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(56%)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0.003</w:t>
            </w:r>
          </w:p>
        </w:tc>
      </w:tr>
      <w:tr w:rsidR="001E44B7" w:rsidRPr="00636488" w:rsidTr="00C53DF1">
        <w:trPr>
          <w:trHeight w:val="104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Physical Activity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(79%)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(75%)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31 (89%)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51 (81%)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0.12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cost of off-site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(43%)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(71%)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38 (60%)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0.24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Group programs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(74%)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37 (59%)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170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Stress Management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(67%)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(57%)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(63%)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(94%)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50 (79%)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0.005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Stress relief therapies (yoga, message, therapists)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(74%)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36 (57%)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0.006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Financial advising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(36%)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 (71%)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37 (59%)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0.11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 xml:space="preserve">Family counseling 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(66%)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31 (49%)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113"/>
        </w:trPr>
        <w:tc>
          <w:tcPr>
            <w:tcW w:w="3548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color w:val="000000" w:themeColor="text1"/>
              </w:rPr>
              <w:t>Disease Prevention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(50%)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(36%)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(63%)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(80%)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 (65%)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tcBorders>
              <w:bottom w:val="nil"/>
            </w:tcBorders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communication and 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(21%)</w:t>
            </w:r>
          </w:p>
        </w:tc>
        <w:tc>
          <w:tcPr>
            <w:tcW w:w="16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22 (63%)</w:t>
            </w:r>
          </w:p>
        </w:tc>
        <w:tc>
          <w:tcPr>
            <w:tcW w:w="146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29 (46%)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8" w:type="dxa"/>
            <w:tcBorders>
              <w:top w:val="nil"/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free or subsidized health screening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(33%)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(29%)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(50%)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(74%)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36 (57%)</w:t>
            </w:r>
          </w:p>
        </w:tc>
        <w:tc>
          <w:tcPr>
            <w:tcW w:w="1857" w:type="dxa"/>
            <w:tcBorders>
              <w:top w:val="nil"/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0.01</w:t>
            </w:r>
          </w:p>
        </w:tc>
      </w:tr>
    </w:tbl>
    <w:p w:rsidR="001E44B7" w:rsidRDefault="001E44B7"/>
    <w:p w:rsidR="001E44B7" w:rsidRDefault="001E44B7"/>
    <w:p w:rsidR="001E44B7" w:rsidRDefault="001E44B7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547"/>
        <w:gridCol w:w="1572"/>
        <w:gridCol w:w="1592"/>
        <w:gridCol w:w="1611"/>
        <w:gridCol w:w="1312"/>
        <w:gridCol w:w="1469"/>
        <w:gridCol w:w="1857"/>
      </w:tblGrid>
      <w:tr w:rsidR="001E44B7" w:rsidRPr="00E04B36" w:rsidTr="00C5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2960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1E44B7" w:rsidRPr="00E04B36" w:rsidRDefault="001E44B7" w:rsidP="00C53DF1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Supplemental 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</w:rPr>
              <w:t>ABLE 2</w:t>
            </w:r>
            <w:r>
              <w:rPr>
                <w:rFonts w:ascii="Arial" w:hAnsi="Arial" w:cs="Arial"/>
                <w:b/>
                <w:color w:val="000000" w:themeColor="text1"/>
              </w:rPr>
              <w:t>c</w:t>
            </w:r>
            <w:r w:rsidRPr="00E04B36">
              <w:rPr>
                <w:rFonts w:ascii="Arial" w:hAnsi="Arial" w:cs="Arial"/>
                <w:b/>
                <w:color w:val="000000" w:themeColor="text1"/>
              </w:rPr>
              <w:t xml:space="preserve">. Business </w:t>
            </w:r>
            <w:r w:rsidRPr="00AF3F4F">
              <w:rPr>
                <w:rFonts w:ascii="Arial" w:hAnsi="Arial" w:cs="Arial"/>
                <w:b/>
                <w:color w:val="000000" w:themeColor="text1"/>
              </w:rPr>
              <w:t>Workplace Health and Safety Policies and Programs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within whose Assessments Completed by Other Positions (n=117) </w:t>
            </w:r>
            <w:r w:rsidRPr="0049441B">
              <w:rPr>
                <w:rFonts w:ascii="Arial" w:hAnsi="Arial" w:cs="Arial"/>
                <w:b/>
                <w:color w:val="000000" w:themeColor="text1"/>
                <w:szCs w:val="22"/>
              </w:rPr>
              <w:t>(2013-2017)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1E44B7" w:rsidRPr="00E04B36" w:rsidTr="00C53DF1">
        <w:trPr>
          <w:trHeight w:val="755"/>
        </w:trPr>
        <w:tc>
          <w:tcPr>
            <w:tcW w:w="3547" w:type="dxa"/>
            <w:tcBorders>
              <w:bottom w:val="single" w:sz="4" w:space="0" w:color="auto"/>
            </w:tcBorders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Assessment Component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 xml:space="preserve">Micro 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2-10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(N=29)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Small</w:t>
            </w:r>
          </w:p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11-50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(N=53)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Medium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51-200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(N=25)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Large</w:t>
            </w:r>
          </w:p>
          <w:p w:rsidR="001E44B7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&gt;200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(N=10)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Total (N=117)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E44B7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Chi-square/Fisher’s</w:t>
            </w:r>
          </w:p>
          <w:p w:rsidR="001E44B7" w:rsidRPr="00E04B36" w:rsidRDefault="001E44B7" w:rsidP="00C53DF1">
            <w:pPr>
              <w:outlineLvl w:val="0"/>
              <w:rPr>
                <w:rFonts w:ascii="Arial" w:eastAsia="Times New Roman" w:hAnsi="Arial" w:cs="Arial"/>
                <w:color w:val="000000" w:themeColor="text1"/>
              </w:rPr>
            </w:pPr>
            <w:r w:rsidRPr="00E04B36">
              <w:rPr>
                <w:rFonts w:ascii="Arial" w:eastAsia="Times New Roman" w:hAnsi="Arial" w:cs="Arial"/>
                <w:color w:val="000000" w:themeColor="text1"/>
              </w:rPr>
              <w:t>p-value</w:t>
            </w:r>
          </w:p>
        </w:tc>
      </w:tr>
      <w:tr w:rsidR="001E44B7" w:rsidRPr="00636488" w:rsidTr="00C53DF1">
        <w:trPr>
          <w:trHeight w:val="321"/>
        </w:trPr>
        <w:tc>
          <w:tcPr>
            <w:tcW w:w="3547" w:type="dxa"/>
            <w:tcBorders>
              <w:top w:val="single" w:sz="4" w:space="0" w:color="auto"/>
              <w:bottom w:val="nil"/>
            </w:tcBorders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Safety</w:t>
            </w:r>
            <w:r w:rsidRPr="00636488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Changed the way we work to reduce injuries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(31%)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 (49%)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(68%)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58 (50%)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0.05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Engineering controls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(24%)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 (55%)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(76%)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62 (53%)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0.0008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Administrative controls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(28%)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(45%)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(48%)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(80%)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52 (44%)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0.04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Provided Personal Protective Equipment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 (57%)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(72%)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(100%)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63 (54%)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accident prevention plan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(14%)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 (53%)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(52%)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52 (44%)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</w:rPr>
              <w:t>07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Conducted ergonomic assessment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(21%)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(40%)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32 (27%)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 xml:space="preserve">Limited amount of time workers perform repetitive tasks  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 (15%)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(24%)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(15%)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0.12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Modified workstations or work tasks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(30%)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(48%)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 (30%)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0.0001</w:t>
            </w:r>
          </w:p>
        </w:tc>
      </w:tr>
      <w:tr w:rsidR="001E44B7" w:rsidRPr="00636488" w:rsidTr="00C53DF1">
        <w:trPr>
          <w:trHeight w:val="369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Plan for disaster and emergency preparedness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(45%)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 (66%)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 (80%)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 (100%)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78 (67%)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0.003</w:t>
            </w:r>
          </w:p>
        </w:tc>
      </w:tr>
      <w:tr w:rsidR="001E44B7" w:rsidRPr="00636488" w:rsidTr="00C53DF1">
        <w:trPr>
          <w:trHeight w:val="369"/>
        </w:trPr>
        <w:tc>
          <w:tcPr>
            <w:tcW w:w="9634" w:type="dxa"/>
            <w:gridSpan w:val="5"/>
          </w:tcPr>
          <w:p w:rsidR="001E44B7" w:rsidRPr="00636488" w:rsidRDefault="001E44B7" w:rsidP="00C53D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E44B7" w:rsidRPr="00636488" w:rsidRDefault="001E44B7" w:rsidP="00C53D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Health </w:t>
            </w:r>
          </w:p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F2051B" w:rsidRDefault="001E44B7" w:rsidP="00C53DF1">
            <w:pPr>
              <w:ind w:right="90"/>
              <w:rPr>
                <w:rFonts w:ascii="Arial" w:hAnsi="Arial" w:cs="Arial"/>
                <w:color w:val="000000" w:themeColor="text1"/>
              </w:rPr>
            </w:pPr>
            <w:r w:rsidRPr="00F2051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Tobacco Control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(34%)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(60%)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 (37%)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policy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(23%)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(24%)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 (22%)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0.08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Ban tobacco use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(15%)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(24%)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(16%)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0.54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(24%)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(40%)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(15%)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Refer employees to quit lines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(32%)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(16%)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179"/>
        </w:trPr>
        <w:tc>
          <w:tcPr>
            <w:tcW w:w="3547" w:type="dxa"/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Nutrition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(14%)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(32%)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(60%)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AD429E">
              <w:rPr>
                <w:rFonts w:ascii="Arial" w:eastAsia="Times New Roman" w:hAnsi="Arial" w:cs="Arial"/>
                <w:color w:val="000000" w:themeColor="text1"/>
              </w:rPr>
              <w:t>43 (37%)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0.0005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Written policy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(2%)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(16%)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(20%)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(7%)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nutritional info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 (17%)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(32%)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 (20%)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0.16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Healthy vending options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(15%)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(32%)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(18%)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0.06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(44%)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(21%)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0.0001</w:t>
            </w:r>
          </w:p>
        </w:tc>
      </w:tr>
      <w:tr w:rsidR="001E44B7" w:rsidRPr="00636488" w:rsidTr="00C53DF1">
        <w:trPr>
          <w:trHeight w:val="151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Mental Health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(17%)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(32%)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(64%)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45 (38%)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0.0006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clinical screening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(16%)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(12%)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0.78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Self-assessment tools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(8%)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(20%)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(10%)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 (9%)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educational materials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(15%)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(24%)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(40%)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(16%)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counseling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(9%)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(32%)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22 (19%)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0.0007</w:t>
            </w:r>
          </w:p>
        </w:tc>
      </w:tr>
      <w:tr w:rsidR="001E44B7" w:rsidRPr="00636488" w:rsidTr="00C53DF1">
        <w:trPr>
          <w:trHeight w:val="104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Physical Activity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(14%)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22 (42%)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 (72%)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51 (44%)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Free or subsidized cost of off-site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 (3%)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(25%)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(60%)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(40%)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 (28%)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Group programs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(25%)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(52%)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34 (29%)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0.003</w:t>
            </w:r>
          </w:p>
        </w:tc>
      </w:tr>
      <w:tr w:rsidR="001E44B7" w:rsidRPr="00636488" w:rsidTr="00C53DF1">
        <w:trPr>
          <w:trHeight w:val="170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Stress Management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(24%)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(32%)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(60%)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(70%)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46 (39%)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0.006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Stress relief therapies (yoga, message, therapists)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(9%)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(32%)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 (16%)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0.03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Financial advising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(11%)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 (52%)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(60%)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 (24%)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 xml:space="preserve">Family counseling 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(10%)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(9%)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 (32%)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 (18%)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0.004</w:t>
            </w:r>
          </w:p>
        </w:tc>
      </w:tr>
      <w:tr w:rsidR="001E44B7" w:rsidRPr="00636488" w:rsidTr="00C53DF1">
        <w:trPr>
          <w:trHeight w:val="113"/>
        </w:trPr>
        <w:tc>
          <w:tcPr>
            <w:tcW w:w="3547" w:type="dxa"/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</w:tcPr>
          <w:p w:rsidR="001E44B7" w:rsidRPr="00667FC5" w:rsidRDefault="001E44B7" w:rsidP="00C53DF1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67FC5">
              <w:rPr>
                <w:rFonts w:ascii="Arial" w:eastAsia="Times New Roman" w:hAnsi="Arial" w:cs="Arial"/>
                <w:b/>
                <w:color w:val="000000" w:themeColor="text1"/>
              </w:rPr>
              <w:t>Disease Prevention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(14%)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 (23%)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 (64%)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(50%)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37 (32%)</w:t>
            </w:r>
          </w:p>
        </w:tc>
        <w:tc>
          <w:tcPr>
            <w:tcW w:w="1857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0.0002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tcBorders>
              <w:bottom w:val="nil"/>
            </w:tcBorders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communication and education</w:t>
            </w:r>
          </w:p>
        </w:tc>
        <w:tc>
          <w:tcPr>
            <w:tcW w:w="157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 (7%)</w:t>
            </w:r>
          </w:p>
        </w:tc>
        <w:tc>
          <w:tcPr>
            <w:tcW w:w="159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 (13%)</w:t>
            </w:r>
          </w:p>
        </w:tc>
        <w:tc>
          <w:tcPr>
            <w:tcW w:w="1611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 (20%)</w:t>
            </w:r>
          </w:p>
        </w:tc>
        <w:tc>
          <w:tcPr>
            <w:tcW w:w="1312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 (30%)</w:t>
            </w:r>
          </w:p>
        </w:tc>
        <w:tc>
          <w:tcPr>
            <w:tcW w:w="1469" w:type="dxa"/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 (15%)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0.23</w:t>
            </w:r>
          </w:p>
        </w:tc>
      </w:tr>
      <w:tr w:rsidR="001E44B7" w:rsidRPr="00636488" w:rsidTr="00C53DF1">
        <w:trPr>
          <w:trHeight w:val="303"/>
        </w:trPr>
        <w:tc>
          <w:tcPr>
            <w:tcW w:w="3547" w:type="dxa"/>
            <w:tcBorders>
              <w:top w:val="nil"/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36488">
              <w:rPr>
                <w:rFonts w:ascii="Arial" w:eastAsia="Times New Roman" w:hAnsi="Arial" w:cs="Arial"/>
                <w:color w:val="000000" w:themeColor="text1"/>
              </w:rPr>
              <w:t>Provide free or subsidized health screening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(0%)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 (11%)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 (56%)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 (40%)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 (21%)</w:t>
            </w:r>
          </w:p>
        </w:tc>
        <w:tc>
          <w:tcPr>
            <w:tcW w:w="1857" w:type="dxa"/>
            <w:tcBorders>
              <w:top w:val="nil"/>
              <w:bottom w:val="single" w:sz="12" w:space="0" w:color="auto"/>
            </w:tcBorders>
            <w:vAlign w:val="center"/>
          </w:tcPr>
          <w:p w:rsidR="001E44B7" w:rsidRPr="00636488" w:rsidRDefault="001E44B7" w:rsidP="00C53DF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&lt;0.0001</w:t>
            </w:r>
          </w:p>
        </w:tc>
      </w:tr>
    </w:tbl>
    <w:p w:rsidR="001E44B7" w:rsidRDefault="001E44B7" w:rsidP="001E44B7"/>
    <w:p w:rsidR="001E44B7" w:rsidRDefault="001E44B7"/>
    <w:sectPr w:rsidR="001E44B7" w:rsidSect="00FD6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3"/>
    <w:rsid w:val="0004441C"/>
    <w:rsid w:val="00082CF4"/>
    <w:rsid w:val="001E44B7"/>
    <w:rsid w:val="00293A17"/>
    <w:rsid w:val="002B31F3"/>
    <w:rsid w:val="00381520"/>
    <w:rsid w:val="004402CD"/>
    <w:rsid w:val="00490372"/>
    <w:rsid w:val="007471D9"/>
    <w:rsid w:val="008A2DF5"/>
    <w:rsid w:val="00A233BB"/>
    <w:rsid w:val="00A4381D"/>
    <w:rsid w:val="00B77320"/>
    <w:rsid w:val="00C41FE5"/>
    <w:rsid w:val="00DB06B5"/>
    <w:rsid w:val="00E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872B"/>
  <w15:chartTrackingRefBased/>
  <w15:docId w15:val="{CA15E3F1-EAE7-49C5-AA53-8A812BB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F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2B31F3"/>
    <w:tblPr>
      <w:tblBorders>
        <w:top w:val="single" w:sz="4" w:space="0" w:color="000000" w:themeColor="text1"/>
        <w:bottom w:val="single" w:sz="4" w:space="0" w:color="000000" w:themeColor="text1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2B31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3F37-591C-4557-A412-118B11C3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Wenyi</dc:creator>
  <cp:keywords/>
  <dc:description/>
  <cp:lastModifiedBy>Fan, Wenyi</cp:lastModifiedBy>
  <cp:revision>2</cp:revision>
  <dcterms:created xsi:type="dcterms:W3CDTF">2018-12-19T18:53:00Z</dcterms:created>
  <dcterms:modified xsi:type="dcterms:W3CDTF">2018-12-19T18:53:00Z</dcterms:modified>
</cp:coreProperties>
</file>