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5AC" w:rsidRPr="000315AC" w:rsidRDefault="000315AC" w:rsidP="000315AC">
      <w:pPr>
        <w:shd w:val="clear" w:color="auto" w:fill="FFFFFF"/>
        <w:spacing w:after="0" w:line="480" w:lineRule="auto"/>
        <w:rPr>
          <w:rFonts w:eastAsia="Times New Roman" w:cstheme="minorHAnsi"/>
          <w:b/>
          <w:color w:val="000000"/>
        </w:rPr>
      </w:pPr>
      <w:bookmarkStart w:id="0" w:name="_GoBack"/>
      <w:bookmarkEnd w:id="0"/>
      <w:r w:rsidRPr="000315AC">
        <w:rPr>
          <w:rFonts w:eastAsia="Times New Roman" w:cstheme="minorHAnsi"/>
          <w:b/>
          <w:color w:val="000000"/>
        </w:rPr>
        <w:t xml:space="preserve">Multiple Imputation </w:t>
      </w:r>
      <w:r>
        <w:rPr>
          <w:rFonts w:eastAsia="Times New Roman" w:cstheme="minorHAnsi"/>
          <w:b/>
          <w:color w:val="000000"/>
        </w:rPr>
        <w:t>Procedure</w:t>
      </w:r>
      <w:r w:rsidRPr="000315AC">
        <w:rPr>
          <w:rFonts w:eastAsia="Times New Roman" w:cstheme="minorHAnsi"/>
          <w:b/>
          <w:color w:val="000000"/>
        </w:rPr>
        <w:t>s</w:t>
      </w:r>
    </w:p>
    <w:p w:rsidR="00CD2F25" w:rsidRDefault="004A78AE" w:rsidP="000315AC">
      <w:pPr>
        <w:shd w:val="clear" w:color="auto" w:fill="FFFFFF"/>
        <w:spacing w:after="0" w:line="480" w:lineRule="auto"/>
        <w:rPr>
          <w:rFonts w:eastAsia="Times New Roman" w:cstheme="minorHAnsi"/>
          <w:color w:val="000000" w:themeColor="text1"/>
          <w:u w:val="single"/>
        </w:rPr>
      </w:pPr>
      <w:r w:rsidRPr="000315AC">
        <w:rPr>
          <w:rFonts w:eastAsia="Times New Roman" w:cstheme="minorHAnsi"/>
          <w:color w:val="000000"/>
        </w:rPr>
        <w:t>The full sample consisted of 4182 participants but were complete for only 3841 (92.8%) participants considering baseline variables of interest. We give the extent and distribu</w:t>
      </w:r>
      <w:r w:rsidR="000315AC">
        <w:rPr>
          <w:rFonts w:eastAsia="Times New Roman" w:cstheme="minorHAnsi"/>
          <w:color w:val="000000"/>
        </w:rPr>
        <w:t>tion of missing data in Figure I</w:t>
      </w:r>
      <w:r w:rsidRPr="000315AC">
        <w:rPr>
          <w:rFonts w:eastAsia="Times New Roman" w:cstheme="minorHAnsi"/>
          <w:color w:val="000000"/>
        </w:rPr>
        <w:t>. We used the multiple imputation procedure in SAS statistical software (PROC MI) to impute the relevant missing covariates at baseline and used the last observation carried forward for the lower proportion (&lt;5%) of covariates missing at follow-ups. Variables included in the imputation models consisted of all relevant c</w:t>
      </w:r>
      <w:r w:rsidR="000315AC">
        <w:rPr>
          <w:rFonts w:eastAsia="Times New Roman" w:cstheme="minorHAnsi"/>
          <w:color w:val="000000"/>
        </w:rPr>
        <w:t xml:space="preserve">haracteristics listed in </w:t>
      </w:r>
      <w:r w:rsidR="00B8019D">
        <w:rPr>
          <w:rFonts w:eastAsia="Times New Roman" w:cstheme="minorHAnsi"/>
          <w:color w:val="000000"/>
        </w:rPr>
        <w:t xml:space="preserve">the manuscript </w:t>
      </w:r>
      <w:r w:rsidR="000315AC">
        <w:rPr>
          <w:rFonts w:eastAsia="Times New Roman" w:cstheme="minorHAnsi"/>
          <w:color w:val="000000"/>
        </w:rPr>
        <w:t>Table I</w:t>
      </w:r>
      <w:r w:rsidRPr="000315AC">
        <w:rPr>
          <w:rFonts w:eastAsia="Times New Roman" w:cstheme="minorHAnsi"/>
          <w:color w:val="000000"/>
        </w:rPr>
        <w:t xml:space="preserve"> as well as those detai</w:t>
      </w:r>
      <w:r w:rsidR="000315AC">
        <w:rPr>
          <w:rFonts w:eastAsia="Times New Roman" w:cstheme="minorHAnsi"/>
          <w:color w:val="000000"/>
        </w:rPr>
        <w:t>ling the mortality event and its corresponding time-to-event.</w:t>
      </w:r>
      <w:r w:rsidRPr="000315AC">
        <w:rPr>
          <w:rFonts w:eastAsia="Times New Roman" w:cstheme="minorHAnsi"/>
          <w:color w:val="000000"/>
        </w:rPr>
        <w:t xml:space="preserve"> Twenty imputed datasets were created with 20 burn-in iterations before each imputation. MI was conducted by fully conditional specification (FCS) logistic methods for the majority of covariates, which were binary, and using FCS regression for the one continuous variable (BMI, for which normality was ascertained). FCS was used because it performs well for assumptions under MAR and missing proportions lower than 0.5 (our proportion is well below that at 0.08) </w:t>
      </w:r>
      <w:r w:rsidRPr="000315AC">
        <w:rPr>
          <w:rFonts w:eastAsia="Times New Roman" w:cstheme="minorHAnsi"/>
          <w:color w:val="000000" w:themeColor="text1"/>
        </w:rPr>
        <w:t>[</w:t>
      </w:r>
      <w:r w:rsidRPr="000315AC">
        <w:rPr>
          <w:rFonts w:eastAsia="Times New Roman" w:cstheme="minorHAnsi"/>
          <w:color w:val="000000" w:themeColor="text1"/>
          <w:u w:val="single"/>
        </w:rPr>
        <w:t>http://www2.sas.com/proceedings/sugi30/113-30.pdf].</w:t>
      </w:r>
    </w:p>
    <w:p w:rsidR="006D2CFB" w:rsidRDefault="006D2CFB" w:rsidP="000315AC">
      <w:pPr>
        <w:shd w:val="clear" w:color="auto" w:fill="FFFFFF"/>
        <w:spacing w:after="0" w:line="480" w:lineRule="auto"/>
        <w:rPr>
          <w:rFonts w:eastAsia="Times New Roman" w:cstheme="minorHAnsi"/>
          <w:color w:val="000000" w:themeColor="text1"/>
          <w:u w:val="single"/>
        </w:rPr>
      </w:pPr>
    </w:p>
    <w:p w:rsidR="006D2CFB" w:rsidRDefault="006D2CFB">
      <w:pPr>
        <w:spacing w:after="0" w:line="240" w:lineRule="auto"/>
        <w:rPr>
          <w:rFonts w:cstheme="minorHAnsi"/>
        </w:rPr>
      </w:pPr>
      <w:r>
        <w:rPr>
          <w:rFonts w:cstheme="minorHAnsi"/>
        </w:rPr>
        <w:br w:type="page"/>
      </w:r>
    </w:p>
    <w:p w:rsidR="006D2CFB" w:rsidRPr="003075E9" w:rsidRDefault="006D2CFB" w:rsidP="006D2CFB">
      <w:pPr>
        <w:rPr>
          <w:rFonts w:cstheme="minorHAnsi"/>
        </w:rPr>
      </w:pPr>
      <w:r>
        <w:rPr>
          <w:rFonts w:cstheme="minorHAnsi"/>
        </w:rPr>
        <w:lastRenderedPageBreak/>
        <w:t>Appendix Table I</w:t>
      </w:r>
      <w:r w:rsidR="00C37C68">
        <w:rPr>
          <w:rFonts w:cstheme="minorHAnsi"/>
        </w:rPr>
        <w:t>V</w:t>
      </w:r>
      <w:r>
        <w:rPr>
          <w:rFonts w:cstheme="minorHAnsi"/>
        </w:rPr>
        <w:t xml:space="preserve">. </w:t>
      </w:r>
      <w:r w:rsidRPr="003075E9">
        <w:rPr>
          <w:rFonts w:cstheme="minorHAnsi"/>
        </w:rPr>
        <w:t>Missing values at assessment points</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5"/>
        <w:gridCol w:w="995"/>
        <w:gridCol w:w="810"/>
        <w:gridCol w:w="805"/>
        <w:gridCol w:w="800"/>
        <w:gridCol w:w="820"/>
        <w:gridCol w:w="810"/>
        <w:gridCol w:w="810"/>
        <w:gridCol w:w="900"/>
      </w:tblGrid>
      <w:tr w:rsidR="006D2CFB" w:rsidRPr="003075E9" w:rsidTr="001E3672">
        <w:trPr>
          <w:cantSplit/>
          <w:tblHeader/>
          <w:jc w:val="center"/>
        </w:trPr>
        <w:tc>
          <w:tcPr>
            <w:tcW w:w="2695" w:type="dxa"/>
            <w:vMerge w:val="restart"/>
            <w:shd w:val="clear" w:color="auto" w:fill="auto"/>
            <w:tcMar>
              <w:left w:w="67" w:type="dxa"/>
              <w:right w:w="67" w:type="dxa"/>
            </w:tcMar>
            <w:vAlign w:val="center"/>
          </w:tcPr>
          <w:p w:rsidR="006D2CFB" w:rsidRPr="003075E9" w:rsidRDefault="006D2CFB" w:rsidP="001E3672">
            <w:pPr>
              <w:keepNext/>
              <w:adjustRightInd w:val="0"/>
              <w:spacing w:before="67" w:after="67"/>
              <w:rPr>
                <w:rFonts w:cstheme="minorHAnsi"/>
                <w:iCs/>
                <w:color w:val="000000"/>
              </w:rPr>
            </w:pPr>
            <w:r>
              <w:rPr>
                <w:rFonts w:cstheme="minorHAnsi"/>
                <w:iCs/>
                <w:color w:val="000000"/>
              </w:rPr>
              <w:t>Characteristics</w:t>
            </w:r>
          </w:p>
        </w:tc>
        <w:tc>
          <w:tcPr>
            <w:tcW w:w="6750" w:type="dxa"/>
            <w:gridSpan w:val="8"/>
            <w:shd w:val="clear" w:color="auto" w:fill="auto"/>
            <w:tcMar>
              <w:left w:w="67" w:type="dxa"/>
              <w:right w:w="67" w:type="dxa"/>
            </w:tcMar>
            <w:vAlign w:val="center"/>
          </w:tcPr>
          <w:p w:rsidR="006D2CFB" w:rsidRPr="003075E9" w:rsidRDefault="006D2CFB" w:rsidP="001E3672">
            <w:pPr>
              <w:keepNext/>
              <w:adjustRightInd w:val="0"/>
              <w:spacing w:before="67" w:after="67"/>
              <w:jc w:val="center"/>
              <w:rPr>
                <w:rFonts w:cstheme="minorHAnsi"/>
                <w:iCs/>
                <w:color w:val="000000"/>
              </w:rPr>
            </w:pPr>
            <w:r w:rsidRPr="003075E9">
              <w:rPr>
                <w:rFonts w:cstheme="minorHAnsi"/>
                <w:iCs/>
                <w:color w:val="000000"/>
              </w:rPr>
              <w:t>Study Visit</w:t>
            </w:r>
          </w:p>
        </w:tc>
      </w:tr>
      <w:tr w:rsidR="006D2CFB" w:rsidRPr="003075E9" w:rsidTr="001E3672">
        <w:trPr>
          <w:cantSplit/>
          <w:tblHeader/>
          <w:jc w:val="center"/>
        </w:trPr>
        <w:tc>
          <w:tcPr>
            <w:tcW w:w="2695" w:type="dxa"/>
            <w:vMerge/>
            <w:shd w:val="clear" w:color="auto" w:fill="auto"/>
            <w:tcMar>
              <w:left w:w="67" w:type="dxa"/>
              <w:right w:w="67" w:type="dxa"/>
            </w:tcMar>
            <w:vAlign w:val="center"/>
          </w:tcPr>
          <w:p w:rsidR="006D2CFB" w:rsidRPr="003075E9" w:rsidRDefault="006D2CFB" w:rsidP="001E3672">
            <w:pPr>
              <w:keepNext/>
              <w:adjustRightInd w:val="0"/>
              <w:rPr>
                <w:rFonts w:cstheme="minorHAnsi"/>
              </w:rPr>
            </w:pPr>
          </w:p>
        </w:tc>
        <w:tc>
          <w:tcPr>
            <w:tcW w:w="1805" w:type="dxa"/>
            <w:gridSpan w:val="2"/>
            <w:shd w:val="clear" w:color="auto" w:fill="auto"/>
            <w:tcMar>
              <w:left w:w="67" w:type="dxa"/>
              <w:right w:w="67" w:type="dxa"/>
            </w:tcMar>
            <w:vAlign w:val="center"/>
          </w:tcPr>
          <w:p w:rsidR="006D2CFB" w:rsidRPr="003075E9" w:rsidRDefault="006D2CFB" w:rsidP="001E3672">
            <w:pPr>
              <w:keepNext/>
              <w:adjustRightInd w:val="0"/>
              <w:spacing w:before="67" w:after="67"/>
              <w:jc w:val="center"/>
              <w:rPr>
                <w:rFonts w:cstheme="minorHAnsi"/>
                <w:iCs/>
                <w:color w:val="000000"/>
              </w:rPr>
            </w:pPr>
            <w:r w:rsidRPr="003075E9">
              <w:rPr>
                <w:rFonts w:cstheme="minorHAnsi"/>
                <w:iCs/>
                <w:color w:val="000000"/>
              </w:rPr>
              <w:t>Baseline (n=4182)</w:t>
            </w:r>
          </w:p>
        </w:tc>
        <w:tc>
          <w:tcPr>
            <w:tcW w:w="1605" w:type="dxa"/>
            <w:gridSpan w:val="2"/>
            <w:shd w:val="clear" w:color="auto" w:fill="auto"/>
            <w:tcMar>
              <w:left w:w="67" w:type="dxa"/>
              <w:right w:w="67" w:type="dxa"/>
            </w:tcMar>
            <w:vAlign w:val="center"/>
          </w:tcPr>
          <w:p w:rsidR="006D2CFB" w:rsidRPr="003075E9" w:rsidRDefault="006D2CFB" w:rsidP="001E3672">
            <w:pPr>
              <w:keepNext/>
              <w:adjustRightInd w:val="0"/>
              <w:spacing w:before="67" w:after="67"/>
              <w:jc w:val="center"/>
              <w:rPr>
                <w:rFonts w:cstheme="minorHAnsi"/>
                <w:iCs/>
                <w:color w:val="000000"/>
              </w:rPr>
            </w:pPr>
            <w:r w:rsidRPr="003075E9">
              <w:rPr>
                <w:rFonts w:cstheme="minorHAnsi"/>
                <w:iCs/>
                <w:color w:val="000000"/>
              </w:rPr>
              <w:t>1st FU (n=2441) 6.0+/-1.2 years</w:t>
            </w:r>
          </w:p>
        </w:tc>
        <w:tc>
          <w:tcPr>
            <w:tcW w:w="1630" w:type="dxa"/>
            <w:gridSpan w:val="2"/>
            <w:shd w:val="clear" w:color="auto" w:fill="auto"/>
            <w:tcMar>
              <w:left w:w="67" w:type="dxa"/>
              <w:right w:w="67" w:type="dxa"/>
            </w:tcMar>
            <w:vAlign w:val="center"/>
          </w:tcPr>
          <w:p w:rsidR="006D2CFB" w:rsidRPr="003075E9" w:rsidRDefault="006D2CFB" w:rsidP="001E3672">
            <w:pPr>
              <w:keepNext/>
              <w:adjustRightInd w:val="0"/>
              <w:spacing w:before="67" w:after="67"/>
              <w:jc w:val="center"/>
              <w:rPr>
                <w:rFonts w:cstheme="minorHAnsi"/>
                <w:iCs/>
                <w:color w:val="000000"/>
              </w:rPr>
            </w:pPr>
            <w:r w:rsidRPr="003075E9">
              <w:rPr>
                <w:rFonts w:cstheme="minorHAnsi"/>
                <w:iCs/>
                <w:color w:val="000000"/>
              </w:rPr>
              <w:t>2nd FU (n=1448) 12.2+/-1.5 years</w:t>
            </w:r>
          </w:p>
        </w:tc>
        <w:tc>
          <w:tcPr>
            <w:tcW w:w="1710" w:type="dxa"/>
            <w:gridSpan w:val="2"/>
            <w:shd w:val="clear" w:color="auto" w:fill="auto"/>
            <w:tcMar>
              <w:left w:w="67" w:type="dxa"/>
              <w:right w:w="67" w:type="dxa"/>
            </w:tcMar>
            <w:vAlign w:val="center"/>
          </w:tcPr>
          <w:p w:rsidR="006D2CFB" w:rsidRPr="003075E9" w:rsidRDefault="006D2CFB" w:rsidP="001E3672">
            <w:pPr>
              <w:keepNext/>
              <w:adjustRightInd w:val="0"/>
              <w:spacing w:before="67" w:after="67"/>
              <w:jc w:val="center"/>
              <w:rPr>
                <w:rFonts w:cstheme="minorHAnsi"/>
                <w:iCs/>
                <w:color w:val="000000"/>
              </w:rPr>
            </w:pPr>
            <w:r w:rsidRPr="003075E9">
              <w:rPr>
                <w:rFonts w:cstheme="minorHAnsi"/>
                <w:iCs/>
                <w:color w:val="000000"/>
              </w:rPr>
              <w:t>3rd FU (n=556) 18.4+/-1.5 years</w:t>
            </w:r>
          </w:p>
        </w:tc>
      </w:tr>
      <w:tr w:rsidR="006D2CFB" w:rsidRPr="003075E9" w:rsidTr="001E3672">
        <w:trPr>
          <w:cantSplit/>
          <w:tblHeader/>
          <w:jc w:val="center"/>
        </w:trPr>
        <w:tc>
          <w:tcPr>
            <w:tcW w:w="2695" w:type="dxa"/>
            <w:vMerge/>
            <w:tcBorders>
              <w:bottom w:val="single" w:sz="4" w:space="0" w:color="auto"/>
            </w:tcBorders>
            <w:shd w:val="clear" w:color="auto" w:fill="auto"/>
            <w:tcMar>
              <w:left w:w="67" w:type="dxa"/>
              <w:right w:w="67" w:type="dxa"/>
            </w:tcMar>
            <w:vAlign w:val="center"/>
          </w:tcPr>
          <w:p w:rsidR="006D2CFB" w:rsidRPr="003075E9" w:rsidRDefault="006D2CFB" w:rsidP="001E3672">
            <w:pPr>
              <w:keepNext/>
              <w:adjustRightInd w:val="0"/>
              <w:rPr>
                <w:rFonts w:cstheme="minorHAnsi"/>
              </w:rPr>
            </w:pPr>
          </w:p>
        </w:tc>
        <w:tc>
          <w:tcPr>
            <w:tcW w:w="995" w:type="dxa"/>
            <w:tcBorders>
              <w:bottom w:val="single" w:sz="4" w:space="0" w:color="auto"/>
            </w:tcBorders>
            <w:shd w:val="clear" w:color="auto" w:fill="auto"/>
            <w:tcMar>
              <w:left w:w="67" w:type="dxa"/>
              <w:right w:w="67" w:type="dxa"/>
            </w:tcMar>
            <w:vAlign w:val="center"/>
          </w:tcPr>
          <w:p w:rsidR="006D2CFB" w:rsidRPr="003075E9" w:rsidRDefault="006D2CFB" w:rsidP="001E3672">
            <w:pPr>
              <w:keepNext/>
              <w:adjustRightInd w:val="0"/>
              <w:spacing w:before="67" w:after="67"/>
              <w:jc w:val="center"/>
              <w:rPr>
                <w:rFonts w:cstheme="minorHAnsi"/>
                <w:iCs/>
                <w:color w:val="000000"/>
              </w:rPr>
            </w:pPr>
            <w:r w:rsidRPr="003075E9">
              <w:rPr>
                <w:rFonts w:cstheme="minorHAnsi"/>
                <w:iCs/>
                <w:color w:val="000000"/>
              </w:rPr>
              <w:t>n</w:t>
            </w:r>
          </w:p>
        </w:tc>
        <w:tc>
          <w:tcPr>
            <w:tcW w:w="810" w:type="dxa"/>
            <w:tcBorders>
              <w:bottom w:val="single" w:sz="4" w:space="0" w:color="auto"/>
            </w:tcBorders>
            <w:shd w:val="clear" w:color="auto" w:fill="auto"/>
            <w:tcMar>
              <w:left w:w="67" w:type="dxa"/>
              <w:right w:w="67" w:type="dxa"/>
            </w:tcMar>
            <w:vAlign w:val="center"/>
          </w:tcPr>
          <w:p w:rsidR="006D2CFB" w:rsidRPr="003075E9" w:rsidRDefault="006D2CFB" w:rsidP="001E3672">
            <w:pPr>
              <w:keepNext/>
              <w:adjustRightInd w:val="0"/>
              <w:spacing w:before="67" w:after="67"/>
              <w:jc w:val="center"/>
              <w:rPr>
                <w:rFonts w:cstheme="minorHAnsi"/>
                <w:iCs/>
                <w:color w:val="000000"/>
              </w:rPr>
            </w:pPr>
            <w:r w:rsidRPr="003075E9">
              <w:rPr>
                <w:rFonts w:cstheme="minorHAnsi"/>
                <w:iCs/>
                <w:color w:val="000000"/>
              </w:rPr>
              <w:t>%</w:t>
            </w:r>
          </w:p>
        </w:tc>
        <w:tc>
          <w:tcPr>
            <w:tcW w:w="805" w:type="dxa"/>
            <w:tcBorders>
              <w:bottom w:val="single" w:sz="4" w:space="0" w:color="auto"/>
            </w:tcBorders>
            <w:shd w:val="clear" w:color="auto" w:fill="auto"/>
            <w:tcMar>
              <w:left w:w="67" w:type="dxa"/>
              <w:right w:w="67" w:type="dxa"/>
            </w:tcMar>
            <w:vAlign w:val="center"/>
          </w:tcPr>
          <w:p w:rsidR="006D2CFB" w:rsidRPr="003075E9" w:rsidRDefault="006D2CFB" w:rsidP="001E3672">
            <w:pPr>
              <w:keepNext/>
              <w:adjustRightInd w:val="0"/>
              <w:spacing w:before="67" w:after="67"/>
              <w:jc w:val="center"/>
              <w:rPr>
                <w:rFonts w:cstheme="minorHAnsi"/>
                <w:iCs/>
                <w:color w:val="000000"/>
              </w:rPr>
            </w:pPr>
            <w:r w:rsidRPr="003075E9">
              <w:rPr>
                <w:rFonts w:cstheme="minorHAnsi"/>
                <w:iCs/>
                <w:color w:val="000000"/>
              </w:rPr>
              <w:t>n</w:t>
            </w:r>
          </w:p>
        </w:tc>
        <w:tc>
          <w:tcPr>
            <w:tcW w:w="800" w:type="dxa"/>
            <w:tcBorders>
              <w:bottom w:val="single" w:sz="4" w:space="0" w:color="auto"/>
            </w:tcBorders>
            <w:shd w:val="clear" w:color="auto" w:fill="auto"/>
            <w:tcMar>
              <w:left w:w="67" w:type="dxa"/>
              <w:right w:w="67" w:type="dxa"/>
            </w:tcMar>
            <w:vAlign w:val="center"/>
          </w:tcPr>
          <w:p w:rsidR="006D2CFB" w:rsidRPr="003075E9" w:rsidRDefault="006D2CFB" w:rsidP="001E3672">
            <w:pPr>
              <w:keepNext/>
              <w:adjustRightInd w:val="0"/>
              <w:spacing w:before="67" w:after="67"/>
              <w:jc w:val="center"/>
              <w:rPr>
                <w:rFonts w:cstheme="minorHAnsi"/>
                <w:iCs/>
                <w:color w:val="000000"/>
              </w:rPr>
            </w:pPr>
            <w:r w:rsidRPr="003075E9">
              <w:rPr>
                <w:rFonts w:cstheme="minorHAnsi"/>
                <w:iCs/>
                <w:color w:val="000000"/>
              </w:rPr>
              <w:t>%</w:t>
            </w:r>
          </w:p>
        </w:tc>
        <w:tc>
          <w:tcPr>
            <w:tcW w:w="820" w:type="dxa"/>
            <w:tcBorders>
              <w:bottom w:val="single" w:sz="4" w:space="0" w:color="auto"/>
            </w:tcBorders>
            <w:shd w:val="clear" w:color="auto" w:fill="auto"/>
            <w:tcMar>
              <w:left w:w="67" w:type="dxa"/>
              <w:right w:w="67" w:type="dxa"/>
            </w:tcMar>
            <w:vAlign w:val="center"/>
          </w:tcPr>
          <w:p w:rsidR="006D2CFB" w:rsidRPr="003075E9" w:rsidRDefault="006D2CFB" w:rsidP="001E3672">
            <w:pPr>
              <w:keepNext/>
              <w:adjustRightInd w:val="0"/>
              <w:spacing w:before="67" w:after="67"/>
              <w:jc w:val="center"/>
              <w:rPr>
                <w:rFonts w:cstheme="minorHAnsi"/>
                <w:iCs/>
                <w:color w:val="000000"/>
              </w:rPr>
            </w:pPr>
            <w:r w:rsidRPr="003075E9">
              <w:rPr>
                <w:rFonts w:cstheme="minorHAnsi"/>
                <w:iCs/>
                <w:color w:val="000000"/>
              </w:rPr>
              <w:t>n</w:t>
            </w:r>
          </w:p>
        </w:tc>
        <w:tc>
          <w:tcPr>
            <w:tcW w:w="810" w:type="dxa"/>
            <w:tcBorders>
              <w:bottom w:val="single" w:sz="4" w:space="0" w:color="auto"/>
            </w:tcBorders>
            <w:shd w:val="clear" w:color="auto" w:fill="auto"/>
            <w:tcMar>
              <w:left w:w="67" w:type="dxa"/>
              <w:right w:w="67" w:type="dxa"/>
            </w:tcMar>
            <w:vAlign w:val="center"/>
          </w:tcPr>
          <w:p w:rsidR="006D2CFB" w:rsidRPr="003075E9" w:rsidRDefault="006D2CFB" w:rsidP="001E3672">
            <w:pPr>
              <w:keepNext/>
              <w:adjustRightInd w:val="0"/>
              <w:spacing w:before="67" w:after="67"/>
              <w:jc w:val="center"/>
              <w:rPr>
                <w:rFonts w:cstheme="minorHAnsi"/>
                <w:iCs/>
                <w:color w:val="000000"/>
              </w:rPr>
            </w:pPr>
            <w:r w:rsidRPr="003075E9">
              <w:rPr>
                <w:rFonts w:cstheme="minorHAnsi"/>
                <w:iCs/>
                <w:color w:val="000000"/>
              </w:rPr>
              <w:t>%</w:t>
            </w:r>
          </w:p>
        </w:tc>
        <w:tc>
          <w:tcPr>
            <w:tcW w:w="810" w:type="dxa"/>
            <w:tcBorders>
              <w:bottom w:val="single" w:sz="4" w:space="0" w:color="auto"/>
            </w:tcBorders>
            <w:shd w:val="clear" w:color="auto" w:fill="auto"/>
            <w:tcMar>
              <w:left w:w="67" w:type="dxa"/>
              <w:right w:w="67" w:type="dxa"/>
            </w:tcMar>
            <w:vAlign w:val="center"/>
          </w:tcPr>
          <w:p w:rsidR="006D2CFB" w:rsidRPr="003075E9" w:rsidRDefault="006D2CFB" w:rsidP="001E3672">
            <w:pPr>
              <w:keepNext/>
              <w:adjustRightInd w:val="0"/>
              <w:spacing w:before="67" w:after="67"/>
              <w:jc w:val="center"/>
              <w:rPr>
                <w:rFonts w:cstheme="minorHAnsi"/>
                <w:iCs/>
                <w:color w:val="000000"/>
              </w:rPr>
            </w:pPr>
            <w:r w:rsidRPr="003075E9">
              <w:rPr>
                <w:rFonts w:cstheme="minorHAnsi"/>
                <w:iCs/>
                <w:color w:val="000000"/>
              </w:rPr>
              <w:t>n</w:t>
            </w:r>
          </w:p>
        </w:tc>
        <w:tc>
          <w:tcPr>
            <w:tcW w:w="900" w:type="dxa"/>
            <w:tcBorders>
              <w:bottom w:val="single" w:sz="4" w:space="0" w:color="auto"/>
            </w:tcBorders>
            <w:shd w:val="clear" w:color="auto" w:fill="auto"/>
            <w:tcMar>
              <w:left w:w="67" w:type="dxa"/>
              <w:right w:w="67" w:type="dxa"/>
            </w:tcMar>
            <w:vAlign w:val="center"/>
          </w:tcPr>
          <w:p w:rsidR="006D2CFB" w:rsidRPr="003075E9" w:rsidRDefault="006D2CFB" w:rsidP="001E3672">
            <w:pPr>
              <w:keepNext/>
              <w:adjustRightInd w:val="0"/>
              <w:spacing w:before="67" w:after="67"/>
              <w:jc w:val="center"/>
              <w:rPr>
                <w:rFonts w:cstheme="minorHAnsi"/>
                <w:iCs/>
                <w:color w:val="000000"/>
              </w:rPr>
            </w:pPr>
            <w:r w:rsidRPr="003075E9">
              <w:rPr>
                <w:rFonts w:cstheme="minorHAnsi"/>
                <w:iCs/>
                <w:color w:val="000000"/>
              </w:rPr>
              <w:t>%</w:t>
            </w:r>
          </w:p>
        </w:tc>
      </w:tr>
      <w:tr w:rsidR="006D2CFB" w:rsidRPr="003075E9" w:rsidTr="001E3672">
        <w:trPr>
          <w:cantSplit/>
          <w:trHeight w:val="377"/>
          <w:jc w:val="center"/>
        </w:trPr>
        <w:tc>
          <w:tcPr>
            <w:tcW w:w="2695" w:type="dxa"/>
            <w:tcBorders>
              <w:left w:val="nil"/>
              <w:bottom w:val="nil"/>
              <w:right w:val="nil"/>
            </w:tcBorders>
            <w:shd w:val="clear" w:color="auto" w:fill="auto"/>
            <w:tcMar>
              <w:left w:w="67" w:type="dxa"/>
              <w:right w:w="67" w:type="dxa"/>
            </w:tcMar>
            <w:vAlign w:val="center"/>
          </w:tcPr>
          <w:p w:rsidR="006D2CFB" w:rsidRPr="003075E9" w:rsidRDefault="006D2CFB" w:rsidP="001E3672">
            <w:pPr>
              <w:autoSpaceDE w:val="0"/>
              <w:autoSpaceDN w:val="0"/>
              <w:adjustRightInd w:val="0"/>
              <w:spacing w:before="67" w:after="67" w:line="240" w:lineRule="auto"/>
              <w:rPr>
                <w:rFonts w:cstheme="minorHAnsi"/>
                <w:iCs/>
                <w:color w:val="000000"/>
              </w:rPr>
            </w:pPr>
            <w:r w:rsidRPr="003075E9">
              <w:rPr>
                <w:rFonts w:cstheme="minorHAnsi"/>
                <w:iCs/>
                <w:color w:val="000000"/>
              </w:rPr>
              <w:t>Education</w:t>
            </w:r>
          </w:p>
        </w:tc>
        <w:tc>
          <w:tcPr>
            <w:tcW w:w="995" w:type="dxa"/>
            <w:tcBorders>
              <w:left w:val="nil"/>
              <w:bottom w:val="nil"/>
              <w:right w:val="nil"/>
            </w:tcBorders>
            <w:shd w:val="clear" w:color="auto" w:fill="auto"/>
            <w:tcMar>
              <w:left w:w="67" w:type="dxa"/>
              <w:right w:w="67" w:type="dxa"/>
            </w:tcMar>
            <w:vAlign w:val="center"/>
          </w:tcPr>
          <w:p w:rsidR="006D2CFB" w:rsidRPr="003075E9" w:rsidRDefault="006D2CFB" w:rsidP="001E3672">
            <w:pPr>
              <w:keepNext/>
              <w:adjustRightInd w:val="0"/>
              <w:spacing w:before="67" w:after="67"/>
              <w:jc w:val="center"/>
              <w:rPr>
                <w:rFonts w:cstheme="minorHAnsi"/>
                <w:color w:val="000000"/>
              </w:rPr>
            </w:pPr>
            <w:r w:rsidRPr="003075E9">
              <w:rPr>
                <w:rFonts w:cstheme="minorHAnsi"/>
                <w:color w:val="000000"/>
              </w:rPr>
              <w:t>15</w:t>
            </w:r>
          </w:p>
        </w:tc>
        <w:tc>
          <w:tcPr>
            <w:tcW w:w="810" w:type="dxa"/>
            <w:tcBorders>
              <w:left w:val="nil"/>
              <w:bottom w:val="nil"/>
              <w:right w:val="nil"/>
            </w:tcBorders>
            <w:shd w:val="clear" w:color="auto" w:fill="auto"/>
            <w:tcMar>
              <w:left w:w="67" w:type="dxa"/>
              <w:right w:w="67" w:type="dxa"/>
            </w:tcMar>
            <w:vAlign w:val="center"/>
          </w:tcPr>
          <w:p w:rsidR="006D2CFB" w:rsidRPr="003075E9" w:rsidRDefault="006D2CFB" w:rsidP="001E3672">
            <w:pPr>
              <w:keepNext/>
              <w:adjustRightInd w:val="0"/>
              <w:spacing w:before="67" w:after="67"/>
              <w:jc w:val="center"/>
              <w:rPr>
                <w:rFonts w:cstheme="minorHAnsi"/>
                <w:color w:val="000000"/>
              </w:rPr>
            </w:pPr>
            <w:r w:rsidRPr="003075E9">
              <w:rPr>
                <w:rFonts w:cstheme="minorHAnsi"/>
                <w:color w:val="000000"/>
              </w:rPr>
              <w:t>0.4</w:t>
            </w:r>
          </w:p>
        </w:tc>
        <w:tc>
          <w:tcPr>
            <w:tcW w:w="805" w:type="dxa"/>
            <w:tcBorders>
              <w:left w:val="nil"/>
              <w:bottom w:val="nil"/>
              <w:right w:val="nil"/>
            </w:tcBorders>
            <w:shd w:val="clear" w:color="auto" w:fill="auto"/>
            <w:tcMar>
              <w:left w:w="67" w:type="dxa"/>
              <w:right w:w="67" w:type="dxa"/>
            </w:tcMar>
            <w:vAlign w:val="center"/>
          </w:tcPr>
          <w:p w:rsidR="006D2CFB" w:rsidRPr="003075E9" w:rsidRDefault="006D2CFB" w:rsidP="001E3672">
            <w:pPr>
              <w:keepNext/>
              <w:adjustRightInd w:val="0"/>
              <w:spacing w:before="67" w:after="67"/>
              <w:jc w:val="center"/>
              <w:rPr>
                <w:rFonts w:cstheme="minorHAnsi"/>
                <w:color w:val="000000"/>
              </w:rPr>
            </w:pPr>
            <w:r w:rsidRPr="003075E9">
              <w:rPr>
                <w:rFonts w:cstheme="minorHAnsi"/>
                <w:color w:val="000000"/>
              </w:rPr>
              <w:t>6</w:t>
            </w:r>
          </w:p>
        </w:tc>
        <w:tc>
          <w:tcPr>
            <w:tcW w:w="800" w:type="dxa"/>
            <w:tcBorders>
              <w:left w:val="nil"/>
              <w:bottom w:val="nil"/>
              <w:right w:val="nil"/>
            </w:tcBorders>
            <w:shd w:val="clear" w:color="auto" w:fill="auto"/>
            <w:tcMar>
              <w:left w:w="67" w:type="dxa"/>
              <w:right w:w="67" w:type="dxa"/>
            </w:tcMar>
            <w:vAlign w:val="center"/>
          </w:tcPr>
          <w:p w:rsidR="006D2CFB" w:rsidRPr="003075E9" w:rsidRDefault="006D2CFB" w:rsidP="001E3672">
            <w:pPr>
              <w:keepNext/>
              <w:adjustRightInd w:val="0"/>
              <w:spacing w:before="67" w:after="67"/>
              <w:jc w:val="center"/>
              <w:rPr>
                <w:rFonts w:cstheme="minorHAnsi"/>
                <w:color w:val="000000"/>
              </w:rPr>
            </w:pPr>
            <w:r w:rsidRPr="003075E9">
              <w:rPr>
                <w:rFonts w:cstheme="minorHAnsi"/>
                <w:color w:val="000000"/>
              </w:rPr>
              <w:t>0.2</w:t>
            </w:r>
          </w:p>
        </w:tc>
        <w:tc>
          <w:tcPr>
            <w:tcW w:w="820" w:type="dxa"/>
            <w:tcBorders>
              <w:left w:val="nil"/>
              <w:bottom w:val="nil"/>
              <w:right w:val="nil"/>
            </w:tcBorders>
            <w:shd w:val="clear" w:color="auto" w:fill="auto"/>
            <w:tcMar>
              <w:left w:w="67" w:type="dxa"/>
              <w:right w:w="67" w:type="dxa"/>
            </w:tcMar>
            <w:vAlign w:val="center"/>
          </w:tcPr>
          <w:p w:rsidR="006D2CFB" w:rsidRPr="003075E9" w:rsidRDefault="006D2CFB" w:rsidP="001E3672">
            <w:pPr>
              <w:keepNext/>
              <w:adjustRightInd w:val="0"/>
              <w:spacing w:before="67" w:after="67"/>
              <w:jc w:val="center"/>
              <w:rPr>
                <w:rFonts w:cstheme="minorHAnsi"/>
                <w:color w:val="000000"/>
              </w:rPr>
            </w:pPr>
            <w:r w:rsidRPr="003075E9">
              <w:rPr>
                <w:rFonts w:cstheme="minorHAnsi"/>
                <w:color w:val="000000"/>
              </w:rPr>
              <w:t>4</w:t>
            </w:r>
          </w:p>
        </w:tc>
        <w:tc>
          <w:tcPr>
            <w:tcW w:w="810" w:type="dxa"/>
            <w:tcBorders>
              <w:left w:val="nil"/>
              <w:bottom w:val="nil"/>
              <w:right w:val="nil"/>
            </w:tcBorders>
            <w:shd w:val="clear" w:color="auto" w:fill="auto"/>
            <w:tcMar>
              <w:left w:w="67" w:type="dxa"/>
              <w:right w:w="67" w:type="dxa"/>
            </w:tcMar>
            <w:vAlign w:val="center"/>
          </w:tcPr>
          <w:p w:rsidR="006D2CFB" w:rsidRPr="003075E9" w:rsidRDefault="006D2CFB" w:rsidP="001E3672">
            <w:pPr>
              <w:keepNext/>
              <w:adjustRightInd w:val="0"/>
              <w:spacing w:before="67" w:after="67"/>
              <w:jc w:val="center"/>
              <w:rPr>
                <w:rFonts w:cstheme="minorHAnsi"/>
                <w:color w:val="000000"/>
              </w:rPr>
            </w:pPr>
            <w:r w:rsidRPr="003075E9">
              <w:rPr>
                <w:rFonts w:cstheme="minorHAnsi"/>
                <w:color w:val="000000"/>
              </w:rPr>
              <w:t>0.3</w:t>
            </w:r>
          </w:p>
        </w:tc>
        <w:tc>
          <w:tcPr>
            <w:tcW w:w="810" w:type="dxa"/>
            <w:tcBorders>
              <w:left w:val="nil"/>
              <w:bottom w:val="nil"/>
              <w:right w:val="nil"/>
            </w:tcBorders>
            <w:shd w:val="clear" w:color="auto" w:fill="auto"/>
            <w:tcMar>
              <w:left w:w="67" w:type="dxa"/>
              <w:right w:w="67" w:type="dxa"/>
            </w:tcMar>
          </w:tcPr>
          <w:p w:rsidR="006D2CFB" w:rsidRDefault="006D2CFB" w:rsidP="001E3672">
            <w:pPr>
              <w:jc w:val="center"/>
            </w:pPr>
            <w:r w:rsidRPr="00F06EAD">
              <w:rPr>
                <w:rFonts w:cstheme="minorHAnsi"/>
                <w:color w:val="000000"/>
              </w:rPr>
              <w:t>-</w:t>
            </w:r>
          </w:p>
        </w:tc>
        <w:tc>
          <w:tcPr>
            <w:tcW w:w="900" w:type="dxa"/>
            <w:tcBorders>
              <w:left w:val="nil"/>
              <w:bottom w:val="nil"/>
              <w:right w:val="nil"/>
            </w:tcBorders>
            <w:shd w:val="clear" w:color="auto" w:fill="auto"/>
            <w:tcMar>
              <w:left w:w="67" w:type="dxa"/>
              <w:right w:w="67" w:type="dxa"/>
            </w:tcMar>
          </w:tcPr>
          <w:p w:rsidR="006D2CFB" w:rsidRDefault="006D2CFB" w:rsidP="001E3672">
            <w:pPr>
              <w:jc w:val="center"/>
            </w:pPr>
            <w:r w:rsidRPr="00F06EAD">
              <w:rPr>
                <w:rFonts w:cstheme="minorHAnsi"/>
                <w:color w:val="000000"/>
              </w:rPr>
              <w:t>-</w:t>
            </w:r>
          </w:p>
        </w:tc>
      </w:tr>
      <w:tr w:rsidR="006D2CFB" w:rsidRPr="003075E9" w:rsidTr="001E3672">
        <w:trPr>
          <w:cantSplit/>
          <w:jc w:val="center"/>
        </w:trPr>
        <w:tc>
          <w:tcPr>
            <w:tcW w:w="2695" w:type="dxa"/>
            <w:tcBorders>
              <w:top w:val="nil"/>
              <w:left w:val="nil"/>
              <w:bottom w:val="nil"/>
              <w:right w:val="nil"/>
            </w:tcBorders>
            <w:shd w:val="clear" w:color="auto" w:fill="auto"/>
            <w:tcMar>
              <w:left w:w="67" w:type="dxa"/>
              <w:right w:w="67" w:type="dxa"/>
            </w:tcMar>
            <w:vAlign w:val="center"/>
          </w:tcPr>
          <w:p w:rsidR="006D2CFB" w:rsidRPr="003075E9" w:rsidRDefault="006D2CFB" w:rsidP="001E3672">
            <w:pPr>
              <w:adjustRightInd w:val="0"/>
              <w:spacing w:before="67" w:after="67"/>
              <w:rPr>
                <w:rFonts w:cstheme="minorHAnsi"/>
                <w:iCs/>
                <w:color w:val="000000"/>
              </w:rPr>
            </w:pPr>
            <w:r w:rsidRPr="003075E9">
              <w:rPr>
                <w:rFonts w:cstheme="minorHAnsi"/>
                <w:iCs/>
                <w:color w:val="000000"/>
              </w:rPr>
              <w:t>BMI</w:t>
            </w:r>
          </w:p>
        </w:tc>
        <w:tc>
          <w:tcPr>
            <w:tcW w:w="995" w:type="dxa"/>
            <w:tcBorders>
              <w:top w:val="nil"/>
              <w:left w:val="nil"/>
              <w:bottom w:val="nil"/>
              <w:right w:val="nil"/>
            </w:tcBorders>
            <w:shd w:val="clear" w:color="auto" w:fill="auto"/>
            <w:tcMar>
              <w:left w:w="67" w:type="dxa"/>
              <w:right w:w="67" w:type="dxa"/>
            </w:tcMar>
            <w:vAlign w:val="center"/>
          </w:tcPr>
          <w:p w:rsidR="006D2CFB" w:rsidRPr="003075E9" w:rsidRDefault="006D2CFB" w:rsidP="001E3672">
            <w:pPr>
              <w:keepNext/>
              <w:adjustRightInd w:val="0"/>
              <w:spacing w:before="67" w:after="67"/>
              <w:jc w:val="center"/>
              <w:rPr>
                <w:rFonts w:cstheme="minorHAnsi"/>
                <w:color w:val="000000"/>
              </w:rPr>
            </w:pPr>
            <w:r w:rsidRPr="003075E9">
              <w:rPr>
                <w:rFonts w:cstheme="minorHAnsi"/>
                <w:color w:val="000000"/>
              </w:rPr>
              <w:t>11</w:t>
            </w:r>
          </w:p>
        </w:tc>
        <w:tc>
          <w:tcPr>
            <w:tcW w:w="810" w:type="dxa"/>
            <w:tcBorders>
              <w:top w:val="nil"/>
              <w:left w:val="nil"/>
              <w:bottom w:val="nil"/>
              <w:right w:val="nil"/>
            </w:tcBorders>
            <w:shd w:val="clear" w:color="auto" w:fill="auto"/>
            <w:tcMar>
              <w:left w:w="67" w:type="dxa"/>
              <w:right w:w="67" w:type="dxa"/>
            </w:tcMar>
            <w:vAlign w:val="center"/>
          </w:tcPr>
          <w:p w:rsidR="006D2CFB" w:rsidRPr="003075E9" w:rsidRDefault="006D2CFB" w:rsidP="001E3672">
            <w:pPr>
              <w:keepNext/>
              <w:adjustRightInd w:val="0"/>
              <w:spacing w:before="67" w:after="67"/>
              <w:jc w:val="center"/>
              <w:rPr>
                <w:rFonts w:cstheme="minorHAnsi"/>
                <w:color w:val="000000"/>
              </w:rPr>
            </w:pPr>
            <w:r w:rsidRPr="003075E9">
              <w:rPr>
                <w:rFonts w:cstheme="minorHAnsi"/>
                <w:color w:val="000000"/>
              </w:rPr>
              <w:t>0.3</w:t>
            </w:r>
          </w:p>
        </w:tc>
        <w:tc>
          <w:tcPr>
            <w:tcW w:w="805" w:type="dxa"/>
            <w:tcBorders>
              <w:top w:val="nil"/>
              <w:left w:val="nil"/>
              <w:bottom w:val="nil"/>
              <w:right w:val="nil"/>
            </w:tcBorders>
            <w:shd w:val="clear" w:color="auto" w:fill="auto"/>
            <w:tcMar>
              <w:left w:w="67" w:type="dxa"/>
              <w:right w:w="67" w:type="dxa"/>
            </w:tcMar>
            <w:vAlign w:val="center"/>
          </w:tcPr>
          <w:p w:rsidR="006D2CFB" w:rsidRPr="003075E9" w:rsidRDefault="006D2CFB" w:rsidP="001E3672">
            <w:pPr>
              <w:keepNext/>
              <w:adjustRightInd w:val="0"/>
              <w:spacing w:before="67" w:after="67"/>
              <w:jc w:val="center"/>
              <w:rPr>
                <w:rFonts w:cstheme="minorHAnsi"/>
                <w:color w:val="000000"/>
              </w:rPr>
            </w:pPr>
            <w:r w:rsidRPr="003075E9">
              <w:rPr>
                <w:rFonts w:cstheme="minorHAnsi"/>
                <w:color w:val="000000"/>
              </w:rPr>
              <w:t>4</w:t>
            </w:r>
          </w:p>
        </w:tc>
        <w:tc>
          <w:tcPr>
            <w:tcW w:w="800" w:type="dxa"/>
            <w:tcBorders>
              <w:top w:val="nil"/>
              <w:left w:val="nil"/>
              <w:bottom w:val="nil"/>
              <w:right w:val="nil"/>
            </w:tcBorders>
            <w:shd w:val="clear" w:color="auto" w:fill="auto"/>
            <w:tcMar>
              <w:left w:w="67" w:type="dxa"/>
              <w:right w:w="67" w:type="dxa"/>
            </w:tcMar>
            <w:vAlign w:val="center"/>
          </w:tcPr>
          <w:p w:rsidR="006D2CFB" w:rsidRPr="003075E9" w:rsidRDefault="006D2CFB" w:rsidP="001E3672">
            <w:pPr>
              <w:keepNext/>
              <w:adjustRightInd w:val="0"/>
              <w:spacing w:before="67" w:after="67"/>
              <w:jc w:val="center"/>
              <w:rPr>
                <w:rFonts w:cstheme="minorHAnsi"/>
                <w:color w:val="000000"/>
              </w:rPr>
            </w:pPr>
            <w:r w:rsidRPr="003075E9">
              <w:rPr>
                <w:rFonts w:cstheme="minorHAnsi"/>
                <w:color w:val="000000"/>
              </w:rPr>
              <w:t>0.2</w:t>
            </w:r>
          </w:p>
        </w:tc>
        <w:tc>
          <w:tcPr>
            <w:tcW w:w="820" w:type="dxa"/>
            <w:tcBorders>
              <w:top w:val="nil"/>
              <w:left w:val="nil"/>
              <w:bottom w:val="nil"/>
              <w:right w:val="nil"/>
            </w:tcBorders>
            <w:shd w:val="clear" w:color="auto" w:fill="auto"/>
            <w:tcMar>
              <w:left w:w="67" w:type="dxa"/>
              <w:right w:w="67" w:type="dxa"/>
            </w:tcMar>
            <w:vAlign w:val="center"/>
          </w:tcPr>
          <w:p w:rsidR="006D2CFB" w:rsidRPr="003075E9" w:rsidRDefault="006D2CFB" w:rsidP="001E3672">
            <w:pPr>
              <w:keepNext/>
              <w:adjustRightInd w:val="0"/>
              <w:spacing w:before="67" w:after="67"/>
              <w:jc w:val="center"/>
              <w:rPr>
                <w:rFonts w:cstheme="minorHAnsi"/>
                <w:color w:val="000000"/>
              </w:rPr>
            </w:pPr>
            <w:r w:rsidRPr="003075E9">
              <w:rPr>
                <w:rFonts w:cstheme="minorHAnsi"/>
                <w:color w:val="000000"/>
              </w:rPr>
              <w:t>2</w:t>
            </w:r>
          </w:p>
        </w:tc>
        <w:tc>
          <w:tcPr>
            <w:tcW w:w="810" w:type="dxa"/>
            <w:tcBorders>
              <w:top w:val="nil"/>
              <w:left w:val="nil"/>
              <w:bottom w:val="nil"/>
              <w:right w:val="nil"/>
            </w:tcBorders>
            <w:shd w:val="clear" w:color="auto" w:fill="auto"/>
            <w:tcMar>
              <w:left w:w="67" w:type="dxa"/>
              <w:right w:w="67" w:type="dxa"/>
            </w:tcMar>
            <w:vAlign w:val="center"/>
          </w:tcPr>
          <w:p w:rsidR="006D2CFB" w:rsidRPr="003075E9" w:rsidRDefault="006D2CFB" w:rsidP="001E3672">
            <w:pPr>
              <w:keepNext/>
              <w:adjustRightInd w:val="0"/>
              <w:spacing w:before="67" w:after="67"/>
              <w:jc w:val="center"/>
              <w:rPr>
                <w:rFonts w:cstheme="minorHAnsi"/>
                <w:color w:val="000000"/>
              </w:rPr>
            </w:pPr>
            <w:r w:rsidRPr="003075E9">
              <w:rPr>
                <w:rFonts w:cstheme="minorHAnsi"/>
                <w:color w:val="000000"/>
              </w:rPr>
              <w:t>0.1</w:t>
            </w:r>
          </w:p>
        </w:tc>
        <w:tc>
          <w:tcPr>
            <w:tcW w:w="810" w:type="dxa"/>
            <w:tcBorders>
              <w:top w:val="nil"/>
              <w:left w:val="nil"/>
              <w:bottom w:val="nil"/>
              <w:right w:val="nil"/>
            </w:tcBorders>
            <w:shd w:val="clear" w:color="auto" w:fill="auto"/>
            <w:tcMar>
              <w:left w:w="67" w:type="dxa"/>
              <w:right w:w="67" w:type="dxa"/>
            </w:tcMar>
          </w:tcPr>
          <w:p w:rsidR="006D2CFB" w:rsidRDefault="006D2CFB" w:rsidP="001E3672">
            <w:pPr>
              <w:jc w:val="center"/>
            </w:pPr>
            <w:r w:rsidRPr="00F06EAD">
              <w:rPr>
                <w:rFonts w:cstheme="minorHAnsi"/>
                <w:color w:val="000000"/>
              </w:rPr>
              <w:t>-</w:t>
            </w:r>
          </w:p>
        </w:tc>
        <w:tc>
          <w:tcPr>
            <w:tcW w:w="900" w:type="dxa"/>
            <w:tcBorders>
              <w:top w:val="nil"/>
              <w:left w:val="nil"/>
              <w:bottom w:val="nil"/>
              <w:right w:val="nil"/>
            </w:tcBorders>
            <w:shd w:val="clear" w:color="auto" w:fill="auto"/>
            <w:tcMar>
              <w:left w:w="67" w:type="dxa"/>
              <w:right w:w="67" w:type="dxa"/>
            </w:tcMar>
          </w:tcPr>
          <w:p w:rsidR="006D2CFB" w:rsidRDefault="006D2CFB" w:rsidP="001E3672">
            <w:pPr>
              <w:jc w:val="center"/>
            </w:pPr>
            <w:r w:rsidRPr="00F06EAD">
              <w:rPr>
                <w:rFonts w:cstheme="minorHAnsi"/>
                <w:color w:val="000000"/>
              </w:rPr>
              <w:t>-</w:t>
            </w:r>
          </w:p>
        </w:tc>
      </w:tr>
      <w:tr w:rsidR="006D2CFB" w:rsidRPr="003075E9" w:rsidTr="001E3672">
        <w:trPr>
          <w:cantSplit/>
          <w:jc w:val="center"/>
        </w:trPr>
        <w:tc>
          <w:tcPr>
            <w:tcW w:w="2695" w:type="dxa"/>
            <w:tcBorders>
              <w:top w:val="nil"/>
              <w:left w:val="nil"/>
              <w:bottom w:val="nil"/>
              <w:right w:val="nil"/>
            </w:tcBorders>
            <w:shd w:val="clear" w:color="auto" w:fill="auto"/>
            <w:tcMar>
              <w:left w:w="67" w:type="dxa"/>
              <w:right w:w="67" w:type="dxa"/>
            </w:tcMar>
            <w:vAlign w:val="center"/>
          </w:tcPr>
          <w:p w:rsidR="006D2CFB" w:rsidRPr="003075E9" w:rsidRDefault="006D2CFB" w:rsidP="001E3672">
            <w:pPr>
              <w:adjustRightInd w:val="0"/>
              <w:spacing w:before="67" w:after="67"/>
              <w:rPr>
                <w:rFonts w:cstheme="minorHAnsi"/>
                <w:iCs/>
                <w:color w:val="000000"/>
              </w:rPr>
            </w:pPr>
            <w:r w:rsidRPr="003075E9">
              <w:rPr>
                <w:rFonts w:cstheme="minorHAnsi"/>
                <w:iCs/>
                <w:color w:val="000000"/>
              </w:rPr>
              <w:t>Physical activity</w:t>
            </w:r>
          </w:p>
        </w:tc>
        <w:tc>
          <w:tcPr>
            <w:tcW w:w="995" w:type="dxa"/>
            <w:tcBorders>
              <w:top w:val="nil"/>
              <w:left w:val="nil"/>
              <w:bottom w:val="nil"/>
              <w:right w:val="nil"/>
            </w:tcBorders>
            <w:shd w:val="clear" w:color="auto" w:fill="auto"/>
            <w:tcMar>
              <w:left w:w="67" w:type="dxa"/>
              <w:right w:w="67" w:type="dxa"/>
            </w:tcMar>
            <w:vAlign w:val="center"/>
          </w:tcPr>
          <w:p w:rsidR="006D2CFB" w:rsidRPr="003075E9" w:rsidRDefault="006D2CFB" w:rsidP="001E3672">
            <w:pPr>
              <w:keepNext/>
              <w:adjustRightInd w:val="0"/>
              <w:spacing w:before="67" w:after="67"/>
              <w:jc w:val="center"/>
              <w:rPr>
                <w:rFonts w:cstheme="minorHAnsi"/>
                <w:color w:val="000000"/>
              </w:rPr>
            </w:pPr>
            <w:r w:rsidRPr="003075E9">
              <w:rPr>
                <w:rFonts w:cstheme="minorHAnsi"/>
                <w:color w:val="000000"/>
              </w:rPr>
              <w:t>125</w:t>
            </w:r>
          </w:p>
        </w:tc>
        <w:tc>
          <w:tcPr>
            <w:tcW w:w="810" w:type="dxa"/>
            <w:tcBorders>
              <w:top w:val="nil"/>
              <w:left w:val="nil"/>
              <w:bottom w:val="nil"/>
              <w:right w:val="nil"/>
            </w:tcBorders>
            <w:shd w:val="clear" w:color="auto" w:fill="auto"/>
            <w:tcMar>
              <w:left w:w="67" w:type="dxa"/>
              <w:right w:w="67" w:type="dxa"/>
            </w:tcMar>
            <w:vAlign w:val="center"/>
          </w:tcPr>
          <w:p w:rsidR="006D2CFB" w:rsidRPr="003075E9" w:rsidRDefault="006D2CFB" w:rsidP="001E3672">
            <w:pPr>
              <w:keepNext/>
              <w:adjustRightInd w:val="0"/>
              <w:spacing w:before="67" w:after="67"/>
              <w:jc w:val="center"/>
              <w:rPr>
                <w:rFonts w:cstheme="minorHAnsi"/>
                <w:color w:val="000000"/>
              </w:rPr>
            </w:pPr>
            <w:r w:rsidRPr="003075E9">
              <w:rPr>
                <w:rFonts w:cstheme="minorHAnsi"/>
                <w:color w:val="000000"/>
              </w:rPr>
              <w:t>3.0</w:t>
            </w:r>
          </w:p>
        </w:tc>
        <w:tc>
          <w:tcPr>
            <w:tcW w:w="805" w:type="dxa"/>
            <w:tcBorders>
              <w:top w:val="nil"/>
              <w:left w:val="nil"/>
              <w:bottom w:val="nil"/>
              <w:right w:val="nil"/>
            </w:tcBorders>
            <w:shd w:val="clear" w:color="auto" w:fill="auto"/>
            <w:tcMar>
              <w:left w:w="67" w:type="dxa"/>
              <w:right w:w="67" w:type="dxa"/>
            </w:tcMar>
            <w:vAlign w:val="center"/>
          </w:tcPr>
          <w:p w:rsidR="006D2CFB" w:rsidRPr="003075E9" w:rsidRDefault="006D2CFB" w:rsidP="001E3672">
            <w:pPr>
              <w:keepNext/>
              <w:adjustRightInd w:val="0"/>
              <w:spacing w:before="67" w:after="67"/>
              <w:jc w:val="center"/>
              <w:rPr>
                <w:rFonts w:cstheme="minorHAnsi"/>
                <w:color w:val="000000"/>
              </w:rPr>
            </w:pPr>
            <w:r w:rsidRPr="003075E9">
              <w:rPr>
                <w:rFonts w:cstheme="minorHAnsi"/>
                <w:color w:val="000000"/>
              </w:rPr>
              <w:t>5</w:t>
            </w:r>
          </w:p>
        </w:tc>
        <w:tc>
          <w:tcPr>
            <w:tcW w:w="800" w:type="dxa"/>
            <w:tcBorders>
              <w:top w:val="nil"/>
              <w:left w:val="nil"/>
              <w:bottom w:val="nil"/>
              <w:right w:val="nil"/>
            </w:tcBorders>
            <w:shd w:val="clear" w:color="auto" w:fill="auto"/>
            <w:tcMar>
              <w:left w:w="67" w:type="dxa"/>
              <w:right w:w="67" w:type="dxa"/>
            </w:tcMar>
            <w:vAlign w:val="center"/>
          </w:tcPr>
          <w:p w:rsidR="006D2CFB" w:rsidRPr="003075E9" w:rsidRDefault="006D2CFB" w:rsidP="001E3672">
            <w:pPr>
              <w:keepNext/>
              <w:adjustRightInd w:val="0"/>
              <w:spacing w:before="67" w:after="67"/>
              <w:jc w:val="center"/>
              <w:rPr>
                <w:rFonts w:cstheme="minorHAnsi"/>
                <w:color w:val="000000"/>
              </w:rPr>
            </w:pPr>
            <w:r w:rsidRPr="003075E9">
              <w:rPr>
                <w:rFonts w:cstheme="minorHAnsi"/>
                <w:color w:val="000000"/>
              </w:rPr>
              <w:t>0.2</w:t>
            </w:r>
          </w:p>
        </w:tc>
        <w:tc>
          <w:tcPr>
            <w:tcW w:w="820" w:type="dxa"/>
            <w:tcBorders>
              <w:top w:val="nil"/>
              <w:left w:val="nil"/>
              <w:bottom w:val="nil"/>
              <w:right w:val="nil"/>
            </w:tcBorders>
            <w:shd w:val="clear" w:color="auto" w:fill="auto"/>
            <w:tcMar>
              <w:left w:w="67" w:type="dxa"/>
              <w:right w:w="67" w:type="dxa"/>
            </w:tcMar>
          </w:tcPr>
          <w:p w:rsidR="006D2CFB" w:rsidRDefault="006D2CFB" w:rsidP="001E3672">
            <w:pPr>
              <w:jc w:val="center"/>
            </w:pPr>
            <w:r w:rsidRPr="006B5F05">
              <w:rPr>
                <w:rFonts w:cstheme="minorHAnsi"/>
                <w:color w:val="000000"/>
              </w:rPr>
              <w:t>-</w:t>
            </w:r>
          </w:p>
        </w:tc>
        <w:tc>
          <w:tcPr>
            <w:tcW w:w="810" w:type="dxa"/>
            <w:tcBorders>
              <w:top w:val="nil"/>
              <w:left w:val="nil"/>
              <w:bottom w:val="nil"/>
              <w:right w:val="nil"/>
            </w:tcBorders>
            <w:shd w:val="clear" w:color="auto" w:fill="auto"/>
            <w:tcMar>
              <w:left w:w="67" w:type="dxa"/>
              <w:right w:w="67" w:type="dxa"/>
            </w:tcMar>
          </w:tcPr>
          <w:p w:rsidR="006D2CFB" w:rsidRDefault="006D2CFB" w:rsidP="001E3672">
            <w:pPr>
              <w:jc w:val="center"/>
            </w:pPr>
            <w:r w:rsidRPr="006B5F05">
              <w:rPr>
                <w:rFonts w:cstheme="minorHAnsi"/>
                <w:color w:val="000000"/>
              </w:rPr>
              <w:t>-</w:t>
            </w:r>
          </w:p>
        </w:tc>
        <w:tc>
          <w:tcPr>
            <w:tcW w:w="810" w:type="dxa"/>
            <w:tcBorders>
              <w:top w:val="nil"/>
              <w:left w:val="nil"/>
              <w:bottom w:val="nil"/>
              <w:right w:val="nil"/>
            </w:tcBorders>
            <w:shd w:val="clear" w:color="auto" w:fill="auto"/>
            <w:tcMar>
              <w:left w:w="67" w:type="dxa"/>
              <w:right w:w="67" w:type="dxa"/>
            </w:tcMar>
          </w:tcPr>
          <w:p w:rsidR="006D2CFB" w:rsidRDefault="006D2CFB" w:rsidP="001E3672">
            <w:pPr>
              <w:jc w:val="center"/>
            </w:pPr>
            <w:r w:rsidRPr="00F06EAD">
              <w:rPr>
                <w:rFonts w:cstheme="minorHAnsi"/>
                <w:color w:val="000000"/>
              </w:rPr>
              <w:t>-</w:t>
            </w:r>
          </w:p>
        </w:tc>
        <w:tc>
          <w:tcPr>
            <w:tcW w:w="900" w:type="dxa"/>
            <w:tcBorders>
              <w:top w:val="nil"/>
              <w:left w:val="nil"/>
              <w:bottom w:val="nil"/>
              <w:right w:val="nil"/>
            </w:tcBorders>
            <w:shd w:val="clear" w:color="auto" w:fill="auto"/>
            <w:tcMar>
              <w:left w:w="67" w:type="dxa"/>
              <w:right w:w="67" w:type="dxa"/>
            </w:tcMar>
          </w:tcPr>
          <w:p w:rsidR="006D2CFB" w:rsidRDefault="006D2CFB" w:rsidP="001E3672">
            <w:pPr>
              <w:jc w:val="center"/>
            </w:pPr>
            <w:r w:rsidRPr="00F06EAD">
              <w:rPr>
                <w:rFonts w:cstheme="minorHAnsi"/>
                <w:color w:val="000000"/>
              </w:rPr>
              <w:t>-</w:t>
            </w:r>
          </w:p>
        </w:tc>
      </w:tr>
      <w:tr w:rsidR="006D2CFB" w:rsidRPr="003075E9" w:rsidTr="001E3672">
        <w:trPr>
          <w:cantSplit/>
          <w:jc w:val="center"/>
        </w:trPr>
        <w:tc>
          <w:tcPr>
            <w:tcW w:w="2695" w:type="dxa"/>
            <w:tcBorders>
              <w:top w:val="nil"/>
              <w:left w:val="nil"/>
              <w:bottom w:val="nil"/>
              <w:right w:val="nil"/>
            </w:tcBorders>
            <w:shd w:val="clear" w:color="auto" w:fill="auto"/>
            <w:tcMar>
              <w:left w:w="67" w:type="dxa"/>
              <w:right w:w="67" w:type="dxa"/>
            </w:tcMar>
            <w:vAlign w:val="center"/>
          </w:tcPr>
          <w:p w:rsidR="006D2CFB" w:rsidRPr="003075E9" w:rsidRDefault="006D2CFB" w:rsidP="001E3672">
            <w:pPr>
              <w:adjustRightInd w:val="0"/>
              <w:spacing w:before="67" w:after="67"/>
              <w:rPr>
                <w:rFonts w:cstheme="minorHAnsi"/>
                <w:iCs/>
                <w:color w:val="000000"/>
              </w:rPr>
            </w:pPr>
            <w:r w:rsidRPr="003075E9">
              <w:rPr>
                <w:rFonts w:cstheme="minorHAnsi"/>
                <w:iCs/>
                <w:color w:val="000000"/>
              </w:rPr>
              <w:t>Smoking</w:t>
            </w:r>
          </w:p>
        </w:tc>
        <w:tc>
          <w:tcPr>
            <w:tcW w:w="995" w:type="dxa"/>
            <w:tcBorders>
              <w:top w:val="nil"/>
              <w:left w:val="nil"/>
              <w:bottom w:val="nil"/>
              <w:right w:val="nil"/>
            </w:tcBorders>
            <w:shd w:val="clear" w:color="auto" w:fill="auto"/>
            <w:tcMar>
              <w:left w:w="67" w:type="dxa"/>
              <w:right w:w="67" w:type="dxa"/>
            </w:tcMar>
            <w:vAlign w:val="center"/>
          </w:tcPr>
          <w:p w:rsidR="006D2CFB" w:rsidRPr="003075E9" w:rsidRDefault="006D2CFB" w:rsidP="001E3672">
            <w:pPr>
              <w:keepNext/>
              <w:adjustRightInd w:val="0"/>
              <w:spacing w:before="67" w:after="67"/>
              <w:jc w:val="center"/>
              <w:rPr>
                <w:rFonts w:cstheme="minorHAnsi"/>
                <w:color w:val="000000"/>
              </w:rPr>
            </w:pPr>
            <w:r w:rsidRPr="003075E9">
              <w:rPr>
                <w:rFonts w:cstheme="minorHAnsi"/>
                <w:color w:val="000000"/>
              </w:rPr>
              <w:t>89</w:t>
            </w:r>
          </w:p>
        </w:tc>
        <w:tc>
          <w:tcPr>
            <w:tcW w:w="810" w:type="dxa"/>
            <w:tcBorders>
              <w:top w:val="nil"/>
              <w:left w:val="nil"/>
              <w:bottom w:val="nil"/>
              <w:right w:val="nil"/>
            </w:tcBorders>
            <w:shd w:val="clear" w:color="auto" w:fill="auto"/>
            <w:tcMar>
              <w:left w:w="67" w:type="dxa"/>
              <w:right w:w="67" w:type="dxa"/>
            </w:tcMar>
            <w:vAlign w:val="center"/>
          </w:tcPr>
          <w:p w:rsidR="006D2CFB" w:rsidRPr="003075E9" w:rsidRDefault="006D2CFB" w:rsidP="001E3672">
            <w:pPr>
              <w:keepNext/>
              <w:adjustRightInd w:val="0"/>
              <w:spacing w:before="67" w:after="67"/>
              <w:jc w:val="center"/>
              <w:rPr>
                <w:rFonts w:cstheme="minorHAnsi"/>
                <w:color w:val="000000"/>
              </w:rPr>
            </w:pPr>
            <w:r w:rsidRPr="003075E9">
              <w:rPr>
                <w:rFonts w:cstheme="minorHAnsi"/>
                <w:color w:val="000000"/>
              </w:rPr>
              <w:t>2.1</w:t>
            </w:r>
          </w:p>
        </w:tc>
        <w:tc>
          <w:tcPr>
            <w:tcW w:w="805" w:type="dxa"/>
            <w:tcBorders>
              <w:top w:val="nil"/>
              <w:left w:val="nil"/>
              <w:bottom w:val="nil"/>
              <w:right w:val="nil"/>
            </w:tcBorders>
            <w:shd w:val="clear" w:color="auto" w:fill="auto"/>
            <w:tcMar>
              <w:left w:w="67" w:type="dxa"/>
              <w:right w:w="67" w:type="dxa"/>
            </w:tcMar>
            <w:vAlign w:val="center"/>
          </w:tcPr>
          <w:p w:rsidR="006D2CFB" w:rsidRPr="003075E9" w:rsidRDefault="006D2CFB" w:rsidP="001E3672">
            <w:pPr>
              <w:keepNext/>
              <w:adjustRightInd w:val="0"/>
              <w:spacing w:before="67" w:after="67"/>
              <w:jc w:val="center"/>
              <w:rPr>
                <w:rFonts w:cstheme="minorHAnsi"/>
                <w:color w:val="000000"/>
              </w:rPr>
            </w:pPr>
            <w:r w:rsidRPr="003075E9">
              <w:rPr>
                <w:rFonts w:cstheme="minorHAnsi"/>
                <w:color w:val="000000"/>
              </w:rPr>
              <w:t>3</w:t>
            </w:r>
          </w:p>
        </w:tc>
        <w:tc>
          <w:tcPr>
            <w:tcW w:w="800" w:type="dxa"/>
            <w:tcBorders>
              <w:top w:val="nil"/>
              <w:left w:val="nil"/>
              <w:bottom w:val="nil"/>
              <w:right w:val="nil"/>
            </w:tcBorders>
            <w:shd w:val="clear" w:color="auto" w:fill="auto"/>
            <w:tcMar>
              <w:left w:w="67" w:type="dxa"/>
              <w:right w:w="67" w:type="dxa"/>
            </w:tcMar>
            <w:vAlign w:val="center"/>
          </w:tcPr>
          <w:p w:rsidR="006D2CFB" w:rsidRPr="003075E9" w:rsidRDefault="006D2CFB" w:rsidP="001E3672">
            <w:pPr>
              <w:keepNext/>
              <w:adjustRightInd w:val="0"/>
              <w:spacing w:before="67" w:after="67"/>
              <w:jc w:val="center"/>
              <w:rPr>
                <w:rFonts w:cstheme="minorHAnsi"/>
                <w:color w:val="000000"/>
              </w:rPr>
            </w:pPr>
            <w:r w:rsidRPr="003075E9">
              <w:rPr>
                <w:rFonts w:cstheme="minorHAnsi"/>
                <w:color w:val="000000"/>
              </w:rPr>
              <w:t>0.1</w:t>
            </w:r>
          </w:p>
        </w:tc>
        <w:tc>
          <w:tcPr>
            <w:tcW w:w="820" w:type="dxa"/>
            <w:tcBorders>
              <w:top w:val="nil"/>
              <w:left w:val="nil"/>
              <w:bottom w:val="nil"/>
              <w:right w:val="nil"/>
            </w:tcBorders>
            <w:shd w:val="clear" w:color="auto" w:fill="auto"/>
            <w:tcMar>
              <w:left w:w="67" w:type="dxa"/>
              <w:right w:w="67" w:type="dxa"/>
            </w:tcMar>
          </w:tcPr>
          <w:p w:rsidR="006D2CFB" w:rsidRDefault="006D2CFB" w:rsidP="001E3672">
            <w:pPr>
              <w:jc w:val="center"/>
            </w:pPr>
            <w:r w:rsidRPr="006B5F05">
              <w:rPr>
                <w:rFonts w:cstheme="minorHAnsi"/>
                <w:color w:val="000000"/>
              </w:rPr>
              <w:t>-</w:t>
            </w:r>
          </w:p>
        </w:tc>
        <w:tc>
          <w:tcPr>
            <w:tcW w:w="810" w:type="dxa"/>
            <w:tcBorders>
              <w:top w:val="nil"/>
              <w:left w:val="nil"/>
              <w:bottom w:val="nil"/>
              <w:right w:val="nil"/>
            </w:tcBorders>
            <w:shd w:val="clear" w:color="auto" w:fill="auto"/>
            <w:tcMar>
              <w:left w:w="67" w:type="dxa"/>
              <w:right w:w="67" w:type="dxa"/>
            </w:tcMar>
          </w:tcPr>
          <w:p w:rsidR="006D2CFB" w:rsidRDefault="006D2CFB" w:rsidP="001E3672">
            <w:pPr>
              <w:jc w:val="center"/>
            </w:pPr>
            <w:r w:rsidRPr="006B5F05">
              <w:rPr>
                <w:rFonts w:cstheme="minorHAnsi"/>
                <w:color w:val="000000"/>
              </w:rPr>
              <w:t>-</w:t>
            </w:r>
          </w:p>
        </w:tc>
        <w:tc>
          <w:tcPr>
            <w:tcW w:w="810" w:type="dxa"/>
            <w:tcBorders>
              <w:top w:val="nil"/>
              <w:left w:val="nil"/>
              <w:bottom w:val="nil"/>
              <w:right w:val="nil"/>
            </w:tcBorders>
            <w:shd w:val="clear" w:color="auto" w:fill="auto"/>
            <w:tcMar>
              <w:left w:w="67" w:type="dxa"/>
              <w:right w:w="67" w:type="dxa"/>
            </w:tcMar>
          </w:tcPr>
          <w:p w:rsidR="006D2CFB" w:rsidRDefault="006D2CFB" w:rsidP="001E3672">
            <w:pPr>
              <w:jc w:val="center"/>
            </w:pPr>
            <w:r w:rsidRPr="00F06EAD">
              <w:rPr>
                <w:rFonts w:cstheme="minorHAnsi"/>
                <w:color w:val="000000"/>
              </w:rPr>
              <w:t>-</w:t>
            </w:r>
          </w:p>
        </w:tc>
        <w:tc>
          <w:tcPr>
            <w:tcW w:w="900" w:type="dxa"/>
            <w:tcBorders>
              <w:top w:val="nil"/>
              <w:left w:val="nil"/>
              <w:bottom w:val="nil"/>
              <w:right w:val="nil"/>
            </w:tcBorders>
            <w:shd w:val="clear" w:color="auto" w:fill="auto"/>
            <w:tcMar>
              <w:left w:w="67" w:type="dxa"/>
              <w:right w:w="67" w:type="dxa"/>
            </w:tcMar>
          </w:tcPr>
          <w:p w:rsidR="006D2CFB" w:rsidRDefault="006D2CFB" w:rsidP="001E3672">
            <w:pPr>
              <w:jc w:val="center"/>
            </w:pPr>
            <w:r w:rsidRPr="00F06EAD">
              <w:rPr>
                <w:rFonts w:cstheme="minorHAnsi"/>
                <w:color w:val="000000"/>
              </w:rPr>
              <w:t>-</w:t>
            </w:r>
          </w:p>
        </w:tc>
      </w:tr>
      <w:tr w:rsidR="006D2CFB" w:rsidRPr="003075E9" w:rsidTr="001E3672">
        <w:trPr>
          <w:cantSplit/>
          <w:jc w:val="center"/>
        </w:trPr>
        <w:tc>
          <w:tcPr>
            <w:tcW w:w="2695" w:type="dxa"/>
            <w:tcBorders>
              <w:top w:val="nil"/>
              <w:left w:val="nil"/>
              <w:bottom w:val="nil"/>
              <w:right w:val="nil"/>
            </w:tcBorders>
            <w:shd w:val="clear" w:color="auto" w:fill="auto"/>
            <w:tcMar>
              <w:left w:w="67" w:type="dxa"/>
              <w:right w:w="67" w:type="dxa"/>
            </w:tcMar>
            <w:vAlign w:val="center"/>
          </w:tcPr>
          <w:p w:rsidR="006D2CFB" w:rsidRPr="003075E9" w:rsidRDefault="006D2CFB" w:rsidP="001E3672">
            <w:pPr>
              <w:adjustRightInd w:val="0"/>
              <w:spacing w:before="67" w:after="67"/>
              <w:rPr>
                <w:rFonts w:cstheme="minorHAnsi"/>
                <w:iCs/>
                <w:color w:val="000000"/>
              </w:rPr>
            </w:pPr>
            <w:r w:rsidRPr="003075E9">
              <w:rPr>
                <w:rFonts w:cstheme="minorHAnsi"/>
                <w:iCs/>
                <w:color w:val="000000"/>
              </w:rPr>
              <w:t>Alcohol use</w:t>
            </w:r>
          </w:p>
        </w:tc>
        <w:tc>
          <w:tcPr>
            <w:tcW w:w="995" w:type="dxa"/>
            <w:tcBorders>
              <w:top w:val="nil"/>
              <w:left w:val="nil"/>
              <w:bottom w:val="nil"/>
              <w:right w:val="nil"/>
            </w:tcBorders>
            <w:shd w:val="clear" w:color="auto" w:fill="auto"/>
            <w:tcMar>
              <w:left w:w="67" w:type="dxa"/>
              <w:right w:w="67" w:type="dxa"/>
            </w:tcMar>
            <w:vAlign w:val="center"/>
          </w:tcPr>
          <w:p w:rsidR="006D2CFB" w:rsidRPr="003075E9" w:rsidRDefault="006D2CFB" w:rsidP="001E3672">
            <w:pPr>
              <w:keepNext/>
              <w:adjustRightInd w:val="0"/>
              <w:spacing w:before="67" w:after="67"/>
              <w:jc w:val="center"/>
              <w:rPr>
                <w:rFonts w:cstheme="minorHAnsi"/>
                <w:color w:val="000000"/>
              </w:rPr>
            </w:pPr>
            <w:r w:rsidRPr="003075E9">
              <w:rPr>
                <w:rFonts w:cstheme="minorHAnsi"/>
                <w:color w:val="000000"/>
              </w:rPr>
              <w:t>87</w:t>
            </w:r>
          </w:p>
        </w:tc>
        <w:tc>
          <w:tcPr>
            <w:tcW w:w="810" w:type="dxa"/>
            <w:tcBorders>
              <w:top w:val="nil"/>
              <w:left w:val="nil"/>
              <w:bottom w:val="nil"/>
              <w:right w:val="nil"/>
            </w:tcBorders>
            <w:shd w:val="clear" w:color="auto" w:fill="auto"/>
            <w:tcMar>
              <w:left w:w="67" w:type="dxa"/>
              <w:right w:w="67" w:type="dxa"/>
            </w:tcMar>
            <w:vAlign w:val="center"/>
          </w:tcPr>
          <w:p w:rsidR="006D2CFB" w:rsidRPr="003075E9" w:rsidRDefault="006D2CFB" w:rsidP="001E3672">
            <w:pPr>
              <w:keepNext/>
              <w:adjustRightInd w:val="0"/>
              <w:spacing w:before="67" w:after="67"/>
              <w:jc w:val="center"/>
              <w:rPr>
                <w:rFonts w:cstheme="minorHAnsi"/>
                <w:color w:val="000000"/>
              </w:rPr>
            </w:pPr>
            <w:r w:rsidRPr="003075E9">
              <w:rPr>
                <w:rFonts w:cstheme="minorHAnsi"/>
                <w:color w:val="000000"/>
              </w:rPr>
              <w:t>2.1</w:t>
            </w:r>
          </w:p>
        </w:tc>
        <w:tc>
          <w:tcPr>
            <w:tcW w:w="805" w:type="dxa"/>
            <w:tcBorders>
              <w:top w:val="nil"/>
              <w:left w:val="nil"/>
              <w:bottom w:val="nil"/>
              <w:right w:val="nil"/>
            </w:tcBorders>
            <w:shd w:val="clear" w:color="auto" w:fill="auto"/>
            <w:tcMar>
              <w:left w:w="67" w:type="dxa"/>
              <w:right w:w="67" w:type="dxa"/>
            </w:tcMar>
            <w:vAlign w:val="center"/>
          </w:tcPr>
          <w:p w:rsidR="006D2CFB" w:rsidRPr="003075E9" w:rsidRDefault="006D2CFB" w:rsidP="001E3672">
            <w:pPr>
              <w:keepNext/>
              <w:adjustRightInd w:val="0"/>
              <w:spacing w:before="67" w:after="67"/>
              <w:jc w:val="center"/>
              <w:rPr>
                <w:rFonts w:cstheme="minorHAnsi"/>
                <w:color w:val="000000"/>
              </w:rPr>
            </w:pPr>
            <w:r w:rsidRPr="003075E9">
              <w:rPr>
                <w:rFonts w:cstheme="minorHAnsi"/>
                <w:color w:val="000000"/>
              </w:rPr>
              <w:t>5</w:t>
            </w:r>
          </w:p>
        </w:tc>
        <w:tc>
          <w:tcPr>
            <w:tcW w:w="800" w:type="dxa"/>
            <w:tcBorders>
              <w:top w:val="nil"/>
              <w:left w:val="nil"/>
              <w:bottom w:val="nil"/>
              <w:right w:val="nil"/>
            </w:tcBorders>
            <w:shd w:val="clear" w:color="auto" w:fill="auto"/>
            <w:tcMar>
              <w:left w:w="67" w:type="dxa"/>
              <w:right w:w="67" w:type="dxa"/>
            </w:tcMar>
            <w:vAlign w:val="center"/>
          </w:tcPr>
          <w:p w:rsidR="006D2CFB" w:rsidRPr="003075E9" w:rsidRDefault="006D2CFB" w:rsidP="001E3672">
            <w:pPr>
              <w:keepNext/>
              <w:adjustRightInd w:val="0"/>
              <w:spacing w:before="67" w:after="67"/>
              <w:jc w:val="center"/>
              <w:rPr>
                <w:rFonts w:cstheme="minorHAnsi"/>
                <w:color w:val="000000"/>
              </w:rPr>
            </w:pPr>
            <w:r w:rsidRPr="003075E9">
              <w:rPr>
                <w:rFonts w:cstheme="minorHAnsi"/>
                <w:color w:val="000000"/>
              </w:rPr>
              <w:t>0.2</w:t>
            </w:r>
          </w:p>
        </w:tc>
        <w:tc>
          <w:tcPr>
            <w:tcW w:w="820" w:type="dxa"/>
            <w:tcBorders>
              <w:top w:val="nil"/>
              <w:left w:val="nil"/>
              <w:bottom w:val="nil"/>
              <w:right w:val="nil"/>
            </w:tcBorders>
            <w:shd w:val="clear" w:color="auto" w:fill="auto"/>
            <w:tcMar>
              <w:left w:w="67" w:type="dxa"/>
              <w:right w:w="67" w:type="dxa"/>
            </w:tcMar>
          </w:tcPr>
          <w:p w:rsidR="006D2CFB" w:rsidRDefault="006D2CFB" w:rsidP="001E3672">
            <w:pPr>
              <w:jc w:val="center"/>
            </w:pPr>
            <w:r w:rsidRPr="006B5F05">
              <w:rPr>
                <w:rFonts w:cstheme="minorHAnsi"/>
                <w:color w:val="000000"/>
              </w:rPr>
              <w:t>-</w:t>
            </w:r>
          </w:p>
        </w:tc>
        <w:tc>
          <w:tcPr>
            <w:tcW w:w="810" w:type="dxa"/>
            <w:tcBorders>
              <w:top w:val="nil"/>
              <w:left w:val="nil"/>
              <w:bottom w:val="nil"/>
              <w:right w:val="nil"/>
            </w:tcBorders>
            <w:shd w:val="clear" w:color="auto" w:fill="auto"/>
            <w:tcMar>
              <w:left w:w="67" w:type="dxa"/>
              <w:right w:w="67" w:type="dxa"/>
            </w:tcMar>
          </w:tcPr>
          <w:p w:rsidR="006D2CFB" w:rsidRDefault="006D2CFB" w:rsidP="001E3672">
            <w:pPr>
              <w:jc w:val="center"/>
            </w:pPr>
            <w:r w:rsidRPr="006B5F05">
              <w:rPr>
                <w:rFonts w:cstheme="minorHAnsi"/>
                <w:color w:val="000000"/>
              </w:rPr>
              <w:t>-</w:t>
            </w:r>
          </w:p>
        </w:tc>
        <w:tc>
          <w:tcPr>
            <w:tcW w:w="810" w:type="dxa"/>
            <w:tcBorders>
              <w:top w:val="nil"/>
              <w:left w:val="nil"/>
              <w:bottom w:val="nil"/>
              <w:right w:val="nil"/>
            </w:tcBorders>
            <w:shd w:val="clear" w:color="auto" w:fill="auto"/>
            <w:tcMar>
              <w:left w:w="67" w:type="dxa"/>
              <w:right w:w="67" w:type="dxa"/>
            </w:tcMar>
          </w:tcPr>
          <w:p w:rsidR="006D2CFB" w:rsidRDefault="006D2CFB" w:rsidP="001E3672">
            <w:pPr>
              <w:jc w:val="center"/>
            </w:pPr>
            <w:r w:rsidRPr="00F06EAD">
              <w:rPr>
                <w:rFonts w:cstheme="minorHAnsi"/>
                <w:color w:val="000000"/>
              </w:rPr>
              <w:t>-</w:t>
            </w:r>
          </w:p>
        </w:tc>
        <w:tc>
          <w:tcPr>
            <w:tcW w:w="900" w:type="dxa"/>
            <w:tcBorders>
              <w:top w:val="nil"/>
              <w:left w:val="nil"/>
              <w:bottom w:val="nil"/>
              <w:right w:val="nil"/>
            </w:tcBorders>
            <w:shd w:val="clear" w:color="auto" w:fill="auto"/>
            <w:tcMar>
              <w:left w:w="67" w:type="dxa"/>
              <w:right w:w="67" w:type="dxa"/>
            </w:tcMar>
          </w:tcPr>
          <w:p w:rsidR="006D2CFB" w:rsidRDefault="006D2CFB" w:rsidP="001E3672">
            <w:pPr>
              <w:jc w:val="center"/>
            </w:pPr>
            <w:r w:rsidRPr="00F06EAD">
              <w:rPr>
                <w:rFonts w:cstheme="minorHAnsi"/>
                <w:color w:val="000000"/>
              </w:rPr>
              <w:t>-</w:t>
            </w:r>
          </w:p>
        </w:tc>
      </w:tr>
      <w:tr w:rsidR="006D2CFB" w:rsidRPr="003075E9" w:rsidTr="001E3672">
        <w:trPr>
          <w:cantSplit/>
          <w:jc w:val="center"/>
        </w:trPr>
        <w:tc>
          <w:tcPr>
            <w:tcW w:w="2695" w:type="dxa"/>
            <w:tcBorders>
              <w:top w:val="nil"/>
              <w:left w:val="nil"/>
              <w:bottom w:val="nil"/>
              <w:right w:val="nil"/>
            </w:tcBorders>
            <w:shd w:val="clear" w:color="auto" w:fill="auto"/>
            <w:tcMar>
              <w:left w:w="67" w:type="dxa"/>
              <w:right w:w="67" w:type="dxa"/>
            </w:tcMar>
            <w:vAlign w:val="center"/>
          </w:tcPr>
          <w:p w:rsidR="006D2CFB" w:rsidRPr="003075E9" w:rsidRDefault="006D2CFB" w:rsidP="001E3672">
            <w:pPr>
              <w:adjustRightInd w:val="0"/>
              <w:spacing w:before="67" w:after="67"/>
              <w:rPr>
                <w:rFonts w:cstheme="minorHAnsi"/>
                <w:iCs/>
                <w:color w:val="000000"/>
              </w:rPr>
            </w:pPr>
            <w:r w:rsidRPr="003075E9">
              <w:rPr>
                <w:rFonts w:cstheme="minorHAnsi"/>
                <w:iCs/>
                <w:color w:val="000000"/>
              </w:rPr>
              <w:t>Knee injury</w:t>
            </w:r>
          </w:p>
        </w:tc>
        <w:tc>
          <w:tcPr>
            <w:tcW w:w="995" w:type="dxa"/>
            <w:tcBorders>
              <w:top w:val="nil"/>
              <w:left w:val="nil"/>
              <w:bottom w:val="nil"/>
              <w:right w:val="nil"/>
            </w:tcBorders>
            <w:shd w:val="clear" w:color="auto" w:fill="auto"/>
            <w:tcMar>
              <w:left w:w="67" w:type="dxa"/>
              <w:right w:w="67" w:type="dxa"/>
            </w:tcMar>
            <w:vAlign w:val="center"/>
          </w:tcPr>
          <w:p w:rsidR="006D2CFB" w:rsidRPr="003075E9" w:rsidRDefault="006D2CFB" w:rsidP="001E3672">
            <w:pPr>
              <w:keepNext/>
              <w:adjustRightInd w:val="0"/>
              <w:spacing w:before="67" w:after="67"/>
              <w:jc w:val="center"/>
              <w:rPr>
                <w:rFonts w:cstheme="minorHAnsi"/>
                <w:color w:val="000000"/>
              </w:rPr>
            </w:pPr>
            <w:r w:rsidRPr="003075E9">
              <w:rPr>
                <w:rFonts w:cstheme="minorHAnsi"/>
                <w:color w:val="000000"/>
              </w:rPr>
              <w:t>66</w:t>
            </w:r>
          </w:p>
        </w:tc>
        <w:tc>
          <w:tcPr>
            <w:tcW w:w="810" w:type="dxa"/>
            <w:tcBorders>
              <w:top w:val="nil"/>
              <w:left w:val="nil"/>
              <w:bottom w:val="nil"/>
              <w:right w:val="nil"/>
            </w:tcBorders>
            <w:shd w:val="clear" w:color="auto" w:fill="auto"/>
            <w:tcMar>
              <w:left w:w="67" w:type="dxa"/>
              <w:right w:w="67" w:type="dxa"/>
            </w:tcMar>
            <w:vAlign w:val="center"/>
          </w:tcPr>
          <w:p w:rsidR="006D2CFB" w:rsidRPr="003075E9" w:rsidRDefault="006D2CFB" w:rsidP="001E3672">
            <w:pPr>
              <w:keepNext/>
              <w:adjustRightInd w:val="0"/>
              <w:spacing w:before="67" w:after="67"/>
              <w:jc w:val="center"/>
              <w:rPr>
                <w:rFonts w:cstheme="minorHAnsi"/>
                <w:color w:val="000000"/>
              </w:rPr>
            </w:pPr>
            <w:r w:rsidRPr="003075E9">
              <w:rPr>
                <w:rFonts w:cstheme="minorHAnsi"/>
                <w:color w:val="000000"/>
              </w:rPr>
              <w:t>1.6</w:t>
            </w:r>
          </w:p>
        </w:tc>
        <w:tc>
          <w:tcPr>
            <w:tcW w:w="805" w:type="dxa"/>
            <w:tcBorders>
              <w:top w:val="nil"/>
              <w:left w:val="nil"/>
              <w:bottom w:val="nil"/>
              <w:right w:val="nil"/>
            </w:tcBorders>
            <w:shd w:val="clear" w:color="auto" w:fill="auto"/>
            <w:tcMar>
              <w:left w:w="67" w:type="dxa"/>
              <w:right w:w="67" w:type="dxa"/>
            </w:tcMar>
            <w:vAlign w:val="center"/>
          </w:tcPr>
          <w:p w:rsidR="006D2CFB" w:rsidRPr="003075E9" w:rsidRDefault="006D2CFB" w:rsidP="001E3672">
            <w:pPr>
              <w:keepNext/>
              <w:adjustRightInd w:val="0"/>
              <w:spacing w:before="67" w:after="67"/>
              <w:jc w:val="center"/>
              <w:rPr>
                <w:rFonts w:cstheme="minorHAnsi"/>
                <w:color w:val="000000"/>
              </w:rPr>
            </w:pPr>
            <w:r w:rsidRPr="003075E9">
              <w:rPr>
                <w:rFonts w:cstheme="minorHAnsi"/>
                <w:color w:val="000000"/>
              </w:rPr>
              <w:t>.</w:t>
            </w:r>
          </w:p>
        </w:tc>
        <w:tc>
          <w:tcPr>
            <w:tcW w:w="800" w:type="dxa"/>
            <w:tcBorders>
              <w:top w:val="nil"/>
              <w:left w:val="nil"/>
              <w:bottom w:val="nil"/>
              <w:right w:val="nil"/>
            </w:tcBorders>
            <w:shd w:val="clear" w:color="auto" w:fill="auto"/>
            <w:tcMar>
              <w:left w:w="67" w:type="dxa"/>
              <w:right w:w="67" w:type="dxa"/>
            </w:tcMar>
            <w:vAlign w:val="center"/>
          </w:tcPr>
          <w:p w:rsidR="006D2CFB" w:rsidRPr="003075E9" w:rsidRDefault="006D2CFB" w:rsidP="001E3672">
            <w:pPr>
              <w:keepNext/>
              <w:adjustRightInd w:val="0"/>
              <w:spacing w:before="67" w:after="67"/>
              <w:jc w:val="center"/>
              <w:rPr>
                <w:rFonts w:cstheme="minorHAnsi"/>
                <w:color w:val="000000"/>
              </w:rPr>
            </w:pPr>
            <w:r w:rsidRPr="003075E9">
              <w:rPr>
                <w:rFonts w:cstheme="minorHAnsi"/>
                <w:color w:val="000000"/>
              </w:rPr>
              <w:t>.</w:t>
            </w:r>
          </w:p>
        </w:tc>
        <w:tc>
          <w:tcPr>
            <w:tcW w:w="820" w:type="dxa"/>
            <w:tcBorders>
              <w:top w:val="nil"/>
              <w:left w:val="nil"/>
              <w:bottom w:val="nil"/>
              <w:right w:val="nil"/>
            </w:tcBorders>
            <w:shd w:val="clear" w:color="auto" w:fill="auto"/>
            <w:tcMar>
              <w:left w:w="67" w:type="dxa"/>
              <w:right w:w="67" w:type="dxa"/>
            </w:tcMar>
          </w:tcPr>
          <w:p w:rsidR="006D2CFB" w:rsidRDefault="006D2CFB" w:rsidP="001E3672">
            <w:pPr>
              <w:jc w:val="center"/>
            </w:pPr>
            <w:r w:rsidRPr="006B5F05">
              <w:rPr>
                <w:rFonts w:cstheme="minorHAnsi"/>
                <w:color w:val="000000"/>
              </w:rPr>
              <w:t>-</w:t>
            </w:r>
          </w:p>
        </w:tc>
        <w:tc>
          <w:tcPr>
            <w:tcW w:w="810" w:type="dxa"/>
            <w:tcBorders>
              <w:top w:val="nil"/>
              <w:left w:val="nil"/>
              <w:bottom w:val="nil"/>
              <w:right w:val="nil"/>
            </w:tcBorders>
            <w:shd w:val="clear" w:color="auto" w:fill="auto"/>
            <w:tcMar>
              <w:left w:w="67" w:type="dxa"/>
              <w:right w:w="67" w:type="dxa"/>
            </w:tcMar>
          </w:tcPr>
          <w:p w:rsidR="006D2CFB" w:rsidRDefault="006D2CFB" w:rsidP="001E3672">
            <w:pPr>
              <w:jc w:val="center"/>
            </w:pPr>
            <w:r w:rsidRPr="006B5F05">
              <w:rPr>
                <w:rFonts w:cstheme="minorHAnsi"/>
                <w:color w:val="000000"/>
              </w:rPr>
              <w:t>-</w:t>
            </w:r>
          </w:p>
        </w:tc>
        <w:tc>
          <w:tcPr>
            <w:tcW w:w="810" w:type="dxa"/>
            <w:tcBorders>
              <w:top w:val="nil"/>
              <w:left w:val="nil"/>
              <w:bottom w:val="nil"/>
              <w:right w:val="nil"/>
            </w:tcBorders>
            <w:shd w:val="clear" w:color="auto" w:fill="auto"/>
            <w:tcMar>
              <w:left w:w="67" w:type="dxa"/>
              <w:right w:w="67" w:type="dxa"/>
            </w:tcMar>
          </w:tcPr>
          <w:p w:rsidR="006D2CFB" w:rsidRDefault="006D2CFB" w:rsidP="001E3672">
            <w:pPr>
              <w:jc w:val="center"/>
            </w:pPr>
            <w:r w:rsidRPr="00F06EAD">
              <w:rPr>
                <w:rFonts w:cstheme="minorHAnsi"/>
                <w:color w:val="000000"/>
              </w:rPr>
              <w:t>-</w:t>
            </w:r>
          </w:p>
        </w:tc>
        <w:tc>
          <w:tcPr>
            <w:tcW w:w="900" w:type="dxa"/>
            <w:tcBorders>
              <w:top w:val="nil"/>
              <w:left w:val="nil"/>
              <w:bottom w:val="nil"/>
              <w:right w:val="nil"/>
            </w:tcBorders>
            <w:shd w:val="clear" w:color="auto" w:fill="auto"/>
            <w:tcMar>
              <w:left w:w="67" w:type="dxa"/>
              <w:right w:w="67" w:type="dxa"/>
            </w:tcMar>
          </w:tcPr>
          <w:p w:rsidR="006D2CFB" w:rsidRDefault="006D2CFB" w:rsidP="001E3672">
            <w:pPr>
              <w:jc w:val="center"/>
            </w:pPr>
            <w:r w:rsidRPr="00F06EAD">
              <w:rPr>
                <w:rFonts w:cstheme="minorHAnsi"/>
                <w:color w:val="000000"/>
              </w:rPr>
              <w:t>-</w:t>
            </w:r>
          </w:p>
        </w:tc>
      </w:tr>
      <w:tr w:rsidR="006D2CFB" w:rsidRPr="003075E9" w:rsidTr="001E3672">
        <w:trPr>
          <w:cantSplit/>
          <w:jc w:val="center"/>
        </w:trPr>
        <w:tc>
          <w:tcPr>
            <w:tcW w:w="2695" w:type="dxa"/>
            <w:tcBorders>
              <w:top w:val="nil"/>
              <w:left w:val="nil"/>
              <w:bottom w:val="nil"/>
              <w:right w:val="nil"/>
            </w:tcBorders>
            <w:shd w:val="clear" w:color="auto" w:fill="auto"/>
            <w:tcMar>
              <w:left w:w="67" w:type="dxa"/>
              <w:right w:w="67" w:type="dxa"/>
            </w:tcMar>
            <w:vAlign w:val="center"/>
          </w:tcPr>
          <w:p w:rsidR="006D2CFB" w:rsidRPr="003075E9" w:rsidRDefault="006D2CFB" w:rsidP="001E3672">
            <w:pPr>
              <w:adjustRightInd w:val="0"/>
              <w:spacing w:before="67" w:after="67"/>
              <w:rPr>
                <w:rFonts w:cstheme="minorHAnsi"/>
                <w:iCs/>
                <w:color w:val="000000"/>
              </w:rPr>
            </w:pPr>
            <w:r w:rsidRPr="003075E9">
              <w:rPr>
                <w:rFonts w:cstheme="minorHAnsi"/>
                <w:iCs/>
                <w:color w:val="000000"/>
              </w:rPr>
              <w:t>NSAID use</w:t>
            </w:r>
          </w:p>
        </w:tc>
        <w:tc>
          <w:tcPr>
            <w:tcW w:w="995" w:type="dxa"/>
            <w:tcBorders>
              <w:top w:val="nil"/>
              <w:left w:val="nil"/>
              <w:bottom w:val="nil"/>
              <w:right w:val="nil"/>
            </w:tcBorders>
            <w:shd w:val="clear" w:color="auto" w:fill="auto"/>
            <w:tcMar>
              <w:left w:w="67" w:type="dxa"/>
              <w:right w:w="67" w:type="dxa"/>
            </w:tcMar>
            <w:vAlign w:val="center"/>
          </w:tcPr>
          <w:p w:rsidR="006D2CFB" w:rsidRPr="003075E9" w:rsidRDefault="006D2CFB" w:rsidP="001E3672">
            <w:pPr>
              <w:keepNext/>
              <w:adjustRightInd w:val="0"/>
              <w:spacing w:before="67" w:after="67"/>
              <w:jc w:val="center"/>
              <w:rPr>
                <w:rFonts w:cstheme="minorHAnsi"/>
                <w:color w:val="000000"/>
              </w:rPr>
            </w:pPr>
            <w:r w:rsidRPr="003075E9">
              <w:rPr>
                <w:rFonts w:cstheme="minorHAnsi"/>
                <w:color w:val="000000"/>
              </w:rPr>
              <w:t>51</w:t>
            </w:r>
          </w:p>
        </w:tc>
        <w:tc>
          <w:tcPr>
            <w:tcW w:w="810" w:type="dxa"/>
            <w:tcBorders>
              <w:top w:val="nil"/>
              <w:left w:val="nil"/>
              <w:bottom w:val="nil"/>
              <w:right w:val="nil"/>
            </w:tcBorders>
            <w:shd w:val="clear" w:color="auto" w:fill="auto"/>
            <w:tcMar>
              <w:left w:w="67" w:type="dxa"/>
              <w:right w:w="67" w:type="dxa"/>
            </w:tcMar>
            <w:vAlign w:val="center"/>
          </w:tcPr>
          <w:p w:rsidR="006D2CFB" w:rsidRPr="003075E9" w:rsidRDefault="006D2CFB" w:rsidP="001E3672">
            <w:pPr>
              <w:keepNext/>
              <w:adjustRightInd w:val="0"/>
              <w:spacing w:before="67" w:after="67"/>
              <w:jc w:val="center"/>
              <w:rPr>
                <w:rFonts w:cstheme="minorHAnsi"/>
                <w:color w:val="000000"/>
              </w:rPr>
            </w:pPr>
            <w:r w:rsidRPr="003075E9">
              <w:rPr>
                <w:rFonts w:cstheme="minorHAnsi"/>
                <w:color w:val="000000"/>
              </w:rPr>
              <w:t>1.2</w:t>
            </w:r>
          </w:p>
        </w:tc>
        <w:tc>
          <w:tcPr>
            <w:tcW w:w="805" w:type="dxa"/>
            <w:tcBorders>
              <w:top w:val="nil"/>
              <w:left w:val="nil"/>
              <w:bottom w:val="nil"/>
              <w:right w:val="nil"/>
            </w:tcBorders>
            <w:shd w:val="clear" w:color="auto" w:fill="auto"/>
            <w:tcMar>
              <w:left w:w="67" w:type="dxa"/>
              <w:right w:w="67" w:type="dxa"/>
            </w:tcMar>
            <w:vAlign w:val="center"/>
          </w:tcPr>
          <w:p w:rsidR="006D2CFB" w:rsidRPr="003075E9" w:rsidRDefault="006D2CFB" w:rsidP="001E3672">
            <w:pPr>
              <w:keepNext/>
              <w:adjustRightInd w:val="0"/>
              <w:spacing w:before="67" w:after="67"/>
              <w:jc w:val="center"/>
              <w:rPr>
                <w:rFonts w:cstheme="minorHAnsi"/>
                <w:color w:val="000000"/>
              </w:rPr>
            </w:pPr>
            <w:r w:rsidRPr="003075E9">
              <w:rPr>
                <w:rFonts w:cstheme="minorHAnsi"/>
                <w:color w:val="000000"/>
              </w:rPr>
              <w:t>3</w:t>
            </w:r>
          </w:p>
        </w:tc>
        <w:tc>
          <w:tcPr>
            <w:tcW w:w="800" w:type="dxa"/>
            <w:tcBorders>
              <w:top w:val="nil"/>
              <w:left w:val="nil"/>
              <w:bottom w:val="nil"/>
              <w:right w:val="nil"/>
            </w:tcBorders>
            <w:shd w:val="clear" w:color="auto" w:fill="auto"/>
            <w:tcMar>
              <w:left w:w="67" w:type="dxa"/>
              <w:right w:w="67" w:type="dxa"/>
            </w:tcMar>
            <w:vAlign w:val="center"/>
          </w:tcPr>
          <w:p w:rsidR="006D2CFB" w:rsidRPr="003075E9" w:rsidRDefault="006D2CFB" w:rsidP="001E3672">
            <w:pPr>
              <w:keepNext/>
              <w:adjustRightInd w:val="0"/>
              <w:spacing w:before="67" w:after="67"/>
              <w:jc w:val="center"/>
              <w:rPr>
                <w:rFonts w:cstheme="minorHAnsi"/>
                <w:color w:val="000000"/>
              </w:rPr>
            </w:pPr>
            <w:r w:rsidRPr="003075E9">
              <w:rPr>
                <w:rFonts w:cstheme="minorHAnsi"/>
                <w:color w:val="000000"/>
              </w:rPr>
              <w:t>0.1</w:t>
            </w:r>
          </w:p>
        </w:tc>
        <w:tc>
          <w:tcPr>
            <w:tcW w:w="820" w:type="dxa"/>
            <w:tcBorders>
              <w:top w:val="nil"/>
              <w:left w:val="nil"/>
              <w:bottom w:val="nil"/>
              <w:right w:val="nil"/>
            </w:tcBorders>
            <w:shd w:val="clear" w:color="auto" w:fill="auto"/>
            <w:tcMar>
              <w:left w:w="67" w:type="dxa"/>
              <w:right w:w="67" w:type="dxa"/>
            </w:tcMar>
          </w:tcPr>
          <w:p w:rsidR="006D2CFB" w:rsidRDefault="006D2CFB" w:rsidP="001E3672">
            <w:pPr>
              <w:jc w:val="center"/>
            </w:pPr>
            <w:r w:rsidRPr="006B5F05">
              <w:rPr>
                <w:rFonts w:cstheme="minorHAnsi"/>
                <w:color w:val="000000"/>
              </w:rPr>
              <w:t>-</w:t>
            </w:r>
          </w:p>
        </w:tc>
        <w:tc>
          <w:tcPr>
            <w:tcW w:w="810" w:type="dxa"/>
            <w:tcBorders>
              <w:top w:val="nil"/>
              <w:left w:val="nil"/>
              <w:bottom w:val="nil"/>
              <w:right w:val="nil"/>
            </w:tcBorders>
            <w:shd w:val="clear" w:color="auto" w:fill="auto"/>
            <w:tcMar>
              <w:left w:w="67" w:type="dxa"/>
              <w:right w:w="67" w:type="dxa"/>
            </w:tcMar>
          </w:tcPr>
          <w:p w:rsidR="006D2CFB" w:rsidRDefault="006D2CFB" w:rsidP="001E3672">
            <w:pPr>
              <w:jc w:val="center"/>
            </w:pPr>
            <w:r w:rsidRPr="006B5F05">
              <w:rPr>
                <w:rFonts w:cstheme="minorHAnsi"/>
                <w:color w:val="000000"/>
              </w:rPr>
              <w:t>-</w:t>
            </w:r>
          </w:p>
        </w:tc>
        <w:tc>
          <w:tcPr>
            <w:tcW w:w="810" w:type="dxa"/>
            <w:tcBorders>
              <w:top w:val="nil"/>
              <w:left w:val="nil"/>
              <w:bottom w:val="nil"/>
              <w:right w:val="nil"/>
            </w:tcBorders>
            <w:shd w:val="clear" w:color="auto" w:fill="auto"/>
            <w:tcMar>
              <w:left w:w="67" w:type="dxa"/>
              <w:right w:w="67" w:type="dxa"/>
            </w:tcMar>
          </w:tcPr>
          <w:p w:rsidR="006D2CFB" w:rsidRDefault="006D2CFB" w:rsidP="001E3672">
            <w:pPr>
              <w:jc w:val="center"/>
            </w:pPr>
            <w:r w:rsidRPr="00F06EAD">
              <w:rPr>
                <w:rFonts w:cstheme="minorHAnsi"/>
                <w:color w:val="000000"/>
              </w:rPr>
              <w:t>-</w:t>
            </w:r>
          </w:p>
        </w:tc>
        <w:tc>
          <w:tcPr>
            <w:tcW w:w="900" w:type="dxa"/>
            <w:tcBorders>
              <w:top w:val="nil"/>
              <w:left w:val="nil"/>
              <w:bottom w:val="nil"/>
              <w:right w:val="nil"/>
            </w:tcBorders>
            <w:shd w:val="clear" w:color="auto" w:fill="auto"/>
            <w:tcMar>
              <w:left w:w="67" w:type="dxa"/>
              <w:right w:w="67" w:type="dxa"/>
            </w:tcMar>
          </w:tcPr>
          <w:p w:rsidR="006D2CFB" w:rsidRDefault="006D2CFB" w:rsidP="001E3672">
            <w:pPr>
              <w:jc w:val="center"/>
            </w:pPr>
            <w:r w:rsidRPr="00F06EAD">
              <w:rPr>
                <w:rFonts w:cstheme="minorHAnsi"/>
                <w:color w:val="000000"/>
              </w:rPr>
              <w:t>-</w:t>
            </w:r>
          </w:p>
        </w:tc>
      </w:tr>
      <w:tr w:rsidR="006D2CFB" w:rsidRPr="003075E9" w:rsidTr="001E3672">
        <w:trPr>
          <w:cantSplit/>
          <w:jc w:val="center"/>
        </w:trPr>
        <w:tc>
          <w:tcPr>
            <w:tcW w:w="2695" w:type="dxa"/>
            <w:tcBorders>
              <w:top w:val="nil"/>
              <w:left w:val="nil"/>
              <w:bottom w:val="nil"/>
              <w:right w:val="nil"/>
            </w:tcBorders>
            <w:shd w:val="clear" w:color="auto" w:fill="auto"/>
            <w:tcMar>
              <w:left w:w="67" w:type="dxa"/>
              <w:right w:w="67" w:type="dxa"/>
            </w:tcMar>
            <w:vAlign w:val="center"/>
          </w:tcPr>
          <w:p w:rsidR="006D2CFB" w:rsidRPr="003075E9" w:rsidRDefault="006D2CFB" w:rsidP="001E3672">
            <w:pPr>
              <w:adjustRightInd w:val="0"/>
              <w:spacing w:before="67" w:after="67"/>
              <w:rPr>
                <w:rFonts w:cstheme="minorHAnsi"/>
                <w:iCs/>
                <w:color w:val="000000"/>
              </w:rPr>
            </w:pPr>
            <w:r w:rsidRPr="003075E9">
              <w:rPr>
                <w:rFonts w:cstheme="minorHAnsi"/>
                <w:iCs/>
                <w:color w:val="000000"/>
              </w:rPr>
              <w:t>Depressive symptoms</w:t>
            </w:r>
          </w:p>
        </w:tc>
        <w:tc>
          <w:tcPr>
            <w:tcW w:w="995" w:type="dxa"/>
            <w:tcBorders>
              <w:top w:val="nil"/>
              <w:left w:val="nil"/>
              <w:bottom w:val="nil"/>
              <w:right w:val="nil"/>
            </w:tcBorders>
            <w:shd w:val="clear" w:color="auto" w:fill="auto"/>
            <w:tcMar>
              <w:left w:w="67" w:type="dxa"/>
              <w:right w:w="67" w:type="dxa"/>
            </w:tcMar>
            <w:vAlign w:val="center"/>
          </w:tcPr>
          <w:p w:rsidR="006D2CFB" w:rsidRPr="003075E9" w:rsidRDefault="006D2CFB" w:rsidP="001E3672">
            <w:pPr>
              <w:keepNext/>
              <w:adjustRightInd w:val="0"/>
              <w:spacing w:before="67" w:after="67"/>
              <w:jc w:val="center"/>
              <w:rPr>
                <w:rFonts w:cstheme="minorHAnsi"/>
                <w:color w:val="000000"/>
              </w:rPr>
            </w:pPr>
            <w:r w:rsidRPr="003075E9">
              <w:rPr>
                <w:rFonts w:cstheme="minorHAnsi"/>
                <w:color w:val="000000"/>
              </w:rPr>
              <w:t>64</w:t>
            </w:r>
          </w:p>
        </w:tc>
        <w:tc>
          <w:tcPr>
            <w:tcW w:w="810" w:type="dxa"/>
            <w:tcBorders>
              <w:top w:val="nil"/>
              <w:left w:val="nil"/>
              <w:bottom w:val="nil"/>
              <w:right w:val="nil"/>
            </w:tcBorders>
            <w:shd w:val="clear" w:color="auto" w:fill="auto"/>
            <w:tcMar>
              <w:left w:w="67" w:type="dxa"/>
              <w:right w:w="67" w:type="dxa"/>
            </w:tcMar>
            <w:vAlign w:val="center"/>
          </w:tcPr>
          <w:p w:rsidR="006D2CFB" w:rsidRPr="003075E9" w:rsidRDefault="006D2CFB" w:rsidP="001E3672">
            <w:pPr>
              <w:keepNext/>
              <w:adjustRightInd w:val="0"/>
              <w:spacing w:before="67" w:after="67"/>
              <w:jc w:val="center"/>
              <w:rPr>
                <w:rFonts w:cstheme="minorHAnsi"/>
                <w:color w:val="000000"/>
              </w:rPr>
            </w:pPr>
            <w:r w:rsidRPr="003075E9">
              <w:rPr>
                <w:rFonts w:cstheme="minorHAnsi"/>
                <w:color w:val="000000"/>
              </w:rPr>
              <w:t>1.5</w:t>
            </w:r>
          </w:p>
        </w:tc>
        <w:tc>
          <w:tcPr>
            <w:tcW w:w="805" w:type="dxa"/>
            <w:tcBorders>
              <w:top w:val="nil"/>
              <w:left w:val="nil"/>
              <w:bottom w:val="nil"/>
              <w:right w:val="nil"/>
            </w:tcBorders>
            <w:shd w:val="clear" w:color="auto" w:fill="auto"/>
            <w:tcMar>
              <w:left w:w="67" w:type="dxa"/>
              <w:right w:w="67" w:type="dxa"/>
            </w:tcMar>
          </w:tcPr>
          <w:p w:rsidR="006D2CFB" w:rsidRDefault="006D2CFB" w:rsidP="001E3672">
            <w:pPr>
              <w:jc w:val="center"/>
            </w:pPr>
            <w:r w:rsidRPr="00B040E3">
              <w:rPr>
                <w:rFonts w:cstheme="minorHAnsi"/>
                <w:color w:val="000000"/>
              </w:rPr>
              <w:t>-</w:t>
            </w:r>
          </w:p>
        </w:tc>
        <w:tc>
          <w:tcPr>
            <w:tcW w:w="800" w:type="dxa"/>
            <w:tcBorders>
              <w:top w:val="nil"/>
              <w:left w:val="nil"/>
              <w:bottom w:val="nil"/>
              <w:right w:val="nil"/>
            </w:tcBorders>
            <w:shd w:val="clear" w:color="auto" w:fill="auto"/>
            <w:tcMar>
              <w:left w:w="67" w:type="dxa"/>
              <w:right w:w="67" w:type="dxa"/>
            </w:tcMar>
          </w:tcPr>
          <w:p w:rsidR="006D2CFB" w:rsidRDefault="006D2CFB" w:rsidP="001E3672">
            <w:pPr>
              <w:jc w:val="center"/>
            </w:pPr>
            <w:r w:rsidRPr="00B040E3">
              <w:rPr>
                <w:rFonts w:cstheme="minorHAnsi"/>
                <w:color w:val="000000"/>
              </w:rPr>
              <w:t>-</w:t>
            </w:r>
          </w:p>
        </w:tc>
        <w:tc>
          <w:tcPr>
            <w:tcW w:w="820" w:type="dxa"/>
            <w:tcBorders>
              <w:top w:val="nil"/>
              <w:left w:val="nil"/>
              <w:bottom w:val="nil"/>
              <w:right w:val="nil"/>
            </w:tcBorders>
            <w:shd w:val="clear" w:color="auto" w:fill="auto"/>
            <w:tcMar>
              <w:left w:w="67" w:type="dxa"/>
              <w:right w:w="67" w:type="dxa"/>
            </w:tcMar>
          </w:tcPr>
          <w:p w:rsidR="006D2CFB" w:rsidRDefault="006D2CFB" w:rsidP="001E3672">
            <w:pPr>
              <w:jc w:val="center"/>
            </w:pPr>
            <w:r w:rsidRPr="006B5F05">
              <w:rPr>
                <w:rFonts w:cstheme="minorHAnsi"/>
                <w:color w:val="000000"/>
              </w:rPr>
              <w:t>-</w:t>
            </w:r>
          </w:p>
        </w:tc>
        <w:tc>
          <w:tcPr>
            <w:tcW w:w="810" w:type="dxa"/>
            <w:tcBorders>
              <w:top w:val="nil"/>
              <w:left w:val="nil"/>
              <w:bottom w:val="nil"/>
              <w:right w:val="nil"/>
            </w:tcBorders>
            <w:shd w:val="clear" w:color="auto" w:fill="auto"/>
            <w:tcMar>
              <w:left w:w="67" w:type="dxa"/>
              <w:right w:w="67" w:type="dxa"/>
            </w:tcMar>
          </w:tcPr>
          <w:p w:rsidR="006D2CFB" w:rsidRDefault="006D2CFB" w:rsidP="001E3672">
            <w:pPr>
              <w:jc w:val="center"/>
            </w:pPr>
            <w:r w:rsidRPr="006B5F05">
              <w:rPr>
                <w:rFonts w:cstheme="minorHAnsi"/>
                <w:color w:val="000000"/>
              </w:rPr>
              <w:t>-</w:t>
            </w:r>
          </w:p>
        </w:tc>
        <w:tc>
          <w:tcPr>
            <w:tcW w:w="810" w:type="dxa"/>
            <w:tcBorders>
              <w:top w:val="nil"/>
              <w:left w:val="nil"/>
              <w:bottom w:val="nil"/>
              <w:right w:val="nil"/>
            </w:tcBorders>
            <w:shd w:val="clear" w:color="auto" w:fill="auto"/>
            <w:tcMar>
              <w:left w:w="67" w:type="dxa"/>
              <w:right w:w="67" w:type="dxa"/>
            </w:tcMar>
          </w:tcPr>
          <w:p w:rsidR="006D2CFB" w:rsidRDefault="006D2CFB" w:rsidP="001E3672">
            <w:pPr>
              <w:jc w:val="center"/>
            </w:pPr>
            <w:r w:rsidRPr="00F06EAD">
              <w:rPr>
                <w:rFonts w:cstheme="minorHAnsi"/>
                <w:color w:val="000000"/>
              </w:rPr>
              <w:t>-</w:t>
            </w:r>
          </w:p>
        </w:tc>
        <w:tc>
          <w:tcPr>
            <w:tcW w:w="900" w:type="dxa"/>
            <w:tcBorders>
              <w:top w:val="nil"/>
              <w:left w:val="nil"/>
              <w:bottom w:val="nil"/>
              <w:right w:val="nil"/>
            </w:tcBorders>
            <w:shd w:val="clear" w:color="auto" w:fill="auto"/>
            <w:tcMar>
              <w:left w:w="67" w:type="dxa"/>
              <w:right w:w="67" w:type="dxa"/>
            </w:tcMar>
          </w:tcPr>
          <w:p w:rsidR="006D2CFB" w:rsidRDefault="006D2CFB" w:rsidP="001E3672">
            <w:pPr>
              <w:jc w:val="center"/>
            </w:pPr>
            <w:r w:rsidRPr="00F06EAD">
              <w:rPr>
                <w:rFonts w:cstheme="minorHAnsi"/>
                <w:color w:val="000000"/>
              </w:rPr>
              <w:t>-</w:t>
            </w:r>
          </w:p>
        </w:tc>
      </w:tr>
      <w:tr w:rsidR="006D2CFB" w:rsidRPr="003075E9" w:rsidTr="001E3672">
        <w:trPr>
          <w:cantSplit/>
          <w:jc w:val="center"/>
        </w:trPr>
        <w:tc>
          <w:tcPr>
            <w:tcW w:w="2695" w:type="dxa"/>
            <w:tcBorders>
              <w:top w:val="nil"/>
              <w:left w:val="nil"/>
              <w:bottom w:val="nil"/>
              <w:right w:val="nil"/>
            </w:tcBorders>
            <w:shd w:val="clear" w:color="auto" w:fill="auto"/>
            <w:tcMar>
              <w:left w:w="67" w:type="dxa"/>
              <w:right w:w="67" w:type="dxa"/>
            </w:tcMar>
            <w:vAlign w:val="center"/>
          </w:tcPr>
          <w:p w:rsidR="006D2CFB" w:rsidRPr="003075E9" w:rsidRDefault="006D2CFB" w:rsidP="001E3672">
            <w:pPr>
              <w:adjustRightInd w:val="0"/>
              <w:spacing w:before="67" w:after="67"/>
              <w:rPr>
                <w:rFonts w:cstheme="minorHAnsi"/>
                <w:iCs/>
                <w:color w:val="000000"/>
              </w:rPr>
            </w:pPr>
            <w:r w:rsidRPr="003075E9">
              <w:rPr>
                <w:rFonts w:cstheme="minorHAnsi"/>
                <w:iCs/>
                <w:color w:val="000000"/>
              </w:rPr>
              <w:t>Cancer</w:t>
            </w:r>
          </w:p>
        </w:tc>
        <w:tc>
          <w:tcPr>
            <w:tcW w:w="995" w:type="dxa"/>
            <w:tcBorders>
              <w:top w:val="nil"/>
              <w:left w:val="nil"/>
              <w:bottom w:val="nil"/>
              <w:right w:val="nil"/>
            </w:tcBorders>
            <w:shd w:val="clear" w:color="auto" w:fill="auto"/>
            <w:tcMar>
              <w:left w:w="67" w:type="dxa"/>
              <w:right w:w="67" w:type="dxa"/>
            </w:tcMar>
            <w:vAlign w:val="center"/>
          </w:tcPr>
          <w:p w:rsidR="006D2CFB" w:rsidRPr="003075E9" w:rsidRDefault="006D2CFB" w:rsidP="001E3672">
            <w:pPr>
              <w:keepNext/>
              <w:adjustRightInd w:val="0"/>
              <w:spacing w:before="67" w:after="67"/>
              <w:jc w:val="center"/>
              <w:rPr>
                <w:rFonts w:cstheme="minorHAnsi"/>
                <w:color w:val="000000"/>
              </w:rPr>
            </w:pPr>
            <w:r w:rsidRPr="003075E9">
              <w:rPr>
                <w:rFonts w:cstheme="minorHAnsi"/>
                <w:color w:val="000000"/>
              </w:rPr>
              <w:t>5</w:t>
            </w:r>
          </w:p>
        </w:tc>
        <w:tc>
          <w:tcPr>
            <w:tcW w:w="810" w:type="dxa"/>
            <w:tcBorders>
              <w:top w:val="nil"/>
              <w:left w:val="nil"/>
              <w:bottom w:val="nil"/>
              <w:right w:val="nil"/>
            </w:tcBorders>
            <w:shd w:val="clear" w:color="auto" w:fill="auto"/>
            <w:tcMar>
              <w:left w:w="67" w:type="dxa"/>
              <w:right w:w="67" w:type="dxa"/>
            </w:tcMar>
            <w:vAlign w:val="center"/>
          </w:tcPr>
          <w:p w:rsidR="006D2CFB" w:rsidRPr="003075E9" w:rsidRDefault="006D2CFB" w:rsidP="001E3672">
            <w:pPr>
              <w:keepNext/>
              <w:adjustRightInd w:val="0"/>
              <w:spacing w:before="67" w:after="67"/>
              <w:jc w:val="center"/>
              <w:rPr>
                <w:rFonts w:cstheme="minorHAnsi"/>
                <w:color w:val="000000"/>
              </w:rPr>
            </w:pPr>
            <w:r w:rsidRPr="003075E9">
              <w:rPr>
                <w:rFonts w:cstheme="minorHAnsi"/>
                <w:color w:val="000000"/>
              </w:rPr>
              <w:t>0.1</w:t>
            </w:r>
          </w:p>
        </w:tc>
        <w:tc>
          <w:tcPr>
            <w:tcW w:w="805" w:type="dxa"/>
            <w:tcBorders>
              <w:top w:val="nil"/>
              <w:left w:val="nil"/>
              <w:bottom w:val="nil"/>
              <w:right w:val="nil"/>
            </w:tcBorders>
            <w:shd w:val="clear" w:color="auto" w:fill="auto"/>
            <w:tcMar>
              <w:left w:w="67" w:type="dxa"/>
              <w:right w:w="67" w:type="dxa"/>
            </w:tcMar>
          </w:tcPr>
          <w:p w:rsidR="006D2CFB" w:rsidRDefault="006D2CFB" w:rsidP="001E3672">
            <w:pPr>
              <w:jc w:val="center"/>
            </w:pPr>
            <w:r w:rsidRPr="00B040E3">
              <w:rPr>
                <w:rFonts w:cstheme="minorHAnsi"/>
                <w:color w:val="000000"/>
              </w:rPr>
              <w:t>-</w:t>
            </w:r>
          </w:p>
        </w:tc>
        <w:tc>
          <w:tcPr>
            <w:tcW w:w="800" w:type="dxa"/>
            <w:tcBorders>
              <w:top w:val="nil"/>
              <w:left w:val="nil"/>
              <w:bottom w:val="nil"/>
              <w:right w:val="nil"/>
            </w:tcBorders>
            <w:shd w:val="clear" w:color="auto" w:fill="auto"/>
            <w:tcMar>
              <w:left w:w="67" w:type="dxa"/>
              <w:right w:w="67" w:type="dxa"/>
            </w:tcMar>
          </w:tcPr>
          <w:p w:rsidR="006D2CFB" w:rsidRDefault="006D2CFB" w:rsidP="001E3672">
            <w:pPr>
              <w:jc w:val="center"/>
            </w:pPr>
            <w:r w:rsidRPr="00B040E3">
              <w:rPr>
                <w:rFonts w:cstheme="minorHAnsi"/>
                <w:color w:val="000000"/>
              </w:rPr>
              <w:t>-</w:t>
            </w:r>
          </w:p>
        </w:tc>
        <w:tc>
          <w:tcPr>
            <w:tcW w:w="820" w:type="dxa"/>
            <w:tcBorders>
              <w:top w:val="nil"/>
              <w:left w:val="nil"/>
              <w:bottom w:val="nil"/>
              <w:right w:val="nil"/>
            </w:tcBorders>
            <w:shd w:val="clear" w:color="auto" w:fill="auto"/>
            <w:tcMar>
              <w:left w:w="67" w:type="dxa"/>
              <w:right w:w="67" w:type="dxa"/>
            </w:tcMar>
          </w:tcPr>
          <w:p w:rsidR="006D2CFB" w:rsidRDefault="006D2CFB" w:rsidP="001E3672">
            <w:pPr>
              <w:jc w:val="center"/>
            </w:pPr>
            <w:r w:rsidRPr="006B5F05">
              <w:rPr>
                <w:rFonts w:cstheme="minorHAnsi"/>
                <w:color w:val="000000"/>
              </w:rPr>
              <w:t>-</w:t>
            </w:r>
          </w:p>
        </w:tc>
        <w:tc>
          <w:tcPr>
            <w:tcW w:w="810" w:type="dxa"/>
            <w:tcBorders>
              <w:top w:val="nil"/>
              <w:left w:val="nil"/>
              <w:bottom w:val="nil"/>
              <w:right w:val="nil"/>
            </w:tcBorders>
            <w:shd w:val="clear" w:color="auto" w:fill="auto"/>
            <w:tcMar>
              <w:left w:w="67" w:type="dxa"/>
              <w:right w:w="67" w:type="dxa"/>
            </w:tcMar>
          </w:tcPr>
          <w:p w:rsidR="006D2CFB" w:rsidRDefault="006D2CFB" w:rsidP="001E3672">
            <w:pPr>
              <w:jc w:val="center"/>
            </w:pPr>
            <w:r w:rsidRPr="006B5F05">
              <w:rPr>
                <w:rFonts w:cstheme="minorHAnsi"/>
                <w:color w:val="000000"/>
              </w:rPr>
              <w:t>-</w:t>
            </w:r>
          </w:p>
        </w:tc>
        <w:tc>
          <w:tcPr>
            <w:tcW w:w="810" w:type="dxa"/>
            <w:tcBorders>
              <w:top w:val="nil"/>
              <w:left w:val="nil"/>
              <w:bottom w:val="nil"/>
              <w:right w:val="nil"/>
            </w:tcBorders>
            <w:shd w:val="clear" w:color="auto" w:fill="auto"/>
            <w:tcMar>
              <w:left w:w="67" w:type="dxa"/>
              <w:right w:w="67" w:type="dxa"/>
            </w:tcMar>
          </w:tcPr>
          <w:p w:rsidR="006D2CFB" w:rsidRDefault="006D2CFB" w:rsidP="001E3672">
            <w:pPr>
              <w:jc w:val="center"/>
            </w:pPr>
            <w:r w:rsidRPr="00F06EAD">
              <w:rPr>
                <w:rFonts w:cstheme="minorHAnsi"/>
                <w:color w:val="000000"/>
              </w:rPr>
              <w:t>-</w:t>
            </w:r>
          </w:p>
        </w:tc>
        <w:tc>
          <w:tcPr>
            <w:tcW w:w="900" w:type="dxa"/>
            <w:tcBorders>
              <w:top w:val="nil"/>
              <w:left w:val="nil"/>
              <w:bottom w:val="nil"/>
              <w:right w:val="nil"/>
            </w:tcBorders>
            <w:shd w:val="clear" w:color="auto" w:fill="auto"/>
            <w:tcMar>
              <w:left w:w="67" w:type="dxa"/>
              <w:right w:w="67" w:type="dxa"/>
            </w:tcMar>
          </w:tcPr>
          <w:p w:rsidR="006D2CFB" w:rsidRDefault="006D2CFB" w:rsidP="001E3672">
            <w:pPr>
              <w:jc w:val="center"/>
            </w:pPr>
            <w:r w:rsidRPr="00F06EAD">
              <w:rPr>
                <w:rFonts w:cstheme="minorHAnsi"/>
                <w:color w:val="000000"/>
              </w:rPr>
              <w:t>-</w:t>
            </w:r>
          </w:p>
        </w:tc>
      </w:tr>
      <w:tr w:rsidR="006D2CFB" w:rsidRPr="003075E9" w:rsidTr="001E3672">
        <w:trPr>
          <w:cantSplit/>
          <w:jc w:val="center"/>
        </w:trPr>
        <w:tc>
          <w:tcPr>
            <w:tcW w:w="2695" w:type="dxa"/>
            <w:tcBorders>
              <w:top w:val="nil"/>
              <w:left w:val="nil"/>
              <w:bottom w:val="nil"/>
              <w:right w:val="nil"/>
            </w:tcBorders>
            <w:shd w:val="clear" w:color="auto" w:fill="auto"/>
            <w:tcMar>
              <w:left w:w="67" w:type="dxa"/>
              <w:right w:w="67" w:type="dxa"/>
            </w:tcMar>
            <w:vAlign w:val="center"/>
          </w:tcPr>
          <w:p w:rsidR="006D2CFB" w:rsidRPr="003075E9" w:rsidRDefault="006D2CFB" w:rsidP="001E3672">
            <w:pPr>
              <w:adjustRightInd w:val="0"/>
              <w:spacing w:before="67" w:after="67"/>
              <w:rPr>
                <w:rFonts w:cstheme="minorHAnsi"/>
                <w:iCs/>
                <w:color w:val="000000"/>
              </w:rPr>
            </w:pPr>
            <w:r w:rsidRPr="003075E9">
              <w:rPr>
                <w:rFonts w:cstheme="minorHAnsi"/>
                <w:iCs/>
                <w:color w:val="000000"/>
              </w:rPr>
              <w:t>CVD</w:t>
            </w:r>
          </w:p>
        </w:tc>
        <w:tc>
          <w:tcPr>
            <w:tcW w:w="995" w:type="dxa"/>
            <w:tcBorders>
              <w:top w:val="nil"/>
              <w:left w:val="nil"/>
              <w:bottom w:val="nil"/>
              <w:right w:val="nil"/>
            </w:tcBorders>
            <w:shd w:val="clear" w:color="auto" w:fill="auto"/>
            <w:tcMar>
              <w:left w:w="67" w:type="dxa"/>
              <w:right w:w="67" w:type="dxa"/>
            </w:tcMar>
            <w:vAlign w:val="center"/>
          </w:tcPr>
          <w:p w:rsidR="006D2CFB" w:rsidRPr="003075E9" w:rsidRDefault="006D2CFB" w:rsidP="001E3672">
            <w:pPr>
              <w:keepNext/>
              <w:adjustRightInd w:val="0"/>
              <w:spacing w:before="67" w:after="67"/>
              <w:jc w:val="center"/>
              <w:rPr>
                <w:rFonts w:cstheme="minorHAnsi"/>
                <w:color w:val="000000"/>
              </w:rPr>
            </w:pPr>
            <w:r w:rsidRPr="003075E9">
              <w:rPr>
                <w:rFonts w:cstheme="minorHAnsi"/>
                <w:color w:val="000000"/>
              </w:rPr>
              <w:t>6</w:t>
            </w:r>
          </w:p>
        </w:tc>
        <w:tc>
          <w:tcPr>
            <w:tcW w:w="810" w:type="dxa"/>
            <w:tcBorders>
              <w:top w:val="nil"/>
              <w:left w:val="nil"/>
              <w:bottom w:val="nil"/>
              <w:right w:val="nil"/>
            </w:tcBorders>
            <w:shd w:val="clear" w:color="auto" w:fill="auto"/>
            <w:tcMar>
              <w:left w:w="67" w:type="dxa"/>
              <w:right w:w="67" w:type="dxa"/>
            </w:tcMar>
            <w:vAlign w:val="center"/>
          </w:tcPr>
          <w:p w:rsidR="006D2CFB" w:rsidRPr="003075E9" w:rsidRDefault="006D2CFB" w:rsidP="001E3672">
            <w:pPr>
              <w:keepNext/>
              <w:adjustRightInd w:val="0"/>
              <w:spacing w:before="67" w:after="67"/>
              <w:jc w:val="center"/>
              <w:rPr>
                <w:rFonts w:cstheme="minorHAnsi"/>
                <w:color w:val="000000"/>
              </w:rPr>
            </w:pPr>
            <w:r w:rsidRPr="003075E9">
              <w:rPr>
                <w:rFonts w:cstheme="minorHAnsi"/>
                <w:color w:val="000000"/>
              </w:rPr>
              <w:t>0.1</w:t>
            </w:r>
          </w:p>
        </w:tc>
        <w:tc>
          <w:tcPr>
            <w:tcW w:w="805" w:type="dxa"/>
            <w:tcBorders>
              <w:top w:val="nil"/>
              <w:left w:val="nil"/>
              <w:bottom w:val="nil"/>
              <w:right w:val="nil"/>
            </w:tcBorders>
            <w:shd w:val="clear" w:color="auto" w:fill="auto"/>
            <w:tcMar>
              <w:left w:w="67" w:type="dxa"/>
              <w:right w:w="67" w:type="dxa"/>
            </w:tcMar>
          </w:tcPr>
          <w:p w:rsidR="006D2CFB" w:rsidRDefault="006D2CFB" w:rsidP="001E3672">
            <w:pPr>
              <w:jc w:val="center"/>
            </w:pPr>
            <w:r w:rsidRPr="00B040E3">
              <w:rPr>
                <w:rFonts w:cstheme="minorHAnsi"/>
                <w:color w:val="000000"/>
              </w:rPr>
              <w:t>-</w:t>
            </w:r>
          </w:p>
        </w:tc>
        <w:tc>
          <w:tcPr>
            <w:tcW w:w="800" w:type="dxa"/>
            <w:tcBorders>
              <w:top w:val="nil"/>
              <w:left w:val="nil"/>
              <w:bottom w:val="nil"/>
              <w:right w:val="nil"/>
            </w:tcBorders>
            <w:shd w:val="clear" w:color="auto" w:fill="auto"/>
            <w:tcMar>
              <w:left w:w="67" w:type="dxa"/>
              <w:right w:w="67" w:type="dxa"/>
            </w:tcMar>
          </w:tcPr>
          <w:p w:rsidR="006D2CFB" w:rsidRDefault="006D2CFB" w:rsidP="001E3672">
            <w:pPr>
              <w:jc w:val="center"/>
            </w:pPr>
            <w:r w:rsidRPr="00B040E3">
              <w:rPr>
                <w:rFonts w:cstheme="minorHAnsi"/>
                <w:color w:val="000000"/>
              </w:rPr>
              <w:t>-</w:t>
            </w:r>
          </w:p>
        </w:tc>
        <w:tc>
          <w:tcPr>
            <w:tcW w:w="820" w:type="dxa"/>
            <w:tcBorders>
              <w:top w:val="nil"/>
              <w:left w:val="nil"/>
              <w:bottom w:val="nil"/>
              <w:right w:val="nil"/>
            </w:tcBorders>
            <w:shd w:val="clear" w:color="auto" w:fill="auto"/>
            <w:tcMar>
              <w:left w:w="67" w:type="dxa"/>
              <w:right w:w="67" w:type="dxa"/>
            </w:tcMar>
          </w:tcPr>
          <w:p w:rsidR="006D2CFB" w:rsidRDefault="006D2CFB" w:rsidP="001E3672">
            <w:pPr>
              <w:jc w:val="center"/>
            </w:pPr>
            <w:r w:rsidRPr="006B5F05">
              <w:rPr>
                <w:rFonts w:cstheme="minorHAnsi"/>
                <w:color w:val="000000"/>
              </w:rPr>
              <w:t>-</w:t>
            </w:r>
          </w:p>
        </w:tc>
        <w:tc>
          <w:tcPr>
            <w:tcW w:w="810" w:type="dxa"/>
            <w:tcBorders>
              <w:top w:val="nil"/>
              <w:left w:val="nil"/>
              <w:bottom w:val="nil"/>
              <w:right w:val="nil"/>
            </w:tcBorders>
            <w:shd w:val="clear" w:color="auto" w:fill="auto"/>
            <w:tcMar>
              <w:left w:w="67" w:type="dxa"/>
              <w:right w:w="67" w:type="dxa"/>
            </w:tcMar>
          </w:tcPr>
          <w:p w:rsidR="006D2CFB" w:rsidRDefault="006D2CFB" w:rsidP="001E3672">
            <w:pPr>
              <w:jc w:val="center"/>
            </w:pPr>
            <w:r w:rsidRPr="006B5F05">
              <w:rPr>
                <w:rFonts w:cstheme="minorHAnsi"/>
                <w:color w:val="000000"/>
              </w:rPr>
              <w:t>-</w:t>
            </w:r>
          </w:p>
        </w:tc>
        <w:tc>
          <w:tcPr>
            <w:tcW w:w="810" w:type="dxa"/>
            <w:tcBorders>
              <w:top w:val="nil"/>
              <w:left w:val="nil"/>
              <w:bottom w:val="nil"/>
              <w:right w:val="nil"/>
            </w:tcBorders>
            <w:shd w:val="clear" w:color="auto" w:fill="auto"/>
            <w:tcMar>
              <w:left w:w="67" w:type="dxa"/>
              <w:right w:w="67" w:type="dxa"/>
            </w:tcMar>
          </w:tcPr>
          <w:p w:rsidR="006D2CFB" w:rsidRDefault="006D2CFB" w:rsidP="001E3672">
            <w:pPr>
              <w:jc w:val="center"/>
            </w:pPr>
            <w:r w:rsidRPr="00F06EAD">
              <w:rPr>
                <w:rFonts w:cstheme="minorHAnsi"/>
                <w:color w:val="000000"/>
              </w:rPr>
              <w:t>-</w:t>
            </w:r>
          </w:p>
        </w:tc>
        <w:tc>
          <w:tcPr>
            <w:tcW w:w="900" w:type="dxa"/>
            <w:tcBorders>
              <w:top w:val="nil"/>
              <w:left w:val="nil"/>
              <w:bottom w:val="nil"/>
              <w:right w:val="nil"/>
            </w:tcBorders>
            <w:shd w:val="clear" w:color="auto" w:fill="auto"/>
            <w:tcMar>
              <w:left w:w="67" w:type="dxa"/>
              <w:right w:w="67" w:type="dxa"/>
            </w:tcMar>
          </w:tcPr>
          <w:p w:rsidR="006D2CFB" w:rsidRDefault="006D2CFB" w:rsidP="001E3672">
            <w:pPr>
              <w:jc w:val="center"/>
            </w:pPr>
            <w:r w:rsidRPr="00F06EAD">
              <w:rPr>
                <w:rFonts w:cstheme="minorHAnsi"/>
                <w:color w:val="000000"/>
              </w:rPr>
              <w:t>-</w:t>
            </w:r>
          </w:p>
        </w:tc>
      </w:tr>
      <w:tr w:rsidR="006D2CFB" w:rsidRPr="003075E9" w:rsidTr="001E3672">
        <w:trPr>
          <w:cantSplit/>
          <w:jc w:val="center"/>
        </w:trPr>
        <w:tc>
          <w:tcPr>
            <w:tcW w:w="2695" w:type="dxa"/>
            <w:tcBorders>
              <w:top w:val="nil"/>
              <w:left w:val="nil"/>
              <w:bottom w:val="nil"/>
              <w:right w:val="nil"/>
            </w:tcBorders>
            <w:shd w:val="clear" w:color="auto" w:fill="auto"/>
            <w:tcMar>
              <w:left w:w="67" w:type="dxa"/>
              <w:right w:w="67" w:type="dxa"/>
            </w:tcMar>
            <w:vAlign w:val="center"/>
          </w:tcPr>
          <w:p w:rsidR="006D2CFB" w:rsidRPr="003075E9" w:rsidRDefault="006D2CFB" w:rsidP="001E3672">
            <w:pPr>
              <w:adjustRightInd w:val="0"/>
              <w:spacing w:before="67" w:after="67"/>
              <w:rPr>
                <w:rFonts w:cstheme="minorHAnsi"/>
                <w:iCs/>
                <w:color w:val="000000"/>
              </w:rPr>
            </w:pPr>
            <w:r w:rsidRPr="003075E9">
              <w:rPr>
                <w:rFonts w:cstheme="minorHAnsi"/>
                <w:iCs/>
                <w:color w:val="000000"/>
              </w:rPr>
              <w:t>Diabetes</w:t>
            </w:r>
          </w:p>
        </w:tc>
        <w:tc>
          <w:tcPr>
            <w:tcW w:w="995" w:type="dxa"/>
            <w:tcBorders>
              <w:top w:val="nil"/>
              <w:left w:val="nil"/>
              <w:bottom w:val="nil"/>
              <w:right w:val="nil"/>
            </w:tcBorders>
            <w:shd w:val="clear" w:color="auto" w:fill="auto"/>
            <w:tcMar>
              <w:left w:w="67" w:type="dxa"/>
              <w:right w:w="67" w:type="dxa"/>
            </w:tcMar>
            <w:vAlign w:val="center"/>
          </w:tcPr>
          <w:p w:rsidR="006D2CFB" w:rsidRPr="003075E9" w:rsidRDefault="006D2CFB" w:rsidP="001E3672">
            <w:pPr>
              <w:keepNext/>
              <w:adjustRightInd w:val="0"/>
              <w:spacing w:before="67" w:after="67"/>
              <w:jc w:val="center"/>
              <w:rPr>
                <w:rFonts w:cstheme="minorHAnsi"/>
                <w:color w:val="000000"/>
              </w:rPr>
            </w:pPr>
            <w:r w:rsidRPr="003075E9">
              <w:rPr>
                <w:rFonts w:cstheme="minorHAnsi"/>
                <w:color w:val="000000"/>
              </w:rPr>
              <w:t>5</w:t>
            </w:r>
          </w:p>
        </w:tc>
        <w:tc>
          <w:tcPr>
            <w:tcW w:w="810" w:type="dxa"/>
            <w:tcBorders>
              <w:top w:val="nil"/>
              <w:left w:val="nil"/>
              <w:bottom w:val="nil"/>
              <w:right w:val="nil"/>
            </w:tcBorders>
            <w:shd w:val="clear" w:color="auto" w:fill="auto"/>
            <w:tcMar>
              <w:left w:w="67" w:type="dxa"/>
              <w:right w:w="67" w:type="dxa"/>
            </w:tcMar>
            <w:vAlign w:val="center"/>
          </w:tcPr>
          <w:p w:rsidR="006D2CFB" w:rsidRPr="003075E9" w:rsidRDefault="006D2CFB" w:rsidP="001E3672">
            <w:pPr>
              <w:keepNext/>
              <w:adjustRightInd w:val="0"/>
              <w:spacing w:before="67" w:after="67"/>
              <w:jc w:val="center"/>
              <w:rPr>
                <w:rFonts w:cstheme="minorHAnsi"/>
                <w:color w:val="000000"/>
              </w:rPr>
            </w:pPr>
            <w:r w:rsidRPr="003075E9">
              <w:rPr>
                <w:rFonts w:cstheme="minorHAnsi"/>
                <w:color w:val="000000"/>
              </w:rPr>
              <w:t>0.1</w:t>
            </w:r>
          </w:p>
        </w:tc>
        <w:tc>
          <w:tcPr>
            <w:tcW w:w="805" w:type="dxa"/>
            <w:tcBorders>
              <w:top w:val="nil"/>
              <w:left w:val="nil"/>
              <w:bottom w:val="nil"/>
              <w:right w:val="nil"/>
            </w:tcBorders>
            <w:shd w:val="clear" w:color="auto" w:fill="auto"/>
            <w:tcMar>
              <w:left w:w="67" w:type="dxa"/>
              <w:right w:w="67" w:type="dxa"/>
            </w:tcMar>
          </w:tcPr>
          <w:p w:rsidR="006D2CFB" w:rsidRDefault="006D2CFB" w:rsidP="001E3672">
            <w:pPr>
              <w:jc w:val="center"/>
            </w:pPr>
            <w:r w:rsidRPr="00B040E3">
              <w:rPr>
                <w:rFonts w:cstheme="minorHAnsi"/>
                <w:color w:val="000000"/>
              </w:rPr>
              <w:t>-</w:t>
            </w:r>
          </w:p>
        </w:tc>
        <w:tc>
          <w:tcPr>
            <w:tcW w:w="800" w:type="dxa"/>
            <w:tcBorders>
              <w:top w:val="nil"/>
              <w:left w:val="nil"/>
              <w:bottom w:val="nil"/>
              <w:right w:val="nil"/>
            </w:tcBorders>
            <w:shd w:val="clear" w:color="auto" w:fill="auto"/>
            <w:tcMar>
              <w:left w:w="67" w:type="dxa"/>
              <w:right w:w="67" w:type="dxa"/>
            </w:tcMar>
          </w:tcPr>
          <w:p w:rsidR="006D2CFB" w:rsidRDefault="006D2CFB" w:rsidP="001E3672">
            <w:pPr>
              <w:jc w:val="center"/>
            </w:pPr>
            <w:r w:rsidRPr="00B040E3">
              <w:rPr>
                <w:rFonts w:cstheme="minorHAnsi"/>
                <w:color w:val="000000"/>
              </w:rPr>
              <w:t>-</w:t>
            </w:r>
          </w:p>
        </w:tc>
        <w:tc>
          <w:tcPr>
            <w:tcW w:w="820" w:type="dxa"/>
            <w:tcBorders>
              <w:top w:val="nil"/>
              <w:left w:val="nil"/>
              <w:bottom w:val="nil"/>
              <w:right w:val="nil"/>
            </w:tcBorders>
            <w:shd w:val="clear" w:color="auto" w:fill="auto"/>
            <w:tcMar>
              <w:left w:w="67" w:type="dxa"/>
              <w:right w:w="67" w:type="dxa"/>
            </w:tcMar>
            <w:vAlign w:val="center"/>
          </w:tcPr>
          <w:p w:rsidR="006D2CFB" w:rsidRPr="003075E9" w:rsidRDefault="006D2CFB" w:rsidP="001E3672">
            <w:pPr>
              <w:keepNext/>
              <w:adjustRightInd w:val="0"/>
              <w:spacing w:before="67" w:after="67"/>
              <w:jc w:val="center"/>
              <w:rPr>
                <w:rFonts w:cstheme="minorHAnsi"/>
                <w:color w:val="000000"/>
              </w:rPr>
            </w:pPr>
            <w:r w:rsidRPr="003075E9">
              <w:rPr>
                <w:rFonts w:cstheme="minorHAnsi"/>
                <w:color w:val="000000"/>
              </w:rPr>
              <w:t>1</w:t>
            </w:r>
          </w:p>
        </w:tc>
        <w:tc>
          <w:tcPr>
            <w:tcW w:w="810" w:type="dxa"/>
            <w:tcBorders>
              <w:top w:val="nil"/>
              <w:left w:val="nil"/>
              <w:bottom w:val="nil"/>
              <w:right w:val="nil"/>
            </w:tcBorders>
            <w:shd w:val="clear" w:color="auto" w:fill="auto"/>
            <w:tcMar>
              <w:left w:w="67" w:type="dxa"/>
              <w:right w:w="67" w:type="dxa"/>
            </w:tcMar>
            <w:vAlign w:val="center"/>
          </w:tcPr>
          <w:p w:rsidR="006D2CFB" w:rsidRPr="003075E9" w:rsidRDefault="006D2CFB" w:rsidP="001E3672">
            <w:pPr>
              <w:keepNext/>
              <w:adjustRightInd w:val="0"/>
              <w:spacing w:before="67" w:after="67"/>
              <w:jc w:val="center"/>
              <w:rPr>
                <w:rFonts w:cstheme="minorHAnsi"/>
                <w:color w:val="000000"/>
              </w:rPr>
            </w:pPr>
            <w:r w:rsidRPr="003075E9">
              <w:rPr>
                <w:rFonts w:cstheme="minorHAnsi"/>
                <w:color w:val="000000"/>
              </w:rPr>
              <w:t>0.1</w:t>
            </w:r>
          </w:p>
        </w:tc>
        <w:tc>
          <w:tcPr>
            <w:tcW w:w="810" w:type="dxa"/>
            <w:tcBorders>
              <w:top w:val="nil"/>
              <w:left w:val="nil"/>
              <w:bottom w:val="nil"/>
              <w:right w:val="nil"/>
            </w:tcBorders>
            <w:shd w:val="clear" w:color="auto" w:fill="auto"/>
            <w:tcMar>
              <w:left w:w="67" w:type="dxa"/>
              <w:right w:w="67" w:type="dxa"/>
            </w:tcMar>
          </w:tcPr>
          <w:p w:rsidR="006D2CFB" w:rsidRDefault="006D2CFB" w:rsidP="001E3672">
            <w:pPr>
              <w:jc w:val="center"/>
            </w:pPr>
            <w:r w:rsidRPr="00F06EAD">
              <w:rPr>
                <w:rFonts w:cstheme="minorHAnsi"/>
                <w:color w:val="000000"/>
              </w:rPr>
              <w:t>-</w:t>
            </w:r>
          </w:p>
        </w:tc>
        <w:tc>
          <w:tcPr>
            <w:tcW w:w="900" w:type="dxa"/>
            <w:tcBorders>
              <w:top w:val="nil"/>
              <w:left w:val="nil"/>
              <w:bottom w:val="nil"/>
              <w:right w:val="nil"/>
            </w:tcBorders>
            <w:shd w:val="clear" w:color="auto" w:fill="auto"/>
            <w:tcMar>
              <w:left w:w="67" w:type="dxa"/>
              <w:right w:w="67" w:type="dxa"/>
            </w:tcMar>
          </w:tcPr>
          <w:p w:rsidR="006D2CFB" w:rsidRDefault="006D2CFB" w:rsidP="001E3672">
            <w:pPr>
              <w:jc w:val="center"/>
            </w:pPr>
            <w:r w:rsidRPr="00F06EAD">
              <w:rPr>
                <w:rFonts w:cstheme="minorHAnsi"/>
                <w:color w:val="000000"/>
              </w:rPr>
              <w:t>-</w:t>
            </w:r>
          </w:p>
        </w:tc>
      </w:tr>
      <w:tr w:rsidR="006D2CFB" w:rsidRPr="003075E9" w:rsidTr="001E3672">
        <w:trPr>
          <w:cantSplit/>
          <w:jc w:val="center"/>
        </w:trPr>
        <w:tc>
          <w:tcPr>
            <w:tcW w:w="2695" w:type="dxa"/>
            <w:tcBorders>
              <w:top w:val="nil"/>
              <w:left w:val="nil"/>
              <w:bottom w:val="nil"/>
              <w:right w:val="nil"/>
            </w:tcBorders>
            <w:shd w:val="clear" w:color="auto" w:fill="auto"/>
            <w:tcMar>
              <w:left w:w="67" w:type="dxa"/>
              <w:right w:w="67" w:type="dxa"/>
            </w:tcMar>
            <w:vAlign w:val="center"/>
          </w:tcPr>
          <w:p w:rsidR="006D2CFB" w:rsidRPr="003075E9" w:rsidRDefault="006D2CFB" w:rsidP="001E3672">
            <w:pPr>
              <w:adjustRightInd w:val="0"/>
              <w:spacing w:before="67" w:after="67"/>
              <w:rPr>
                <w:rFonts w:cstheme="minorHAnsi"/>
                <w:iCs/>
                <w:color w:val="000000"/>
              </w:rPr>
            </w:pPr>
            <w:r w:rsidRPr="003075E9">
              <w:rPr>
                <w:rFonts w:cstheme="minorHAnsi"/>
                <w:iCs/>
                <w:color w:val="000000"/>
              </w:rPr>
              <w:t>High blood pressure</w:t>
            </w:r>
          </w:p>
        </w:tc>
        <w:tc>
          <w:tcPr>
            <w:tcW w:w="995" w:type="dxa"/>
            <w:tcBorders>
              <w:top w:val="nil"/>
              <w:left w:val="nil"/>
              <w:bottom w:val="nil"/>
              <w:right w:val="nil"/>
            </w:tcBorders>
            <w:shd w:val="clear" w:color="auto" w:fill="auto"/>
            <w:tcMar>
              <w:left w:w="67" w:type="dxa"/>
              <w:right w:w="67" w:type="dxa"/>
            </w:tcMar>
            <w:vAlign w:val="center"/>
          </w:tcPr>
          <w:p w:rsidR="006D2CFB" w:rsidRPr="003075E9" w:rsidRDefault="006D2CFB" w:rsidP="001E3672">
            <w:pPr>
              <w:keepNext/>
              <w:adjustRightInd w:val="0"/>
              <w:spacing w:before="67" w:after="67"/>
              <w:jc w:val="center"/>
              <w:rPr>
                <w:rFonts w:cstheme="minorHAnsi"/>
                <w:color w:val="000000"/>
              </w:rPr>
            </w:pPr>
            <w:r w:rsidRPr="003075E9">
              <w:rPr>
                <w:rFonts w:cstheme="minorHAnsi"/>
                <w:color w:val="000000"/>
              </w:rPr>
              <w:t>10</w:t>
            </w:r>
          </w:p>
        </w:tc>
        <w:tc>
          <w:tcPr>
            <w:tcW w:w="810" w:type="dxa"/>
            <w:tcBorders>
              <w:top w:val="nil"/>
              <w:left w:val="nil"/>
              <w:bottom w:val="nil"/>
              <w:right w:val="nil"/>
            </w:tcBorders>
            <w:shd w:val="clear" w:color="auto" w:fill="auto"/>
            <w:tcMar>
              <w:left w:w="67" w:type="dxa"/>
              <w:right w:w="67" w:type="dxa"/>
            </w:tcMar>
            <w:vAlign w:val="center"/>
          </w:tcPr>
          <w:p w:rsidR="006D2CFB" w:rsidRPr="003075E9" w:rsidRDefault="006D2CFB" w:rsidP="001E3672">
            <w:pPr>
              <w:keepNext/>
              <w:adjustRightInd w:val="0"/>
              <w:spacing w:before="67" w:after="67"/>
              <w:jc w:val="center"/>
              <w:rPr>
                <w:rFonts w:cstheme="minorHAnsi"/>
                <w:color w:val="000000"/>
              </w:rPr>
            </w:pPr>
            <w:r w:rsidRPr="003075E9">
              <w:rPr>
                <w:rFonts w:cstheme="minorHAnsi"/>
                <w:color w:val="000000"/>
              </w:rPr>
              <w:t>0.2</w:t>
            </w:r>
          </w:p>
        </w:tc>
        <w:tc>
          <w:tcPr>
            <w:tcW w:w="805" w:type="dxa"/>
            <w:tcBorders>
              <w:top w:val="nil"/>
              <w:left w:val="nil"/>
              <w:bottom w:val="nil"/>
              <w:right w:val="nil"/>
            </w:tcBorders>
            <w:shd w:val="clear" w:color="auto" w:fill="auto"/>
            <w:tcMar>
              <w:left w:w="67" w:type="dxa"/>
              <w:right w:w="67" w:type="dxa"/>
            </w:tcMar>
          </w:tcPr>
          <w:p w:rsidR="006D2CFB" w:rsidRDefault="006D2CFB" w:rsidP="001E3672">
            <w:pPr>
              <w:jc w:val="center"/>
            </w:pPr>
            <w:r w:rsidRPr="00B040E3">
              <w:rPr>
                <w:rFonts w:cstheme="minorHAnsi"/>
                <w:color w:val="000000"/>
              </w:rPr>
              <w:t>-</w:t>
            </w:r>
          </w:p>
        </w:tc>
        <w:tc>
          <w:tcPr>
            <w:tcW w:w="800" w:type="dxa"/>
            <w:tcBorders>
              <w:top w:val="nil"/>
              <w:left w:val="nil"/>
              <w:bottom w:val="nil"/>
              <w:right w:val="nil"/>
            </w:tcBorders>
            <w:shd w:val="clear" w:color="auto" w:fill="auto"/>
            <w:tcMar>
              <w:left w:w="67" w:type="dxa"/>
              <w:right w:w="67" w:type="dxa"/>
            </w:tcMar>
          </w:tcPr>
          <w:p w:rsidR="006D2CFB" w:rsidRDefault="006D2CFB" w:rsidP="001E3672">
            <w:pPr>
              <w:jc w:val="center"/>
            </w:pPr>
            <w:r w:rsidRPr="00B040E3">
              <w:rPr>
                <w:rFonts w:cstheme="minorHAnsi"/>
                <w:color w:val="000000"/>
              </w:rPr>
              <w:t>-</w:t>
            </w:r>
          </w:p>
        </w:tc>
        <w:tc>
          <w:tcPr>
            <w:tcW w:w="820" w:type="dxa"/>
            <w:tcBorders>
              <w:top w:val="nil"/>
              <w:left w:val="nil"/>
              <w:bottom w:val="nil"/>
              <w:right w:val="nil"/>
            </w:tcBorders>
            <w:shd w:val="clear" w:color="auto" w:fill="auto"/>
            <w:tcMar>
              <w:left w:w="67" w:type="dxa"/>
              <w:right w:w="67" w:type="dxa"/>
            </w:tcMar>
          </w:tcPr>
          <w:p w:rsidR="006D2CFB" w:rsidRDefault="006D2CFB" w:rsidP="001E3672">
            <w:pPr>
              <w:jc w:val="center"/>
            </w:pPr>
            <w:r w:rsidRPr="00A92902">
              <w:rPr>
                <w:rFonts w:cstheme="minorHAnsi"/>
                <w:color w:val="000000"/>
              </w:rPr>
              <w:t>-</w:t>
            </w:r>
          </w:p>
        </w:tc>
        <w:tc>
          <w:tcPr>
            <w:tcW w:w="810" w:type="dxa"/>
            <w:tcBorders>
              <w:top w:val="nil"/>
              <w:left w:val="nil"/>
              <w:bottom w:val="nil"/>
              <w:right w:val="nil"/>
            </w:tcBorders>
            <w:shd w:val="clear" w:color="auto" w:fill="auto"/>
            <w:tcMar>
              <w:left w:w="67" w:type="dxa"/>
              <w:right w:w="67" w:type="dxa"/>
            </w:tcMar>
          </w:tcPr>
          <w:p w:rsidR="006D2CFB" w:rsidRDefault="006D2CFB" w:rsidP="001E3672">
            <w:pPr>
              <w:jc w:val="center"/>
            </w:pPr>
            <w:r w:rsidRPr="00A92902">
              <w:rPr>
                <w:rFonts w:cstheme="minorHAnsi"/>
                <w:color w:val="000000"/>
              </w:rPr>
              <w:t>-</w:t>
            </w:r>
          </w:p>
        </w:tc>
        <w:tc>
          <w:tcPr>
            <w:tcW w:w="810" w:type="dxa"/>
            <w:tcBorders>
              <w:top w:val="nil"/>
              <w:left w:val="nil"/>
              <w:bottom w:val="nil"/>
              <w:right w:val="nil"/>
            </w:tcBorders>
            <w:shd w:val="clear" w:color="auto" w:fill="auto"/>
            <w:tcMar>
              <w:left w:w="67" w:type="dxa"/>
              <w:right w:w="67" w:type="dxa"/>
            </w:tcMar>
          </w:tcPr>
          <w:p w:rsidR="006D2CFB" w:rsidRDefault="006D2CFB" w:rsidP="001E3672">
            <w:pPr>
              <w:jc w:val="center"/>
            </w:pPr>
            <w:r w:rsidRPr="00F06EAD">
              <w:rPr>
                <w:rFonts w:cstheme="minorHAnsi"/>
                <w:color w:val="000000"/>
              </w:rPr>
              <w:t>-</w:t>
            </w:r>
          </w:p>
        </w:tc>
        <w:tc>
          <w:tcPr>
            <w:tcW w:w="900" w:type="dxa"/>
            <w:tcBorders>
              <w:top w:val="nil"/>
              <w:left w:val="nil"/>
              <w:bottom w:val="nil"/>
              <w:right w:val="nil"/>
            </w:tcBorders>
            <w:shd w:val="clear" w:color="auto" w:fill="auto"/>
            <w:tcMar>
              <w:left w:w="67" w:type="dxa"/>
              <w:right w:w="67" w:type="dxa"/>
            </w:tcMar>
          </w:tcPr>
          <w:p w:rsidR="006D2CFB" w:rsidRDefault="006D2CFB" w:rsidP="001E3672">
            <w:pPr>
              <w:jc w:val="center"/>
            </w:pPr>
            <w:r w:rsidRPr="00F06EAD">
              <w:rPr>
                <w:rFonts w:cstheme="minorHAnsi"/>
                <w:color w:val="000000"/>
              </w:rPr>
              <w:t>-</w:t>
            </w:r>
          </w:p>
        </w:tc>
      </w:tr>
      <w:tr w:rsidR="006D2CFB" w:rsidRPr="003075E9" w:rsidTr="001E3672">
        <w:trPr>
          <w:cantSplit/>
          <w:jc w:val="center"/>
        </w:trPr>
        <w:tc>
          <w:tcPr>
            <w:tcW w:w="2695" w:type="dxa"/>
            <w:tcBorders>
              <w:top w:val="nil"/>
              <w:left w:val="nil"/>
              <w:right w:val="nil"/>
            </w:tcBorders>
            <w:shd w:val="clear" w:color="auto" w:fill="auto"/>
            <w:tcMar>
              <w:left w:w="67" w:type="dxa"/>
              <w:right w:w="67" w:type="dxa"/>
            </w:tcMar>
            <w:vAlign w:val="center"/>
          </w:tcPr>
          <w:p w:rsidR="006D2CFB" w:rsidRPr="003075E9" w:rsidRDefault="006D2CFB" w:rsidP="001E3672">
            <w:pPr>
              <w:adjustRightInd w:val="0"/>
              <w:spacing w:before="67" w:after="67"/>
              <w:rPr>
                <w:rFonts w:cstheme="minorHAnsi"/>
                <w:iCs/>
                <w:color w:val="000000"/>
              </w:rPr>
            </w:pPr>
            <w:r w:rsidRPr="003075E9">
              <w:rPr>
                <w:rFonts w:cstheme="minorHAnsi"/>
                <w:iCs/>
                <w:color w:val="000000"/>
              </w:rPr>
              <w:t>Liver disease</w:t>
            </w:r>
          </w:p>
        </w:tc>
        <w:tc>
          <w:tcPr>
            <w:tcW w:w="995" w:type="dxa"/>
            <w:tcBorders>
              <w:top w:val="nil"/>
              <w:left w:val="nil"/>
              <w:right w:val="nil"/>
            </w:tcBorders>
            <w:shd w:val="clear" w:color="auto" w:fill="auto"/>
            <w:tcMar>
              <w:left w:w="67" w:type="dxa"/>
              <w:right w:w="67" w:type="dxa"/>
            </w:tcMar>
            <w:vAlign w:val="center"/>
          </w:tcPr>
          <w:p w:rsidR="006D2CFB" w:rsidRPr="003075E9" w:rsidRDefault="006D2CFB" w:rsidP="001E3672">
            <w:pPr>
              <w:keepNext/>
              <w:adjustRightInd w:val="0"/>
              <w:spacing w:before="67" w:after="67"/>
              <w:jc w:val="center"/>
              <w:rPr>
                <w:rFonts w:cstheme="minorHAnsi"/>
                <w:color w:val="000000"/>
              </w:rPr>
            </w:pPr>
            <w:r w:rsidRPr="003075E9">
              <w:rPr>
                <w:rFonts w:cstheme="minorHAnsi"/>
                <w:color w:val="000000"/>
              </w:rPr>
              <w:t>6</w:t>
            </w:r>
          </w:p>
        </w:tc>
        <w:tc>
          <w:tcPr>
            <w:tcW w:w="810" w:type="dxa"/>
            <w:tcBorders>
              <w:top w:val="nil"/>
              <w:left w:val="nil"/>
              <w:right w:val="nil"/>
            </w:tcBorders>
            <w:shd w:val="clear" w:color="auto" w:fill="auto"/>
            <w:tcMar>
              <w:left w:w="67" w:type="dxa"/>
              <w:right w:w="67" w:type="dxa"/>
            </w:tcMar>
            <w:vAlign w:val="center"/>
          </w:tcPr>
          <w:p w:rsidR="006D2CFB" w:rsidRPr="003075E9" w:rsidRDefault="006D2CFB" w:rsidP="001E3672">
            <w:pPr>
              <w:keepNext/>
              <w:adjustRightInd w:val="0"/>
              <w:spacing w:before="67" w:after="67"/>
              <w:jc w:val="center"/>
              <w:rPr>
                <w:rFonts w:cstheme="minorHAnsi"/>
                <w:color w:val="000000"/>
              </w:rPr>
            </w:pPr>
            <w:r w:rsidRPr="003075E9">
              <w:rPr>
                <w:rFonts w:cstheme="minorHAnsi"/>
                <w:color w:val="000000"/>
              </w:rPr>
              <w:t>0.1</w:t>
            </w:r>
          </w:p>
        </w:tc>
        <w:tc>
          <w:tcPr>
            <w:tcW w:w="805" w:type="dxa"/>
            <w:tcBorders>
              <w:top w:val="nil"/>
              <w:left w:val="nil"/>
              <w:right w:val="nil"/>
            </w:tcBorders>
            <w:shd w:val="clear" w:color="auto" w:fill="auto"/>
            <w:tcMar>
              <w:left w:w="67" w:type="dxa"/>
              <w:right w:w="67" w:type="dxa"/>
            </w:tcMar>
          </w:tcPr>
          <w:p w:rsidR="006D2CFB" w:rsidRDefault="006D2CFB" w:rsidP="001E3672">
            <w:pPr>
              <w:jc w:val="center"/>
            </w:pPr>
            <w:r w:rsidRPr="00B040E3">
              <w:rPr>
                <w:rFonts w:cstheme="minorHAnsi"/>
                <w:color w:val="000000"/>
              </w:rPr>
              <w:t>-</w:t>
            </w:r>
          </w:p>
        </w:tc>
        <w:tc>
          <w:tcPr>
            <w:tcW w:w="800" w:type="dxa"/>
            <w:tcBorders>
              <w:top w:val="nil"/>
              <w:left w:val="nil"/>
              <w:right w:val="nil"/>
            </w:tcBorders>
            <w:shd w:val="clear" w:color="auto" w:fill="auto"/>
            <w:tcMar>
              <w:left w:w="67" w:type="dxa"/>
              <w:right w:w="67" w:type="dxa"/>
            </w:tcMar>
          </w:tcPr>
          <w:p w:rsidR="006D2CFB" w:rsidRDefault="006D2CFB" w:rsidP="001E3672">
            <w:pPr>
              <w:jc w:val="center"/>
            </w:pPr>
            <w:r w:rsidRPr="00B040E3">
              <w:rPr>
                <w:rFonts w:cstheme="minorHAnsi"/>
                <w:color w:val="000000"/>
              </w:rPr>
              <w:t>-</w:t>
            </w:r>
          </w:p>
        </w:tc>
        <w:tc>
          <w:tcPr>
            <w:tcW w:w="820" w:type="dxa"/>
            <w:tcBorders>
              <w:top w:val="nil"/>
              <w:left w:val="nil"/>
              <w:right w:val="nil"/>
            </w:tcBorders>
            <w:shd w:val="clear" w:color="auto" w:fill="auto"/>
            <w:tcMar>
              <w:left w:w="67" w:type="dxa"/>
              <w:right w:w="67" w:type="dxa"/>
            </w:tcMar>
          </w:tcPr>
          <w:p w:rsidR="006D2CFB" w:rsidRDefault="006D2CFB" w:rsidP="001E3672">
            <w:pPr>
              <w:jc w:val="center"/>
            </w:pPr>
            <w:r w:rsidRPr="00A92902">
              <w:rPr>
                <w:rFonts w:cstheme="minorHAnsi"/>
                <w:color w:val="000000"/>
              </w:rPr>
              <w:t>-</w:t>
            </w:r>
          </w:p>
        </w:tc>
        <w:tc>
          <w:tcPr>
            <w:tcW w:w="810" w:type="dxa"/>
            <w:tcBorders>
              <w:top w:val="nil"/>
              <w:left w:val="nil"/>
              <w:right w:val="nil"/>
            </w:tcBorders>
            <w:shd w:val="clear" w:color="auto" w:fill="auto"/>
            <w:tcMar>
              <w:left w:w="67" w:type="dxa"/>
              <w:right w:w="67" w:type="dxa"/>
            </w:tcMar>
          </w:tcPr>
          <w:p w:rsidR="006D2CFB" w:rsidRDefault="006D2CFB" w:rsidP="001E3672">
            <w:pPr>
              <w:jc w:val="center"/>
            </w:pPr>
            <w:r w:rsidRPr="00A92902">
              <w:rPr>
                <w:rFonts w:cstheme="minorHAnsi"/>
                <w:color w:val="000000"/>
              </w:rPr>
              <w:t>-</w:t>
            </w:r>
          </w:p>
        </w:tc>
        <w:tc>
          <w:tcPr>
            <w:tcW w:w="810" w:type="dxa"/>
            <w:tcBorders>
              <w:top w:val="nil"/>
              <w:left w:val="nil"/>
              <w:right w:val="nil"/>
            </w:tcBorders>
            <w:shd w:val="clear" w:color="auto" w:fill="auto"/>
            <w:tcMar>
              <w:left w:w="67" w:type="dxa"/>
              <w:right w:w="67" w:type="dxa"/>
            </w:tcMar>
          </w:tcPr>
          <w:p w:rsidR="006D2CFB" w:rsidRDefault="006D2CFB" w:rsidP="001E3672">
            <w:pPr>
              <w:jc w:val="center"/>
            </w:pPr>
            <w:r w:rsidRPr="00F06EAD">
              <w:rPr>
                <w:rFonts w:cstheme="minorHAnsi"/>
                <w:color w:val="000000"/>
              </w:rPr>
              <w:t>-</w:t>
            </w:r>
          </w:p>
        </w:tc>
        <w:tc>
          <w:tcPr>
            <w:tcW w:w="900" w:type="dxa"/>
            <w:tcBorders>
              <w:top w:val="nil"/>
              <w:left w:val="nil"/>
              <w:right w:val="nil"/>
            </w:tcBorders>
            <w:shd w:val="clear" w:color="auto" w:fill="auto"/>
            <w:tcMar>
              <w:left w:w="67" w:type="dxa"/>
              <w:right w:w="67" w:type="dxa"/>
            </w:tcMar>
          </w:tcPr>
          <w:p w:rsidR="006D2CFB" w:rsidRDefault="006D2CFB" w:rsidP="001E3672">
            <w:pPr>
              <w:jc w:val="center"/>
            </w:pPr>
            <w:r w:rsidRPr="00F06EAD">
              <w:rPr>
                <w:rFonts w:cstheme="minorHAnsi"/>
                <w:color w:val="000000"/>
              </w:rPr>
              <w:t>-</w:t>
            </w:r>
          </w:p>
        </w:tc>
      </w:tr>
    </w:tbl>
    <w:p w:rsidR="006D2CFB" w:rsidRPr="003075E9" w:rsidRDefault="006D2CFB" w:rsidP="006D2CFB">
      <w:pPr>
        <w:rPr>
          <w:rFonts w:cstheme="minorHAnsi"/>
        </w:rPr>
      </w:pPr>
    </w:p>
    <w:p w:rsidR="006D2CFB" w:rsidRPr="000315AC" w:rsidRDefault="006D2CFB" w:rsidP="000315AC">
      <w:pPr>
        <w:shd w:val="clear" w:color="auto" w:fill="FFFFFF"/>
        <w:spacing w:after="0" w:line="480" w:lineRule="auto"/>
        <w:rPr>
          <w:rFonts w:eastAsia="Times New Roman" w:cstheme="minorHAnsi"/>
          <w:color w:val="000000" w:themeColor="text1"/>
          <w:sz w:val="23"/>
          <w:szCs w:val="23"/>
        </w:rPr>
      </w:pPr>
    </w:p>
    <w:sectPr w:rsidR="006D2CFB" w:rsidRPr="000315AC" w:rsidSect="00864AD4">
      <w:footerReference w:type="default" r:id="rId6"/>
      <w:pgSz w:w="12240" w:h="15840"/>
      <w:pgMar w:top="1440" w:right="1440" w:bottom="1440" w:left="1440" w:header="720" w:footer="720" w:gutter="0"/>
      <w:pgNumType w:start="3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AD4" w:rsidRDefault="00864AD4" w:rsidP="00864AD4">
      <w:pPr>
        <w:spacing w:after="0" w:line="240" w:lineRule="auto"/>
      </w:pPr>
      <w:r>
        <w:separator/>
      </w:r>
    </w:p>
  </w:endnote>
  <w:endnote w:type="continuationSeparator" w:id="0">
    <w:p w:rsidR="00864AD4" w:rsidRDefault="00864AD4" w:rsidP="00864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468352"/>
      <w:docPartObj>
        <w:docPartGallery w:val="Page Numbers (Bottom of Page)"/>
        <w:docPartUnique/>
      </w:docPartObj>
    </w:sdtPr>
    <w:sdtEndPr>
      <w:rPr>
        <w:noProof/>
      </w:rPr>
    </w:sdtEndPr>
    <w:sdtContent>
      <w:p w:rsidR="00864AD4" w:rsidRDefault="00864AD4">
        <w:pPr>
          <w:pStyle w:val="Footer"/>
          <w:jc w:val="right"/>
        </w:pPr>
        <w:r>
          <w:fldChar w:fldCharType="begin"/>
        </w:r>
        <w:r>
          <w:instrText xml:space="preserve"> PAGE   \* MERGEFORMAT </w:instrText>
        </w:r>
        <w:r>
          <w:fldChar w:fldCharType="separate"/>
        </w:r>
        <w:r w:rsidR="007C7EBC">
          <w:rPr>
            <w:noProof/>
          </w:rPr>
          <w:t>40</w:t>
        </w:r>
        <w:r>
          <w:rPr>
            <w:noProof/>
          </w:rPr>
          <w:fldChar w:fldCharType="end"/>
        </w:r>
      </w:p>
    </w:sdtContent>
  </w:sdt>
  <w:p w:rsidR="00864AD4" w:rsidRDefault="00864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AD4" w:rsidRDefault="00864AD4" w:rsidP="00864AD4">
      <w:pPr>
        <w:spacing w:after="0" w:line="240" w:lineRule="auto"/>
      </w:pPr>
      <w:r>
        <w:separator/>
      </w:r>
    </w:p>
  </w:footnote>
  <w:footnote w:type="continuationSeparator" w:id="0">
    <w:p w:rsidR="00864AD4" w:rsidRDefault="00864AD4" w:rsidP="00864A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8AE"/>
    <w:rsid w:val="000315AC"/>
    <w:rsid w:val="004A78AE"/>
    <w:rsid w:val="006D2CFB"/>
    <w:rsid w:val="007C7EBC"/>
    <w:rsid w:val="00864AD4"/>
    <w:rsid w:val="00B8019D"/>
    <w:rsid w:val="00C37C68"/>
    <w:rsid w:val="00CD2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024E3-47A7-4CB0-B1B0-4F7C9E90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8A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A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AD4"/>
  </w:style>
  <w:style w:type="paragraph" w:styleId="Footer">
    <w:name w:val="footer"/>
    <w:basedOn w:val="Normal"/>
    <w:link w:val="FooterChar"/>
    <w:uiPriority w:val="99"/>
    <w:unhideWhenUsed/>
    <w:rsid w:val="00864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UNC-Chapel Hill Department of Medicine</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Becki Cleveland</dc:creator>
  <cp:keywords/>
  <dc:description/>
  <cp:lastModifiedBy>Becki Cleveland</cp:lastModifiedBy>
  <cp:revision>2</cp:revision>
  <dcterms:created xsi:type="dcterms:W3CDTF">2020-02-24T17:14:00Z</dcterms:created>
  <dcterms:modified xsi:type="dcterms:W3CDTF">2020-02-24T17:14:00Z</dcterms:modified>
</cp:coreProperties>
</file>