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7"/>
        <w:gridCol w:w="3479"/>
        <w:gridCol w:w="3954"/>
      </w:tblGrid>
      <w:tr w:rsidR="00216659" w:rsidRPr="00FD4F93" w:rsidTr="003F0FBB">
        <w:tc>
          <w:tcPr>
            <w:tcW w:w="9630" w:type="dxa"/>
            <w:gridSpan w:val="3"/>
            <w:tcBorders>
              <w:bottom w:val="single" w:sz="12" w:space="0" w:color="auto"/>
            </w:tcBorders>
          </w:tcPr>
          <w:p w:rsidR="00216659" w:rsidRDefault="00216659" w:rsidP="00D023EF">
            <w:pPr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</w:rPr>
              <w:t xml:space="preserve">Appendix </w:t>
            </w:r>
            <w:r w:rsidRPr="00FD4F93">
              <w:rPr>
                <w:rFonts w:cstheme="minorHAnsi"/>
              </w:rPr>
              <w:t xml:space="preserve">Table </w:t>
            </w:r>
            <w:r w:rsidR="00D023EF">
              <w:rPr>
                <w:rFonts w:cstheme="minorHAnsi"/>
              </w:rPr>
              <w:t>I</w:t>
            </w:r>
            <w:r w:rsidR="000B1F20">
              <w:rPr>
                <w:rFonts w:cstheme="minorHAnsi"/>
              </w:rPr>
              <w:t>I</w:t>
            </w:r>
            <w:r w:rsidR="00766E23">
              <w:rPr>
                <w:rFonts w:cstheme="minorHAnsi"/>
              </w:rPr>
              <w:t>I</w:t>
            </w:r>
            <w:r w:rsidRPr="00FD4F93">
              <w:rPr>
                <w:rFonts w:cstheme="minorHAnsi"/>
              </w:rPr>
              <w:t>. Static and Time-varying Covariates (TVC)</w:t>
            </w:r>
          </w:p>
        </w:tc>
      </w:tr>
      <w:tr w:rsidR="00216659" w:rsidRPr="00FD4F93" w:rsidTr="003F0FBB">
        <w:tc>
          <w:tcPr>
            <w:tcW w:w="2197" w:type="dxa"/>
            <w:tcBorders>
              <w:top w:val="single" w:sz="12" w:space="0" w:color="auto"/>
              <w:bottom w:val="single" w:sz="12" w:space="0" w:color="auto"/>
            </w:tcBorders>
          </w:tcPr>
          <w:p w:rsidR="00216659" w:rsidRPr="00FD4F93" w:rsidRDefault="00216659" w:rsidP="006F3710">
            <w:pPr>
              <w:rPr>
                <w:rFonts w:cstheme="minorHAnsi"/>
              </w:rPr>
            </w:pPr>
            <w:r w:rsidRPr="00FD4F93">
              <w:rPr>
                <w:rFonts w:cstheme="minorHAnsi"/>
              </w:rPr>
              <w:t>Static covariates</w:t>
            </w:r>
          </w:p>
        </w:tc>
        <w:tc>
          <w:tcPr>
            <w:tcW w:w="3479" w:type="dxa"/>
            <w:tcBorders>
              <w:top w:val="single" w:sz="12" w:space="0" w:color="auto"/>
              <w:bottom w:val="single" w:sz="12" w:space="0" w:color="auto"/>
            </w:tcBorders>
          </w:tcPr>
          <w:p w:rsidR="00216659" w:rsidRPr="00FD4F93" w:rsidRDefault="00216659" w:rsidP="006F3710">
            <w:pPr>
              <w:rPr>
                <w:rFonts w:cstheme="minorHAnsi"/>
              </w:rPr>
            </w:pPr>
            <w:r w:rsidRPr="00FD4F93">
              <w:rPr>
                <w:rFonts w:cstheme="minorHAnsi"/>
              </w:rPr>
              <w:t>Covariates that can change from “unexposed” to “exposed” only once</w:t>
            </w:r>
          </w:p>
        </w:tc>
        <w:tc>
          <w:tcPr>
            <w:tcW w:w="3954" w:type="dxa"/>
            <w:tcBorders>
              <w:top w:val="single" w:sz="12" w:space="0" w:color="auto"/>
              <w:bottom w:val="single" w:sz="12" w:space="0" w:color="auto"/>
            </w:tcBorders>
          </w:tcPr>
          <w:p w:rsidR="00216659" w:rsidRPr="00FD4F93" w:rsidRDefault="00216659" w:rsidP="006F3710">
            <w:pPr>
              <w:rPr>
                <w:rFonts w:cstheme="minorHAnsi"/>
              </w:rPr>
            </w:pPr>
            <w:r>
              <w:rPr>
                <w:rFonts w:cstheme="minorHAnsi"/>
              </w:rPr>
              <w:t>Covariates that can alternate</w:t>
            </w:r>
            <w:r w:rsidRPr="00FD4F93">
              <w:rPr>
                <w:rFonts w:cstheme="minorHAnsi"/>
              </w:rPr>
              <w:t xml:space="preserve"> over time</w:t>
            </w:r>
          </w:p>
        </w:tc>
      </w:tr>
      <w:tr w:rsidR="00510816" w:rsidRPr="00FD4F93" w:rsidTr="003F0FBB">
        <w:tc>
          <w:tcPr>
            <w:tcW w:w="2197" w:type="dxa"/>
            <w:tcBorders>
              <w:top w:val="single" w:sz="12" w:space="0" w:color="auto"/>
            </w:tcBorders>
          </w:tcPr>
          <w:p w:rsidR="00510816" w:rsidRPr="00FD4F93" w:rsidRDefault="00510816" w:rsidP="00510816">
            <w:pPr>
              <w:rPr>
                <w:rFonts w:cstheme="minorHAnsi"/>
              </w:rPr>
            </w:pPr>
            <w:r w:rsidRPr="00FD4F93">
              <w:rPr>
                <w:rFonts w:cstheme="minorHAnsi"/>
              </w:rPr>
              <w:t>Age</w:t>
            </w:r>
          </w:p>
        </w:tc>
        <w:tc>
          <w:tcPr>
            <w:tcW w:w="3479" w:type="dxa"/>
            <w:tcBorders>
              <w:top w:val="single" w:sz="12" w:space="0" w:color="auto"/>
            </w:tcBorders>
          </w:tcPr>
          <w:p w:rsidR="00510816" w:rsidRPr="00FD4F93" w:rsidRDefault="00510816" w:rsidP="00510816">
            <w:pPr>
              <w:rPr>
                <w:rFonts w:cstheme="minorHAnsi"/>
              </w:rPr>
            </w:pPr>
            <w:r>
              <w:rPr>
                <w:rFonts w:cstheme="minorHAnsi"/>
              </w:rPr>
              <w:t>Ever knee</w:t>
            </w:r>
            <w:r w:rsidRPr="00FD4F93">
              <w:rPr>
                <w:rFonts w:cstheme="minorHAnsi"/>
              </w:rPr>
              <w:t xml:space="preserve"> injury</w:t>
            </w:r>
          </w:p>
        </w:tc>
        <w:tc>
          <w:tcPr>
            <w:tcW w:w="3954" w:type="dxa"/>
            <w:tcBorders>
              <w:top w:val="single" w:sz="12" w:space="0" w:color="auto"/>
            </w:tcBorders>
          </w:tcPr>
          <w:p w:rsidR="00510816" w:rsidRPr="00FD4F93" w:rsidRDefault="00510816" w:rsidP="00510816">
            <w:pPr>
              <w:rPr>
                <w:rFonts w:cstheme="minorHAnsi"/>
              </w:rPr>
            </w:pPr>
            <w:r w:rsidRPr="00FD4F93">
              <w:rPr>
                <w:rFonts w:cstheme="minorHAnsi"/>
              </w:rPr>
              <w:t>Body mass index</w:t>
            </w:r>
          </w:p>
        </w:tc>
      </w:tr>
      <w:tr w:rsidR="00510816" w:rsidRPr="00FD4F93" w:rsidTr="003F0FBB">
        <w:tc>
          <w:tcPr>
            <w:tcW w:w="2197" w:type="dxa"/>
          </w:tcPr>
          <w:p w:rsidR="00510816" w:rsidRPr="00FD4F93" w:rsidRDefault="00510816" w:rsidP="00510816">
            <w:pPr>
              <w:rPr>
                <w:rFonts w:cstheme="minorHAnsi"/>
              </w:rPr>
            </w:pPr>
            <w:r w:rsidRPr="00FD4F93">
              <w:rPr>
                <w:rFonts w:cstheme="minorHAnsi"/>
              </w:rPr>
              <w:t>Enrollment wave</w:t>
            </w:r>
          </w:p>
        </w:tc>
        <w:tc>
          <w:tcPr>
            <w:tcW w:w="3479" w:type="dxa"/>
          </w:tcPr>
          <w:p w:rsidR="00510816" w:rsidRPr="0096373A" w:rsidRDefault="00510816" w:rsidP="00510816">
            <w:pPr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Hip rOA</w:t>
            </w:r>
          </w:p>
        </w:tc>
        <w:tc>
          <w:tcPr>
            <w:tcW w:w="3954" w:type="dxa"/>
          </w:tcPr>
          <w:p w:rsidR="00510816" w:rsidRPr="00FD4F93" w:rsidRDefault="00510816" w:rsidP="00510816">
            <w:pPr>
              <w:rPr>
                <w:rFonts w:cstheme="minorHAnsi"/>
              </w:rPr>
            </w:pPr>
            <w:r>
              <w:rPr>
                <w:rFonts w:cstheme="minorHAnsi"/>
                <w:lang w:val="it-IT"/>
              </w:rPr>
              <w:t>Non</w:t>
            </w:r>
            <w:r>
              <w:rPr>
                <w:rFonts w:eastAsia="Times New Roman" w:cstheme="minorHAnsi"/>
                <w:color w:val="000000"/>
                <w:lang w:val="it-IT"/>
              </w:rPr>
              <w:t>-steroidal anti-</w:t>
            </w:r>
            <w:r w:rsidRPr="0096373A">
              <w:rPr>
                <w:rFonts w:eastAsia="Times New Roman" w:cstheme="minorHAnsi"/>
                <w:color w:val="000000"/>
                <w:lang w:val="it-IT"/>
              </w:rPr>
              <w:t>inflammatory</w:t>
            </w:r>
          </w:p>
        </w:tc>
      </w:tr>
      <w:tr w:rsidR="00510816" w:rsidRPr="00FD4F93" w:rsidTr="003F0FBB">
        <w:tc>
          <w:tcPr>
            <w:tcW w:w="2197" w:type="dxa"/>
          </w:tcPr>
          <w:p w:rsidR="00510816" w:rsidRPr="00FD4F93" w:rsidRDefault="00510816" w:rsidP="00510816">
            <w:pPr>
              <w:rPr>
                <w:rFonts w:cstheme="minorHAnsi"/>
              </w:rPr>
            </w:pPr>
            <w:r w:rsidRPr="00FD4F93">
              <w:rPr>
                <w:rFonts w:cstheme="minorHAnsi"/>
              </w:rPr>
              <w:t>Birth cohort</w:t>
            </w:r>
          </w:p>
        </w:tc>
        <w:tc>
          <w:tcPr>
            <w:tcW w:w="3479" w:type="dxa"/>
          </w:tcPr>
          <w:p w:rsidR="00510816" w:rsidRPr="0096373A" w:rsidRDefault="00510816" w:rsidP="00510816">
            <w:pPr>
              <w:rPr>
                <w:rFonts w:cstheme="minorHAnsi"/>
                <w:lang w:val="it-IT"/>
              </w:rPr>
            </w:pPr>
            <w:r w:rsidRPr="00FD4F93">
              <w:rPr>
                <w:rFonts w:cstheme="minorHAnsi"/>
              </w:rPr>
              <w:t>Ever smoker</w:t>
            </w:r>
          </w:p>
        </w:tc>
        <w:tc>
          <w:tcPr>
            <w:tcW w:w="3954" w:type="dxa"/>
            <w:tcMar>
              <w:left w:w="432" w:type="dxa"/>
              <w:right w:w="432" w:type="dxa"/>
            </w:tcMar>
          </w:tcPr>
          <w:p w:rsidR="00510816" w:rsidRPr="00FD4F93" w:rsidRDefault="00510816" w:rsidP="00510816">
            <w:pPr>
              <w:ind w:left="-346" w:firstLine="270"/>
              <w:rPr>
                <w:rFonts w:cstheme="minorHAnsi"/>
              </w:rPr>
            </w:pPr>
            <w:r w:rsidRPr="00FD4F93">
              <w:rPr>
                <w:rFonts w:eastAsia="Times New Roman" w:cstheme="minorHAnsi"/>
                <w:color w:val="000000"/>
              </w:rPr>
              <w:t>drug</w:t>
            </w:r>
            <w:r w:rsidRPr="00FD4F93">
              <w:rPr>
                <w:rFonts w:cstheme="minorHAnsi"/>
              </w:rPr>
              <w:t xml:space="preserve"> use</w:t>
            </w:r>
          </w:p>
        </w:tc>
      </w:tr>
      <w:tr w:rsidR="00510816" w:rsidRPr="00FD4F93" w:rsidTr="003F0FBB">
        <w:tc>
          <w:tcPr>
            <w:tcW w:w="2197" w:type="dxa"/>
          </w:tcPr>
          <w:p w:rsidR="00510816" w:rsidRPr="00FD4F93" w:rsidRDefault="00510816" w:rsidP="00510816">
            <w:pPr>
              <w:rPr>
                <w:rFonts w:cstheme="minorHAnsi"/>
              </w:rPr>
            </w:pPr>
            <w:r w:rsidRPr="00FD4F93">
              <w:rPr>
                <w:rFonts w:cstheme="minorHAnsi"/>
              </w:rPr>
              <w:t>Sex</w:t>
            </w:r>
          </w:p>
        </w:tc>
        <w:tc>
          <w:tcPr>
            <w:tcW w:w="3479" w:type="dxa"/>
          </w:tcPr>
          <w:p w:rsidR="00510816" w:rsidRPr="00FD4F93" w:rsidRDefault="00510816" w:rsidP="00510816">
            <w:pPr>
              <w:rPr>
                <w:rFonts w:cstheme="minorHAnsi"/>
              </w:rPr>
            </w:pPr>
            <w:r w:rsidRPr="00FD4F93">
              <w:rPr>
                <w:rFonts w:cstheme="minorHAnsi"/>
              </w:rPr>
              <w:t>Ever drinker</w:t>
            </w:r>
          </w:p>
        </w:tc>
        <w:tc>
          <w:tcPr>
            <w:tcW w:w="3954" w:type="dxa"/>
            <w:tcMar>
              <w:left w:w="432" w:type="dxa"/>
              <w:right w:w="432" w:type="dxa"/>
            </w:tcMar>
          </w:tcPr>
          <w:p w:rsidR="00510816" w:rsidRPr="00FD4F93" w:rsidRDefault="00510816" w:rsidP="00510816">
            <w:pPr>
              <w:ind w:left="-346"/>
              <w:rPr>
                <w:rFonts w:cstheme="minorHAnsi"/>
              </w:rPr>
            </w:pPr>
            <w:r>
              <w:rPr>
                <w:rFonts w:cstheme="minorHAnsi"/>
              </w:rPr>
              <w:t>Moderate or vigorous physical activity</w:t>
            </w:r>
          </w:p>
        </w:tc>
      </w:tr>
      <w:tr w:rsidR="00510816" w:rsidRPr="00FD4F93" w:rsidTr="003F0FBB">
        <w:tc>
          <w:tcPr>
            <w:tcW w:w="2197" w:type="dxa"/>
          </w:tcPr>
          <w:p w:rsidR="00510816" w:rsidRPr="00FD4F93" w:rsidRDefault="00510816" w:rsidP="00510816">
            <w:pPr>
              <w:rPr>
                <w:rFonts w:cstheme="minorHAnsi"/>
              </w:rPr>
            </w:pPr>
            <w:r w:rsidRPr="00FD4F93">
              <w:rPr>
                <w:rFonts w:cstheme="minorHAnsi"/>
              </w:rPr>
              <w:t>Race</w:t>
            </w:r>
          </w:p>
        </w:tc>
        <w:tc>
          <w:tcPr>
            <w:tcW w:w="3479" w:type="dxa"/>
          </w:tcPr>
          <w:p w:rsidR="00510816" w:rsidRPr="009C38CD" w:rsidRDefault="00510816" w:rsidP="00510816">
            <w:pPr>
              <w:rPr>
                <w:rFonts w:cstheme="minorHAnsi"/>
                <w:u w:val="single"/>
              </w:rPr>
            </w:pPr>
            <w:r w:rsidRPr="009C38CD">
              <w:rPr>
                <w:rFonts w:cstheme="minorHAnsi"/>
                <w:u w:val="single"/>
              </w:rPr>
              <w:t>Comorbidities</w:t>
            </w:r>
          </w:p>
        </w:tc>
        <w:tc>
          <w:tcPr>
            <w:tcW w:w="3954" w:type="dxa"/>
            <w:tcMar>
              <w:left w:w="432" w:type="dxa"/>
              <w:right w:w="432" w:type="dxa"/>
            </w:tcMar>
          </w:tcPr>
          <w:p w:rsidR="00510816" w:rsidRPr="00FD4F93" w:rsidRDefault="00510816" w:rsidP="00510816">
            <w:pPr>
              <w:ind w:left="-346"/>
              <w:rPr>
                <w:rFonts w:cstheme="minorHAnsi"/>
              </w:rPr>
            </w:pPr>
            <w:r>
              <w:rPr>
                <w:rFonts w:cstheme="minorHAnsi"/>
              </w:rPr>
              <w:t>Depressive symptoms</w:t>
            </w:r>
          </w:p>
        </w:tc>
      </w:tr>
      <w:tr w:rsidR="00510816" w:rsidRPr="00FD4F93" w:rsidTr="003F0FBB">
        <w:tc>
          <w:tcPr>
            <w:tcW w:w="2197" w:type="dxa"/>
          </w:tcPr>
          <w:p w:rsidR="00510816" w:rsidRPr="00FD4F93" w:rsidRDefault="00510816" w:rsidP="00510816">
            <w:pPr>
              <w:rPr>
                <w:rFonts w:cstheme="minorHAnsi"/>
              </w:rPr>
            </w:pPr>
            <w:r w:rsidRPr="00FD4F93">
              <w:rPr>
                <w:rFonts w:cstheme="minorHAnsi"/>
              </w:rPr>
              <w:t>Education</w:t>
            </w:r>
          </w:p>
        </w:tc>
        <w:tc>
          <w:tcPr>
            <w:tcW w:w="3479" w:type="dxa"/>
          </w:tcPr>
          <w:p w:rsidR="00510816" w:rsidRPr="00FD4F93" w:rsidRDefault="00510816" w:rsidP="00510816">
            <w:pPr>
              <w:ind w:left="429"/>
              <w:rPr>
                <w:rFonts w:cstheme="minorHAnsi"/>
              </w:rPr>
            </w:pPr>
            <w:r>
              <w:rPr>
                <w:rFonts w:cstheme="minorHAnsi"/>
                <w:lang w:val="it-IT"/>
              </w:rPr>
              <w:t>Cancer</w:t>
            </w:r>
          </w:p>
        </w:tc>
        <w:tc>
          <w:tcPr>
            <w:tcW w:w="3954" w:type="dxa"/>
            <w:tcMar>
              <w:left w:w="432" w:type="dxa"/>
              <w:right w:w="432" w:type="dxa"/>
            </w:tcMar>
          </w:tcPr>
          <w:p w:rsidR="00510816" w:rsidRPr="00FD4F93" w:rsidRDefault="00510816" w:rsidP="00510816">
            <w:pPr>
              <w:ind w:left="-346"/>
              <w:rPr>
                <w:rFonts w:cstheme="minorHAnsi"/>
              </w:rPr>
            </w:pPr>
          </w:p>
        </w:tc>
      </w:tr>
      <w:tr w:rsidR="00510816" w:rsidRPr="00FD4F93" w:rsidTr="003F0FBB">
        <w:tc>
          <w:tcPr>
            <w:tcW w:w="2197" w:type="dxa"/>
          </w:tcPr>
          <w:p w:rsidR="00510816" w:rsidRPr="00FD4F93" w:rsidRDefault="00510816" w:rsidP="00510816">
            <w:pPr>
              <w:rPr>
                <w:rFonts w:cstheme="minorHAnsi"/>
              </w:rPr>
            </w:pPr>
          </w:p>
        </w:tc>
        <w:tc>
          <w:tcPr>
            <w:tcW w:w="3479" w:type="dxa"/>
          </w:tcPr>
          <w:p w:rsidR="00510816" w:rsidRPr="00FD4F93" w:rsidRDefault="00510816" w:rsidP="00510816">
            <w:pPr>
              <w:ind w:left="429"/>
              <w:rPr>
                <w:rFonts w:cstheme="minorHAnsi"/>
              </w:rPr>
            </w:pPr>
            <w:r w:rsidRPr="00FD4F93">
              <w:rPr>
                <w:rFonts w:cstheme="minorHAnsi"/>
              </w:rPr>
              <w:t>Liver disease</w:t>
            </w:r>
          </w:p>
        </w:tc>
        <w:tc>
          <w:tcPr>
            <w:tcW w:w="3954" w:type="dxa"/>
            <w:tcMar>
              <w:left w:w="432" w:type="dxa"/>
              <w:right w:w="432" w:type="dxa"/>
            </w:tcMar>
          </w:tcPr>
          <w:p w:rsidR="00510816" w:rsidRPr="00FD4F93" w:rsidRDefault="00510816" w:rsidP="00510816">
            <w:pPr>
              <w:rPr>
                <w:rFonts w:cstheme="minorHAnsi"/>
              </w:rPr>
            </w:pPr>
          </w:p>
        </w:tc>
      </w:tr>
      <w:tr w:rsidR="00510816" w:rsidRPr="00FD4F93" w:rsidTr="003F0FBB">
        <w:tc>
          <w:tcPr>
            <w:tcW w:w="2197" w:type="dxa"/>
          </w:tcPr>
          <w:p w:rsidR="00510816" w:rsidRPr="00FD4F93" w:rsidRDefault="00510816" w:rsidP="00510816">
            <w:pPr>
              <w:rPr>
                <w:rFonts w:cstheme="minorHAnsi"/>
              </w:rPr>
            </w:pPr>
          </w:p>
        </w:tc>
        <w:tc>
          <w:tcPr>
            <w:tcW w:w="3479" w:type="dxa"/>
          </w:tcPr>
          <w:p w:rsidR="00510816" w:rsidRPr="00FD4F93" w:rsidRDefault="00510816" w:rsidP="00510816">
            <w:pPr>
              <w:ind w:left="429"/>
              <w:rPr>
                <w:rFonts w:cstheme="minorHAnsi"/>
              </w:rPr>
            </w:pPr>
            <w:r w:rsidRPr="00FD4F93">
              <w:rPr>
                <w:rFonts w:cstheme="minorHAnsi"/>
              </w:rPr>
              <w:t>Hypertension</w:t>
            </w:r>
          </w:p>
        </w:tc>
        <w:tc>
          <w:tcPr>
            <w:tcW w:w="3954" w:type="dxa"/>
            <w:tcMar>
              <w:left w:w="432" w:type="dxa"/>
              <w:right w:w="432" w:type="dxa"/>
            </w:tcMar>
          </w:tcPr>
          <w:p w:rsidR="00510816" w:rsidRPr="00FD4F93" w:rsidRDefault="00510816" w:rsidP="00510816">
            <w:pPr>
              <w:rPr>
                <w:rFonts w:cstheme="minorHAnsi"/>
              </w:rPr>
            </w:pPr>
          </w:p>
        </w:tc>
      </w:tr>
      <w:tr w:rsidR="00510816" w:rsidRPr="00FD4F93" w:rsidTr="003F0FBB">
        <w:tc>
          <w:tcPr>
            <w:tcW w:w="2197" w:type="dxa"/>
          </w:tcPr>
          <w:p w:rsidR="00510816" w:rsidRPr="00FD4F93" w:rsidRDefault="00510816" w:rsidP="00510816">
            <w:pPr>
              <w:rPr>
                <w:rFonts w:cstheme="minorHAnsi"/>
              </w:rPr>
            </w:pPr>
          </w:p>
        </w:tc>
        <w:tc>
          <w:tcPr>
            <w:tcW w:w="3479" w:type="dxa"/>
          </w:tcPr>
          <w:p w:rsidR="00510816" w:rsidRPr="00FD4F93" w:rsidRDefault="00510816" w:rsidP="00510816">
            <w:pPr>
              <w:ind w:left="429"/>
              <w:rPr>
                <w:rFonts w:cstheme="minorHAnsi"/>
              </w:rPr>
            </w:pPr>
            <w:r w:rsidRPr="00FD4F93">
              <w:rPr>
                <w:rFonts w:cstheme="minorHAnsi"/>
              </w:rPr>
              <w:t>Type 2 Diabetes</w:t>
            </w:r>
          </w:p>
        </w:tc>
        <w:tc>
          <w:tcPr>
            <w:tcW w:w="3954" w:type="dxa"/>
            <w:tcMar>
              <w:left w:w="432" w:type="dxa"/>
              <w:right w:w="432" w:type="dxa"/>
            </w:tcMar>
          </w:tcPr>
          <w:p w:rsidR="00510816" w:rsidRPr="00FD4F93" w:rsidRDefault="00510816" w:rsidP="00510816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10816" w:rsidRPr="00FD4F93" w:rsidTr="003F0FBB">
        <w:tc>
          <w:tcPr>
            <w:tcW w:w="2197" w:type="dxa"/>
            <w:tcBorders>
              <w:bottom w:val="single" w:sz="12" w:space="0" w:color="auto"/>
            </w:tcBorders>
          </w:tcPr>
          <w:p w:rsidR="00510816" w:rsidRPr="00FD4F93" w:rsidRDefault="00510816" w:rsidP="00510816">
            <w:pPr>
              <w:rPr>
                <w:rFonts w:cstheme="minorHAnsi"/>
              </w:rPr>
            </w:pPr>
          </w:p>
        </w:tc>
        <w:tc>
          <w:tcPr>
            <w:tcW w:w="3479" w:type="dxa"/>
            <w:tcBorders>
              <w:bottom w:val="single" w:sz="12" w:space="0" w:color="auto"/>
            </w:tcBorders>
          </w:tcPr>
          <w:p w:rsidR="00510816" w:rsidRPr="00FD4F93" w:rsidRDefault="00510816" w:rsidP="00510816">
            <w:pPr>
              <w:ind w:left="429"/>
              <w:rPr>
                <w:rFonts w:cstheme="minorHAnsi"/>
              </w:rPr>
            </w:pPr>
            <w:r w:rsidRPr="00FD4F93">
              <w:rPr>
                <w:rFonts w:eastAsia="Times New Roman" w:cstheme="minorHAnsi"/>
                <w:color w:val="000000"/>
              </w:rPr>
              <w:t>Cardiovascular disease</w:t>
            </w:r>
          </w:p>
        </w:tc>
        <w:tc>
          <w:tcPr>
            <w:tcW w:w="3954" w:type="dxa"/>
            <w:tcBorders>
              <w:bottom w:val="single" w:sz="12" w:space="0" w:color="auto"/>
            </w:tcBorders>
            <w:tcMar>
              <w:left w:w="432" w:type="dxa"/>
              <w:right w:w="432" w:type="dxa"/>
            </w:tcMar>
          </w:tcPr>
          <w:p w:rsidR="00510816" w:rsidRPr="00FD4F93" w:rsidRDefault="00510816" w:rsidP="00510816">
            <w:pPr>
              <w:rPr>
                <w:rFonts w:eastAsia="Times New Roman" w:cstheme="minorHAnsi"/>
                <w:color w:val="000000"/>
              </w:rPr>
            </w:pPr>
          </w:p>
        </w:tc>
      </w:tr>
    </w:tbl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9270"/>
      </w:tblGrid>
      <w:tr w:rsidR="00216659" w:rsidRPr="00FD4F93" w:rsidTr="006F3710">
        <w:trPr>
          <w:trHeight w:val="345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6659" w:rsidRPr="00FD4F93" w:rsidRDefault="00216659" w:rsidP="006F3710">
            <w:pPr>
              <w:rPr>
                <w:rFonts w:eastAsia="Times New Roman" w:cstheme="minorHAnsi"/>
                <w:color w:val="000000"/>
              </w:rPr>
            </w:pPr>
            <w:r w:rsidRPr="00FD4F93">
              <w:rPr>
                <w:rFonts w:eastAsia="Times New Roman" w:cstheme="minorHAnsi"/>
                <w:color w:val="000000"/>
              </w:rPr>
              <w:t>rOA=radiographic osteoarthritis</w:t>
            </w:r>
          </w:p>
        </w:tc>
      </w:tr>
    </w:tbl>
    <w:p w:rsidR="00216659" w:rsidRDefault="00216659" w:rsidP="005A4FA6">
      <w:pPr>
        <w:spacing w:line="480" w:lineRule="auto"/>
      </w:pPr>
    </w:p>
    <w:p w:rsidR="00445A1E" w:rsidRPr="00DC2227" w:rsidRDefault="00445A1E" w:rsidP="00E2789B">
      <w:pPr>
        <w:spacing w:line="480" w:lineRule="auto"/>
        <w:rPr>
          <w:b/>
          <w:u w:val="single"/>
        </w:rPr>
      </w:pPr>
      <w:r w:rsidRPr="00DC2227">
        <w:rPr>
          <w:b/>
          <w:u w:val="single"/>
        </w:rPr>
        <w:t>Objectively Measured Variables</w:t>
      </w:r>
    </w:p>
    <w:p w:rsidR="00445A1E" w:rsidRDefault="00445A1E" w:rsidP="00E2789B">
      <w:pPr>
        <w:spacing w:line="480" w:lineRule="auto"/>
      </w:pPr>
      <w:r w:rsidRPr="003F0FBB">
        <w:rPr>
          <w:b/>
        </w:rPr>
        <w:t>Age</w:t>
      </w:r>
      <w:r>
        <w:t>: Age in years calculated from birth date to clinic date</w:t>
      </w:r>
    </w:p>
    <w:p w:rsidR="00445A1E" w:rsidRDefault="00445A1E" w:rsidP="00E2789B">
      <w:pPr>
        <w:spacing w:line="480" w:lineRule="auto"/>
      </w:pPr>
      <w:r w:rsidRPr="003F0FBB">
        <w:rPr>
          <w:b/>
        </w:rPr>
        <w:t>Enrollment wave</w:t>
      </w:r>
      <w:r>
        <w:t xml:space="preserve">: </w:t>
      </w:r>
      <w:r w:rsidR="00DC2227">
        <w:t>E</w:t>
      </w:r>
      <w:r>
        <w:t>nrolled in original cohort (1991-1997) or in new enrollment (2003-2004)</w:t>
      </w:r>
    </w:p>
    <w:p w:rsidR="00445A1E" w:rsidRDefault="00445A1E" w:rsidP="00E2789B">
      <w:pPr>
        <w:spacing w:line="480" w:lineRule="auto"/>
      </w:pPr>
      <w:r>
        <w:rPr>
          <w:b/>
        </w:rPr>
        <w:t>Birth cohort</w:t>
      </w:r>
      <w:r>
        <w:t>: Cohort in 10 year increments</w:t>
      </w:r>
    </w:p>
    <w:p w:rsidR="00445A1E" w:rsidRDefault="00445A1E" w:rsidP="00E2789B">
      <w:pPr>
        <w:spacing w:line="480" w:lineRule="auto"/>
      </w:pPr>
      <w:r>
        <w:rPr>
          <w:b/>
        </w:rPr>
        <w:t>Sex</w:t>
      </w:r>
      <w:r>
        <w:t>: Male or female</w:t>
      </w:r>
    </w:p>
    <w:p w:rsidR="00445A1E" w:rsidRDefault="00445A1E" w:rsidP="00E2789B">
      <w:pPr>
        <w:spacing w:line="480" w:lineRule="auto"/>
      </w:pPr>
      <w:r>
        <w:rPr>
          <w:b/>
        </w:rPr>
        <w:t>Knee rOA</w:t>
      </w:r>
      <w:r>
        <w:t xml:space="preserve">: Radiographic knee </w:t>
      </w:r>
      <w:r w:rsidR="000708FF">
        <w:t>OA,</w:t>
      </w:r>
      <w:r>
        <w:t xml:space="preserve"> defined as a Kellgren-Lawrence grade of ≥2</w:t>
      </w:r>
    </w:p>
    <w:p w:rsidR="009C0173" w:rsidRDefault="009C0173" w:rsidP="009C0173">
      <w:pPr>
        <w:spacing w:line="480" w:lineRule="auto"/>
      </w:pPr>
      <w:r>
        <w:rPr>
          <w:b/>
        </w:rPr>
        <w:t>Hip rOA</w:t>
      </w:r>
      <w:r>
        <w:t>: Radiographic hip OA, defined as a Kellgren-Lawrence grade of ≥2</w:t>
      </w:r>
    </w:p>
    <w:p w:rsidR="00445A1E" w:rsidRPr="00445A1E" w:rsidRDefault="00445A1E" w:rsidP="00E2789B">
      <w:pPr>
        <w:spacing w:line="480" w:lineRule="auto"/>
      </w:pPr>
      <w:r>
        <w:rPr>
          <w:b/>
        </w:rPr>
        <w:t>Body mass index</w:t>
      </w:r>
      <w:r>
        <w:t>: kg/m</w:t>
      </w:r>
      <w:r>
        <w:rPr>
          <w:vertAlign w:val="superscript"/>
        </w:rPr>
        <w:t>2</w:t>
      </w:r>
      <w:r w:rsidR="000708FF">
        <w:t xml:space="preserve">, </w:t>
      </w:r>
      <w:r>
        <w:t>calculated using clinically measured height and weight</w:t>
      </w:r>
    </w:p>
    <w:p w:rsidR="00445A1E" w:rsidRDefault="00445A1E" w:rsidP="00E2789B">
      <w:pPr>
        <w:spacing w:line="480" w:lineRule="auto"/>
        <w:rPr>
          <w:b/>
        </w:rPr>
      </w:pPr>
    </w:p>
    <w:p w:rsidR="00445A1E" w:rsidRPr="00DC2227" w:rsidRDefault="00445A1E" w:rsidP="00E2789B">
      <w:pPr>
        <w:spacing w:line="480" w:lineRule="auto"/>
        <w:rPr>
          <w:b/>
          <w:u w:val="single"/>
        </w:rPr>
      </w:pPr>
      <w:r w:rsidRPr="00DC2227">
        <w:rPr>
          <w:b/>
          <w:u w:val="single"/>
        </w:rPr>
        <w:t>Self-reported Variables</w:t>
      </w:r>
    </w:p>
    <w:p w:rsidR="00445A1E" w:rsidRDefault="00445A1E" w:rsidP="00E2789B">
      <w:pPr>
        <w:spacing w:line="480" w:lineRule="auto"/>
      </w:pPr>
      <w:r>
        <w:rPr>
          <w:b/>
        </w:rPr>
        <w:t>Race</w:t>
      </w:r>
      <w:r>
        <w:t>: Self-described ethnicity, African American or Caucasian</w:t>
      </w:r>
    </w:p>
    <w:p w:rsidR="003F0FBB" w:rsidRDefault="003F0FBB" w:rsidP="00E2789B">
      <w:pPr>
        <w:spacing w:line="480" w:lineRule="auto"/>
      </w:pPr>
      <w:r>
        <w:rPr>
          <w:b/>
        </w:rPr>
        <w:t>Education</w:t>
      </w:r>
      <w:r>
        <w:t>: Self-reported educational attainment</w:t>
      </w:r>
      <w:r w:rsidR="00E2789B">
        <w:t>,</w:t>
      </w:r>
      <w:r>
        <w:t xml:space="preserve"> &lt; </w:t>
      </w:r>
      <w:r w:rsidR="00C8292E">
        <w:t xml:space="preserve">no </w:t>
      </w:r>
      <w:r>
        <w:t xml:space="preserve">high school </w:t>
      </w:r>
      <w:r w:rsidR="00C8292E">
        <w:t xml:space="preserve">diploma </w:t>
      </w:r>
      <w:r>
        <w:t>or ≥ high school diploma</w:t>
      </w:r>
    </w:p>
    <w:p w:rsidR="00445A1E" w:rsidRDefault="00445A1E" w:rsidP="00E2789B">
      <w:pPr>
        <w:spacing w:line="480" w:lineRule="auto"/>
      </w:pPr>
      <w:r>
        <w:rPr>
          <w:b/>
        </w:rPr>
        <w:t>Ever smoker</w:t>
      </w:r>
      <w:r>
        <w:t xml:space="preserve">: </w:t>
      </w:r>
      <w:r w:rsidR="00E2789B">
        <w:t>Affirmative for, “</w:t>
      </w:r>
      <w:r>
        <w:t xml:space="preserve">Have you EVER smoked at least 100 </w:t>
      </w:r>
      <w:r>
        <w:rPr>
          <w:rStyle w:val="hghlight"/>
        </w:rPr>
        <w:t>cigarette</w:t>
      </w:r>
      <w:r>
        <w:t>s (or 5 packs) in your entire life?</w:t>
      </w:r>
      <w:r w:rsidR="00E2789B">
        <w:t>”</w:t>
      </w:r>
    </w:p>
    <w:p w:rsidR="00445A1E" w:rsidRDefault="00445A1E" w:rsidP="00E2789B">
      <w:pPr>
        <w:spacing w:line="480" w:lineRule="auto"/>
      </w:pPr>
      <w:r>
        <w:rPr>
          <w:b/>
        </w:rPr>
        <w:t>Ever drinker</w:t>
      </w:r>
      <w:r>
        <w:t xml:space="preserve">: </w:t>
      </w:r>
      <w:r w:rsidR="00E2789B">
        <w:t>Affirmative for,</w:t>
      </w:r>
      <w:r w:rsidR="00E2789B" w:rsidRPr="00364A2A">
        <w:t xml:space="preserve"> </w:t>
      </w:r>
      <w:r w:rsidR="00E2789B">
        <w:t>“</w:t>
      </w:r>
      <w:r w:rsidRPr="00364A2A">
        <w:t>Have you EVER consumed alcoholic beverages?</w:t>
      </w:r>
      <w:r w:rsidR="00E2789B">
        <w:t>”</w:t>
      </w:r>
    </w:p>
    <w:p w:rsidR="00DC2227" w:rsidRDefault="00364A2A" w:rsidP="00E2789B">
      <w:pPr>
        <w:spacing w:line="480" w:lineRule="auto"/>
      </w:pPr>
      <w:r w:rsidRPr="00364A2A">
        <w:rPr>
          <w:b/>
        </w:rPr>
        <w:lastRenderedPageBreak/>
        <w:t>Comorbidities</w:t>
      </w:r>
      <w:r>
        <w:t xml:space="preserve">: </w:t>
      </w:r>
      <w:r w:rsidR="00E2789B">
        <w:t>Affirmative for, “</w:t>
      </w:r>
      <w:r>
        <w:t>Has a doctor, nurse or other health professional told you that you now have, or have ever had</w:t>
      </w:r>
      <w:r w:rsidR="00E2789B">
        <w:t>…</w:t>
      </w:r>
      <w:r w:rsidR="00DC2227">
        <w:t>?</w:t>
      </w:r>
      <w:r w:rsidR="00E2789B">
        <w:t>”</w:t>
      </w:r>
      <w:r>
        <w:t>:</w:t>
      </w:r>
      <w:r>
        <w:tab/>
      </w:r>
    </w:p>
    <w:p w:rsidR="00DC2227" w:rsidRDefault="00DC2227" w:rsidP="00E2789B">
      <w:pPr>
        <w:pStyle w:val="ListParagraph"/>
        <w:numPr>
          <w:ilvl w:val="0"/>
          <w:numId w:val="1"/>
        </w:numPr>
        <w:spacing w:line="480" w:lineRule="auto"/>
      </w:pPr>
      <w:r>
        <w:t>Cancer</w:t>
      </w:r>
    </w:p>
    <w:p w:rsidR="00DC2227" w:rsidRDefault="00445A1E" w:rsidP="00E2789B">
      <w:pPr>
        <w:pStyle w:val="ListParagraph"/>
        <w:numPr>
          <w:ilvl w:val="0"/>
          <w:numId w:val="1"/>
        </w:numPr>
        <w:spacing w:line="480" w:lineRule="auto"/>
      </w:pPr>
      <w:r>
        <w:t>Chronic gallbladder/liver trouble</w:t>
      </w:r>
    </w:p>
    <w:p w:rsidR="00DC2227" w:rsidRDefault="00445A1E" w:rsidP="00E2789B">
      <w:pPr>
        <w:pStyle w:val="ListParagraph"/>
        <w:numPr>
          <w:ilvl w:val="0"/>
          <w:numId w:val="1"/>
        </w:numPr>
        <w:spacing w:line="480" w:lineRule="auto"/>
      </w:pPr>
      <w:r>
        <w:t>High</w:t>
      </w:r>
      <w:r w:rsidR="00DC2227">
        <w:t xml:space="preserve"> blood pressure (hypertension)</w:t>
      </w:r>
    </w:p>
    <w:p w:rsidR="00DC2227" w:rsidRDefault="00445A1E" w:rsidP="00E2789B">
      <w:pPr>
        <w:pStyle w:val="ListParagraph"/>
        <w:numPr>
          <w:ilvl w:val="0"/>
          <w:numId w:val="1"/>
        </w:numPr>
        <w:spacing w:line="480" w:lineRule="auto"/>
      </w:pPr>
      <w:r>
        <w:t>Diabetes or high blood sugar</w:t>
      </w:r>
    </w:p>
    <w:p w:rsidR="001A45E3" w:rsidRDefault="00DC2227" w:rsidP="00E2789B">
      <w:pPr>
        <w:pStyle w:val="ListParagraph"/>
        <w:numPr>
          <w:ilvl w:val="0"/>
          <w:numId w:val="1"/>
        </w:numPr>
        <w:spacing w:line="480" w:lineRule="auto"/>
      </w:pPr>
      <w:r>
        <w:t>C</w:t>
      </w:r>
      <w:r w:rsidR="00BF7D6A">
        <w:t>ardiovascular dise</w:t>
      </w:r>
      <w:r w:rsidR="000E3F52">
        <w:t>ase</w:t>
      </w:r>
      <w:r>
        <w:t xml:space="preserve"> is an affirmative response to</w:t>
      </w:r>
      <w:r w:rsidR="00445A1E">
        <w:t xml:space="preserve"> </w:t>
      </w:r>
      <w:r>
        <w:t xml:space="preserve">a) heart attack, b) </w:t>
      </w:r>
      <w:r w:rsidR="00445A1E">
        <w:t xml:space="preserve">other heart trouble, </w:t>
      </w:r>
      <w:r>
        <w:t xml:space="preserve">c) </w:t>
      </w:r>
      <w:r w:rsidR="00445A1E">
        <w:t>stroke</w:t>
      </w:r>
      <w:r w:rsidR="00BF7D6A">
        <w:t>,</w:t>
      </w:r>
      <w:r w:rsidR="00445A1E">
        <w:t xml:space="preserve"> </w:t>
      </w:r>
      <w:r>
        <w:t xml:space="preserve">d) </w:t>
      </w:r>
      <w:r w:rsidR="00445A1E">
        <w:t>circulation</w:t>
      </w:r>
      <w:r>
        <w:t xml:space="preserve"> problems</w:t>
      </w:r>
      <w:r w:rsidR="00BF7D6A">
        <w:t xml:space="preserve">, and/or e) taking </w:t>
      </w:r>
      <w:r w:rsidR="00BF7D6A" w:rsidRPr="003442E4">
        <w:rPr>
          <w:rFonts w:cstheme="minorHAnsi"/>
        </w:rPr>
        <w:t>CVD-specific medications</w:t>
      </w:r>
    </w:p>
    <w:p w:rsidR="00DC2227" w:rsidRDefault="000E3F52" w:rsidP="00E2789B">
      <w:pPr>
        <w:spacing w:line="480" w:lineRule="auto"/>
      </w:pPr>
      <w:r>
        <w:rPr>
          <w:b/>
        </w:rPr>
        <w:t>Depressive symptoms</w:t>
      </w:r>
      <w:r w:rsidR="00E2789B">
        <w:t xml:space="preserve">: </w:t>
      </w:r>
      <w:r w:rsidR="00DC2227" w:rsidRPr="00E2789B">
        <w:t>Center</w:t>
      </w:r>
      <w:r w:rsidR="00DC2227" w:rsidRPr="00DC2227">
        <w:t xml:space="preserve"> for Epidemiologic Studies Depression Scale (CES-D)</w:t>
      </w:r>
      <w:r w:rsidR="00DC2227">
        <w:t xml:space="preserve">, categorized at &lt;16 (no depression) and ≥16 (has depression) (time points T0-T2) or the </w:t>
      </w:r>
      <w:r w:rsidR="00DC2227" w:rsidRPr="00E2789B">
        <w:rPr>
          <w:rFonts w:cstheme="minorHAnsi"/>
        </w:rPr>
        <w:t>Patient Reported Outcomes Measurement Information System Depression (PROMIS-D) score of ≥18</w:t>
      </w:r>
      <w:r w:rsidR="00DC2227" w:rsidRPr="00E2789B">
        <w:rPr>
          <w:rFonts w:cstheme="minorHAnsi"/>
        </w:rPr>
        <w:fldChar w:fldCharType="begin"/>
      </w:r>
      <w:r w:rsidR="00DC2227" w:rsidRPr="00E2789B">
        <w:rPr>
          <w:rFonts w:cstheme="minorHAnsi"/>
        </w:rPr>
        <w:instrText xml:space="preserve"> ADDIN EN.CITE &lt;EndNote&gt;&lt;Cite&gt;&lt;Author&gt;Kim&lt;/Author&gt;&lt;Year&gt;2017&lt;/Year&gt;&lt;RecNum&gt;199&lt;/RecNum&gt;&lt;DisplayText&gt;&lt;style face="superscript"&gt;1&lt;/style&gt;&lt;/DisplayText&gt;&lt;record&gt;&lt;rec-number&gt;199&lt;/rec-number&gt;&lt;foreign-keys&gt;&lt;key app="EN" db-id="2eever5fs9sre9ea9wfxp5ef5a9wwxwfarp0" timestamp="1507742601"&gt;199&lt;/key&gt;&lt;/foreign-keys&gt;&lt;ref-type name="Journal Article"&gt;17&lt;/ref-type&gt;&lt;contributors&gt;&lt;authors&gt;&lt;author&gt;Kim, J.&lt;/author&gt;&lt;author&gt;Chung, H.&lt;/author&gt;&lt;author&gt;Askew, R. L.&lt;/author&gt;&lt;author&gt;Park, R.&lt;/author&gt;&lt;author&gt;Jones, S. M.&lt;/author&gt;&lt;author&gt;Cook, K. F.&lt;/author&gt;&lt;author&gt;Amtmann, D.&lt;/author&gt;&lt;/authors&gt;&lt;/contributors&gt;&lt;auth-address&gt;1 University of Washington, Seattle, WA, USA.&amp;#xD;2 Chungnam National University, Daejeon, Republic of Korea.&amp;#xD;3 Stetson University, DeLand, FL, USA.&amp;#xD;4 Wayne State University, Detroit, MI, USA.&amp;#xD;5 Group Health Research Institute, Seattle, WA, USA.&amp;#xD;6 Northwestern University, Chicago, IL, USA.&lt;/auth-address&gt;&lt;titles&gt;&lt;title&gt;Translating CESD-20 and PHQ-9 Scores to PROMIS Depression&lt;/title&gt;&lt;secondary-title&gt;Assessment&lt;/secondary-title&gt;&lt;/titles&gt;&lt;periodical&gt;&lt;full-title&gt;Assessment&lt;/full-title&gt;&lt;/periodical&gt;&lt;pages&gt;300-307&lt;/pages&gt;&lt;volume&gt;24&lt;/volume&gt;&lt;number&gt;3&lt;/number&gt;&lt;keywords&gt;&lt;keyword&gt;Cesd&lt;/keyword&gt;&lt;keyword&gt;Center for Epidemiologic Studies Depression Scale&lt;/keyword&gt;&lt;keyword&gt;Phq-9&lt;/keyword&gt;&lt;keyword&gt;Promis&lt;/keyword&gt;&lt;keyword&gt;Patient Health Questionnaire-9&lt;/keyword&gt;&lt;keyword&gt;Patient Reported Outcome Measurement Information System&lt;/keyword&gt;&lt;keyword&gt;cross-walking&lt;/keyword&gt;&lt;keyword&gt;depression&lt;/keyword&gt;&lt;keyword&gt;linking&lt;/keyword&gt;&lt;keyword&gt;multiple sclerosis&lt;/keyword&gt;&lt;/keywords&gt;&lt;dates&gt;&lt;year&gt;2017&lt;/year&gt;&lt;pub-dates&gt;&lt;date&gt;Apr&lt;/date&gt;&lt;/pub-dates&gt;&lt;/dates&gt;&lt;isbn&gt;1552-3489 (Electronic)&amp;#xD;1073-1911 (Linking)&lt;/isbn&gt;&lt;accession-num&gt;26423348&lt;/accession-num&gt;&lt;urls&gt;&lt;related-urls&gt;&lt;url&gt;https://www.ncbi.nlm.nih.gov/pubmed/26423348&lt;/url&gt;&lt;/related-urls&gt;&lt;/urls&gt;&lt;electronic-resource-num&gt;10.1177/1073191115607042&lt;/electronic-resource-num&gt;&lt;/record&gt;&lt;/Cite&gt;&lt;/EndNote&gt;</w:instrText>
      </w:r>
      <w:r w:rsidR="00DC2227" w:rsidRPr="00E2789B">
        <w:rPr>
          <w:rFonts w:cstheme="minorHAnsi"/>
        </w:rPr>
        <w:fldChar w:fldCharType="separate"/>
      </w:r>
      <w:r w:rsidR="00DC2227" w:rsidRPr="00E2789B">
        <w:rPr>
          <w:rFonts w:cstheme="minorHAnsi"/>
          <w:noProof/>
          <w:vertAlign w:val="superscript"/>
        </w:rPr>
        <w:t>1</w:t>
      </w:r>
      <w:r w:rsidR="00DC2227" w:rsidRPr="00E2789B">
        <w:rPr>
          <w:rFonts w:cstheme="minorHAnsi"/>
        </w:rPr>
        <w:fldChar w:fldCharType="end"/>
      </w:r>
      <w:r w:rsidR="00DC2227" w:rsidRPr="00E2789B">
        <w:rPr>
          <w:rFonts w:cstheme="minorHAnsi"/>
        </w:rPr>
        <w:t xml:space="preserve"> (time point T3)</w:t>
      </w:r>
    </w:p>
    <w:p w:rsidR="00DC2227" w:rsidRDefault="00DC2227" w:rsidP="009E3298">
      <w:pPr>
        <w:spacing w:line="480" w:lineRule="auto"/>
      </w:pPr>
      <w:r w:rsidRPr="009E3298">
        <w:rPr>
          <w:b/>
        </w:rPr>
        <w:t>Knee pain</w:t>
      </w:r>
      <w:r>
        <w:t xml:space="preserve">: </w:t>
      </w:r>
      <w:r w:rsidR="00E2789B">
        <w:t>Affirmative for, “</w:t>
      </w:r>
      <w:r w:rsidRPr="00445A1E">
        <w:t>On MOST days, do you have pain, aching, or stiffness in your</w:t>
      </w:r>
      <w:r>
        <w:t xml:space="preserve"> LEFT/RIGHT</w:t>
      </w:r>
      <w:r w:rsidRPr="00445A1E">
        <w:t xml:space="preserve"> KNEE?</w:t>
      </w:r>
      <w:r w:rsidR="00E2789B">
        <w:t>”</w:t>
      </w:r>
    </w:p>
    <w:p w:rsidR="00DC2227" w:rsidRDefault="00DC2227" w:rsidP="009E3298">
      <w:pPr>
        <w:spacing w:line="480" w:lineRule="auto"/>
      </w:pPr>
      <w:r w:rsidRPr="009E3298">
        <w:rPr>
          <w:b/>
        </w:rPr>
        <w:t>Knee injury</w:t>
      </w:r>
      <w:r w:rsidR="00C8292E" w:rsidRPr="009E3298">
        <w:rPr>
          <w:b/>
        </w:rPr>
        <w:t>, affirmative for either</w:t>
      </w:r>
      <w:r>
        <w:t xml:space="preserve">: </w:t>
      </w:r>
    </w:p>
    <w:p w:rsidR="00DC2227" w:rsidRDefault="00E2789B" w:rsidP="009E3298">
      <w:pPr>
        <w:pStyle w:val="ListParagraph"/>
        <w:numPr>
          <w:ilvl w:val="0"/>
          <w:numId w:val="2"/>
        </w:numPr>
        <w:spacing w:line="480" w:lineRule="auto"/>
      </w:pPr>
      <w:r>
        <w:t>“</w:t>
      </w:r>
      <w:r w:rsidR="00DC2227">
        <w:t>Have you ever injured your LEFT/RIGHT KNEE?</w:t>
      </w:r>
      <w:r>
        <w:t>”</w:t>
      </w:r>
    </w:p>
    <w:p w:rsidR="00DC2227" w:rsidRDefault="00E2789B" w:rsidP="009E3298">
      <w:pPr>
        <w:pStyle w:val="ListParagraph"/>
        <w:numPr>
          <w:ilvl w:val="0"/>
          <w:numId w:val="2"/>
        </w:numPr>
        <w:spacing w:line="480" w:lineRule="auto"/>
      </w:pPr>
      <w:r>
        <w:t>“</w:t>
      </w:r>
      <w:r w:rsidR="00DC2227" w:rsidRPr="001A45E3">
        <w:t>Has a doctor ever told you that you had broken or fractured your LEFT KNEE?</w:t>
      </w:r>
      <w:r>
        <w:t>”</w:t>
      </w:r>
    </w:p>
    <w:p w:rsidR="00F11CE3" w:rsidRDefault="00F11CE3" w:rsidP="00E2789B">
      <w:pPr>
        <w:spacing w:line="480" w:lineRule="auto"/>
      </w:pPr>
      <w:r>
        <w:rPr>
          <w:b/>
        </w:rPr>
        <w:t>Moderate or vigorous physical activity (MVPA)</w:t>
      </w:r>
      <w:r>
        <w:t xml:space="preserve">: </w:t>
      </w:r>
      <w:r w:rsidR="00622635">
        <w:t xml:space="preserve">Self report of types, duration </w:t>
      </w:r>
      <w:r w:rsidR="00E13D6B">
        <w:t xml:space="preserve">and frequency </w:t>
      </w:r>
      <w:r w:rsidR="00622635">
        <w:t>of physical activities. Categorized as m</w:t>
      </w:r>
      <w:r>
        <w:t>eeting the Centers for Disease Control and Prevention’s recommended 75 minutes of vigorous or 150 minutes of moderate physical activity per week</w:t>
      </w:r>
      <w:r w:rsidR="00622635">
        <w:t>.</w:t>
      </w:r>
    </w:p>
    <w:p w:rsidR="00F11CE3" w:rsidRPr="00F11CE3" w:rsidRDefault="00F11CE3" w:rsidP="00E2789B">
      <w:pPr>
        <w:spacing w:line="480" w:lineRule="auto"/>
      </w:pPr>
      <w:r w:rsidRPr="00F11CE3">
        <w:rPr>
          <w:b/>
        </w:rPr>
        <w:t>Non-steroidal anti-inflammatory drug (NSAID) use</w:t>
      </w:r>
      <w:r>
        <w:t xml:space="preserve">: </w:t>
      </w:r>
      <w:r w:rsidR="002171E8">
        <w:t>Open-ended</w:t>
      </w:r>
      <w:r w:rsidR="00622635">
        <w:t xml:space="preserve"> self-report of</w:t>
      </w:r>
      <w:r w:rsidR="002171E8">
        <w:t xml:space="preserve"> NSAID medications, for example aspirin, ibuprofen, naproxen and celecoxib</w:t>
      </w:r>
    </w:p>
    <w:p w:rsidR="00DC2227" w:rsidRDefault="00DC2227" w:rsidP="00E2789B">
      <w:pPr>
        <w:spacing w:line="480" w:lineRule="auto"/>
      </w:pPr>
    </w:p>
    <w:p w:rsidR="00DC2227" w:rsidRPr="00DC2227" w:rsidRDefault="00DC2227" w:rsidP="00E2789B">
      <w:pPr>
        <w:pStyle w:val="EndNoteBibliographyTitle"/>
        <w:spacing w:line="480" w:lineRule="auto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DC2227">
        <w:t>References</w:t>
      </w:r>
    </w:p>
    <w:p w:rsidR="00DC2227" w:rsidRPr="00DC2227" w:rsidRDefault="00DC2227" w:rsidP="00E2789B">
      <w:pPr>
        <w:pStyle w:val="EndNoteBibliographyTitle"/>
        <w:spacing w:line="480" w:lineRule="auto"/>
      </w:pPr>
    </w:p>
    <w:p w:rsidR="00DC2227" w:rsidRPr="00DC2227" w:rsidRDefault="00DC2227" w:rsidP="00E2789B">
      <w:pPr>
        <w:pStyle w:val="EndNoteBibliography"/>
        <w:spacing w:line="480" w:lineRule="auto"/>
        <w:ind w:left="720" w:hanging="720"/>
      </w:pPr>
      <w:r w:rsidRPr="00DC2227">
        <w:lastRenderedPageBreak/>
        <w:t>1.</w:t>
      </w:r>
      <w:r w:rsidRPr="00DC2227">
        <w:tab/>
        <w:t xml:space="preserve">Kim J, Chung H, Askew RL, Park R, Jones SM, Cook KF, et al. Translating CESD-20 and PHQ-9 Scores to PROMIS Depression. </w:t>
      </w:r>
      <w:r w:rsidRPr="00DC2227">
        <w:rPr>
          <w:i/>
        </w:rPr>
        <w:t xml:space="preserve">Assessment. </w:t>
      </w:r>
      <w:r w:rsidRPr="00DC2227">
        <w:t>2017;24(3):300-307.</w:t>
      </w:r>
    </w:p>
    <w:p w:rsidR="001A45E3" w:rsidRDefault="00DC2227" w:rsidP="00E2789B">
      <w:pPr>
        <w:spacing w:line="480" w:lineRule="auto"/>
      </w:pPr>
      <w:r>
        <w:fldChar w:fldCharType="end"/>
      </w:r>
    </w:p>
    <w:sectPr w:rsidR="001A45E3" w:rsidSect="001B4258">
      <w:footerReference w:type="default" r:id="rId7"/>
      <w:pgSz w:w="12240" w:h="15840" w:code="1"/>
      <w:pgMar w:top="1440" w:right="1440" w:bottom="1440" w:left="1440" w:header="720" w:footer="432" w:gutter="0"/>
      <w:lnNumType w:countBy="1"/>
      <w:pgNumType w:start="3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3EF" w:rsidRDefault="00D023EF" w:rsidP="00D023EF">
      <w:r>
        <w:separator/>
      </w:r>
    </w:p>
  </w:endnote>
  <w:endnote w:type="continuationSeparator" w:id="0">
    <w:p w:rsidR="00D023EF" w:rsidRDefault="00D023EF" w:rsidP="00D0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23470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23EF" w:rsidRDefault="00D023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B2C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D023EF" w:rsidRDefault="00D02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3EF" w:rsidRDefault="00D023EF" w:rsidP="00D023EF">
      <w:r>
        <w:separator/>
      </w:r>
    </w:p>
  </w:footnote>
  <w:footnote w:type="continuationSeparator" w:id="0">
    <w:p w:rsidR="00D023EF" w:rsidRDefault="00D023EF" w:rsidP="00D0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05D05"/>
    <w:multiLevelType w:val="hybridMultilevel"/>
    <w:tmpl w:val="954643E8"/>
    <w:lvl w:ilvl="0" w:tplc="7A84B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0297D"/>
    <w:multiLevelType w:val="hybridMultilevel"/>
    <w:tmpl w:val="A1DAA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 6&lt;/Style&gt;&lt;LeftDelim&gt;{&lt;/LeftDelim&gt;&lt;RightDelim&gt;}&lt;/RightDelim&gt;&lt;FontName&gt;Calibri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eever5fs9sre9ea9wfxp5ef5a9wwxwfarp0&quot;&gt;OA and mortality&lt;record-ids&gt;&lt;item&gt;199&lt;/item&gt;&lt;/record-ids&gt;&lt;/item&gt;&lt;/Libraries&gt;"/>
  </w:docVars>
  <w:rsids>
    <w:rsidRoot w:val="00216659"/>
    <w:rsid w:val="000708FF"/>
    <w:rsid w:val="000B1F20"/>
    <w:rsid w:val="000E3F52"/>
    <w:rsid w:val="001A45E3"/>
    <w:rsid w:val="001B4258"/>
    <w:rsid w:val="00216659"/>
    <w:rsid w:val="002171E8"/>
    <w:rsid w:val="00364A2A"/>
    <w:rsid w:val="00381C6D"/>
    <w:rsid w:val="003F0FBB"/>
    <w:rsid w:val="00445A1E"/>
    <w:rsid w:val="00510816"/>
    <w:rsid w:val="005A4FA6"/>
    <w:rsid w:val="005B2B2C"/>
    <w:rsid w:val="00622635"/>
    <w:rsid w:val="00766E23"/>
    <w:rsid w:val="00890B47"/>
    <w:rsid w:val="008976B6"/>
    <w:rsid w:val="009205F3"/>
    <w:rsid w:val="009C0173"/>
    <w:rsid w:val="009E3298"/>
    <w:rsid w:val="00BF7D6A"/>
    <w:rsid w:val="00C8292E"/>
    <w:rsid w:val="00CD2F25"/>
    <w:rsid w:val="00D023EF"/>
    <w:rsid w:val="00DC2227"/>
    <w:rsid w:val="00E13D6B"/>
    <w:rsid w:val="00E2789B"/>
    <w:rsid w:val="00E67A15"/>
    <w:rsid w:val="00F1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F76DB-990D-46C8-826F-D06710DC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D023EF"/>
  </w:style>
  <w:style w:type="paragraph" w:styleId="Header">
    <w:name w:val="header"/>
    <w:basedOn w:val="Normal"/>
    <w:link w:val="HeaderChar"/>
    <w:uiPriority w:val="99"/>
    <w:unhideWhenUsed/>
    <w:rsid w:val="00D02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3EF"/>
  </w:style>
  <w:style w:type="paragraph" w:styleId="Footer">
    <w:name w:val="footer"/>
    <w:basedOn w:val="Normal"/>
    <w:link w:val="FooterChar"/>
    <w:uiPriority w:val="99"/>
    <w:unhideWhenUsed/>
    <w:rsid w:val="00D02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3EF"/>
  </w:style>
  <w:style w:type="character" w:customStyle="1" w:styleId="hghlight">
    <w:name w:val="hghlight"/>
    <w:basedOn w:val="DefaultParagraphFont"/>
    <w:rsid w:val="00364A2A"/>
  </w:style>
  <w:style w:type="paragraph" w:styleId="ListParagraph">
    <w:name w:val="List Paragraph"/>
    <w:basedOn w:val="Normal"/>
    <w:link w:val="ListParagraphChar"/>
    <w:uiPriority w:val="34"/>
    <w:qFormat/>
    <w:rsid w:val="00DC222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DC2227"/>
    <w:pPr>
      <w:jc w:val="center"/>
    </w:pPr>
    <w:rPr>
      <w:rFonts w:ascii="Calibri" w:hAnsi="Calibri"/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C2227"/>
  </w:style>
  <w:style w:type="character" w:customStyle="1" w:styleId="EndNoteBibliographyTitleChar">
    <w:name w:val="EndNote Bibliography Title Char"/>
    <w:basedOn w:val="ListParagraphChar"/>
    <w:link w:val="EndNoteBibliographyTitle"/>
    <w:rsid w:val="00DC2227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C2227"/>
    <w:rPr>
      <w:rFonts w:ascii="Calibri" w:hAnsi="Calibri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DC2227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4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4184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UNC-Chapel Hill Department of Medicine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Becki Cleveland</dc:creator>
  <cp:keywords/>
  <dc:description/>
  <cp:lastModifiedBy>Becki Cleveland</cp:lastModifiedBy>
  <cp:revision>2</cp:revision>
  <dcterms:created xsi:type="dcterms:W3CDTF">2020-02-24T17:14:00Z</dcterms:created>
  <dcterms:modified xsi:type="dcterms:W3CDTF">2020-02-24T17:14:00Z</dcterms:modified>
</cp:coreProperties>
</file>