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16F" w:rsidRPr="00232200" w:rsidRDefault="008B516F" w:rsidP="00541A37">
      <w:pPr>
        <w:spacing w:after="0" w:line="480" w:lineRule="auto"/>
        <w:rPr>
          <w:rStyle w:val="Emphasis"/>
          <w:rFonts w:ascii="Times New Roman" w:hAnsi="Times New Roman"/>
          <w:bCs/>
        </w:rPr>
      </w:pPr>
      <w:r>
        <w:rPr>
          <w:rStyle w:val="Emphasis"/>
          <w:rFonts w:ascii="Times New Roman" w:hAnsi="Times New Roman"/>
          <w:bCs/>
        </w:rPr>
        <w:t xml:space="preserve">Supplementary </w:t>
      </w:r>
      <w:r w:rsidR="00B4478B">
        <w:rPr>
          <w:rStyle w:val="Emphasis"/>
          <w:rFonts w:ascii="Times New Roman" w:hAnsi="Times New Roman"/>
          <w:bCs/>
        </w:rPr>
        <w:t>File</w:t>
      </w:r>
      <w:r>
        <w:rPr>
          <w:rStyle w:val="Emphasis"/>
          <w:rFonts w:ascii="Times New Roman" w:hAnsi="Times New Roman"/>
          <w:bCs/>
        </w:rPr>
        <w:t xml:space="preserve"> 2</w:t>
      </w:r>
    </w:p>
    <w:p w:rsidR="008B516F" w:rsidRPr="00241E14" w:rsidRDefault="008B516F" w:rsidP="000A4102">
      <w:pPr>
        <w:pStyle w:val="Heading2"/>
        <w:spacing w:before="0" w:line="240" w:lineRule="auto"/>
        <w:rPr>
          <w:rStyle w:val="Strong"/>
          <w:rFonts w:ascii="Times New Roman" w:hAnsi="Times New Roman"/>
          <w:color w:val="auto"/>
          <w:sz w:val="24"/>
        </w:rPr>
      </w:pPr>
      <w:r w:rsidRPr="00241E14">
        <w:rPr>
          <w:rStyle w:val="Strong"/>
          <w:rFonts w:ascii="Times New Roman" w:hAnsi="Times New Roman"/>
          <w:color w:val="auto"/>
          <w:sz w:val="24"/>
        </w:rPr>
        <w:t>This appendix provides further details on the methods used as well as additional results.</w:t>
      </w:r>
    </w:p>
    <w:p w:rsidR="008B516F" w:rsidRPr="00241E14" w:rsidRDefault="008B516F" w:rsidP="000A4102">
      <w:pPr>
        <w:spacing w:after="0"/>
        <w:rPr>
          <w:sz w:val="28"/>
          <w:lang w:val="x-none"/>
        </w:rPr>
      </w:pPr>
    </w:p>
    <w:p w:rsidR="008B516F" w:rsidRPr="00241E14" w:rsidRDefault="008B516F" w:rsidP="00241E14">
      <w:pPr>
        <w:spacing w:after="0" w:line="360" w:lineRule="auto"/>
        <w:rPr>
          <w:rStyle w:val="Emphasis"/>
          <w:rFonts w:ascii="Times New Roman" w:hAnsi="Times New Roman"/>
          <w:b w:val="0"/>
          <w:szCs w:val="20"/>
        </w:rPr>
      </w:pPr>
      <w:r w:rsidRPr="00241E14">
        <w:rPr>
          <w:rFonts w:ascii="Times New Roman" w:eastAsiaTheme="majorEastAsia" w:hAnsi="Times New Roman"/>
          <w:b/>
          <w:bCs/>
          <w:sz w:val="24"/>
          <w:szCs w:val="20"/>
        </w:rPr>
        <w:t>Illustrative Scenario Inputs</w:t>
      </w:r>
    </w:p>
    <w:p w:rsidR="008B516F" w:rsidRPr="00241E14" w:rsidRDefault="008B516F" w:rsidP="00241E14">
      <w:pPr>
        <w:spacing w:line="360" w:lineRule="auto"/>
        <w:ind w:firstLine="720"/>
        <w:rPr>
          <w:sz w:val="28"/>
          <w:lang w:val="x-none"/>
        </w:rPr>
      </w:pPr>
      <w:r w:rsidRPr="00241E14">
        <w:rPr>
          <w:rStyle w:val="Emphasis"/>
          <w:rFonts w:ascii="Times New Roman" w:hAnsi="Times New Roman"/>
          <w:b w:val="0"/>
          <w:szCs w:val="20"/>
        </w:rPr>
        <w:t xml:space="preserve">Table 2 in the main text outlines the major inputs and parameter values used in this illustration. Our modeled annual birth cohort was 3,945,875, based on the 2016 Vital Statistics Report </w:t>
      </w:r>
      <w:r w:rsidRPr="00241E14">
        <w:rPr>
          <w:rStyle w:val="Emphasis"/>
          <w:rFonts w:ascii="Times New Roman" w:hAnsi="Times New Roman"/>
          <w:b w:val="0"/>
          <w:noProof/>
          <w:szCs w:val="20"/>
        </w:rPr>
        <w:t>[22]</w:t>
      </w:r>
      <w:r w:rsidRPr="00241E14">
        <w:rPr>
          <w:rStyle w:val="Emphasis"/>
          <w:rFonts w:ascii="Times New Roman" w:hAnsi="Times New Roman"/>
          <w:b w:val="0"/>
          <w:szCs w:val="20"/>
        </w:rPr>
        <w:t xml:space="preserve">. The proportion of high-risk births was based on a recent study that assessed palivizumab utilization </w:t>
      </w:r>
      <w:r w:rsidRPr="00241E14">
        <w:rPr>
          <w:rStyle w:val="Emphasis"/>
          <w:rFonts w:ascii="Times New Roman" w:hAnsi="Times New Roman"/>
          <w:b w:val="0"/>
          <w:noProof/>
          <w:szCs w:val="20"/>
        </w:rPr>
        <w:t>[23]</w:t>
      </w:r>
      <w:r w:rsidRPr="00241E14">
        <w:rPr>
          <w:rStyle w:val="Emphasis"/>
          <w:rFonts w:ascii="Times New Roman" w:hAnsi="Times New Roman"/>
          <w:b w:val="0"/>
          <w:szCs w:val="20"/>
        </w:rPr>
        <w:t xml:space="preserve">. Hospitalization rates for high-risk infants were based on hospitalization rates found amongst those who did not receive palivizumab in the original clinical trials </w:t>
      </w:r>
      <w:r w:rsidRPr="00241E14">
        <w:rPr>
          <w:rStyle w:val="Emphasis"/>
          <w:rFonts w:ascii="Times New Roman" w:hAnsi="Times New Roman"/>
          <w:b w:val="0"/>
          <w:noProof/>
          <w:szCs w:val="20"/>
        </w:rPr>
        <w:t>[31, 32]</w:t>
      </w:r>
      <w:r w:rsidRPr="00241E14">
        <w:rPr>
          <w:rStyle w:val="Emphasis"/>
          <w:rFonts w:ascii="Times New Roman" w:hAnsi="Times New Roman"/>
          <w:b w:val="0"/>
          <w:szCs w:val="20"/>
        </w:rPr>
        <w:t>. We obtained all-risk rates of MA-</w:t>
      </w:r>
      <w:proofErr w:type="spellStart"/>
      <w:r w:rsidRPr="00241E14">
        <w:rPr>
          <w:rStyle w:val="Emphasis"/>
          <w:rFonts w:ascii="Times New Roman" w:hAnsi="Times New Roman"/>
          <w:b w:val="0"/>
          <w:szCs w:val="20"/>
        </w:rPr>
        <w:t>RSVi</w:t>
      </w:r>
      <w:proofErr w:type="spellEnd"/>
      <w:r w:rsidRPr="00241E14">
        <w:rPr>
          <w:rStyle w:val="Emphasis"/>
          <w:rFonts w:ascii="Times New Roman" w:hAnsi="Times New Roman"/>
          <w:b w:val="0"/>
          <w:szCs w:val="20"/>
        </w:rPr>
        <w:t xml:space="preserve"> from  population-based surveillance data published by the New Vaccine Surveillance Network (NVSN, Table S1) </w:t>
      </w:r>
      <w:r w:rsidRPr="00241E14">
        <w:rPr>
          <w:rStyle w:val="Emphasis"/>
          <w:rFonts w:ascii="Times New Roman" w:hAnsi="Times New Roman"/>
          <w:b w:val="0"/>
          <w:noProof/>
          <w:szCs w:val="20"/>
        </w:rPr>
        <w:t>[4, 5]</w:t>
      </w:r>
      <w:r w:rsidRPr="00241E14">
        <w:rPr>
          <w:rStyle w:val="Emphasis"/>
          <w:rFonts w:ascii="Times New Roman" w:hAnsi="Times New Roman"/>
          <w:b w:val="0"/>
          <w:szCs w:val="20"/>
        </w:rPr>
        <w:t xml:space="preserve">. We based the proportions of outpatient clinic and ED visits resulting in an LRTI on the average proportion of lab-confirmed RSV visits in NVSN from 2002-2009 with any of the following diagnoses: croup, bronchiolitis, bronchitis, pneumonia or asthma (CDC, unpublished). All hospitalized patients were assumed to have an LRTI. Case fatality ratios among hospitalized infants were based on estimates for high income/industrialized countries </w:t>
      </w:r>
      <w:r w:rsidRPr="00241E14">
        <w:rPr>
          <w:rStyle w:val="Emphasis"/>
          <w:rFonts w:ascii="Times New Roman" w:hAnsi="Times New Roman"/>
          <w:b w:val="0"/>
          <w:noProof/>
          <w:szCs w:val="20"/>
        </w:rPr>
        <w:t>[1]</w:t>
      </w:r>
      <w:r w:rsidRPr="00241E14">
        <w:rPr>
          <w:rStyle w:val="Emphasis"/>
          <w:rFonts w:ascii="Times New Roman" w:hAnsi="Times New Roman"/>
          <w:b w:val="0"/>
          <w:szCs w:val="20"/>
        </w:rPr>
        <w:t xml:space="preserve">. The RSV season was determined by the monthly distribution of outpatient, ED and hospital visits across NVSN during the 2000-2009 seasons (CDC, unpublished; Fig. S1). The estimate for palivizumab uptake (38%) is based on a recent study that defined compliance as receipt of all recommended doses </w:t>
      </w:r>
      <w:r w:rsidRPr="00241E14">
        <w:rPr>
          <w:rStyle w:val="Emphasis"/>
          <w:rFonts w:ascii="Times New Roman" w:hAnsi="Times New Roman"/>
          <w:b w:val="0"/>
          <w:noProof/>
          <w:szCs w:val="20"/>
        </w:rPr>
        <w:t>[24, 25]</w:t>
      </w:r>
      <w:r w:rsidRPr="00241E14">
        <w:rPr>
          <w:rStyle w:val="Emphasis"/>
          <w:rFonts w:ascii="Times New Roman" w:hAnsi="Times New Roman"/>
          <w:b w:val="0"/>
          <w:szCs w:val="20"/>
        </w:rPr>
        <w:t xml:space="preserve">. For the Antibody Candidate (anticipated to be a single injection), we assumed 71% uptake among low-risk newborns, based upon vaccination rates for the birth dose of hepatitis B vaccine </w:t>
      </w:r>
      <w:r w:rsidRPr="00241E14">
        <w:rPr>
          <w:rStyle w:val="Emphasis"/>
          <w:rFonts w:ascii="Times New Roman" w:hAnsi="Times New Roman"/>
          <w:b w:val="0"/>
          <w:noProof/>
          <w:szCs w:val="20"/>
        </w:rPr>
        <w:t>[27]</w:t>
      </w:r>
      <w:r w:rsidRPr="00241E14">
        <w:rPr>
          <w:rStyle w:val="Emphasis"/>
          <w:rFonts w:ascii="Times New Roman" w:hAnsi="Times New Roman"/>
          <w:b w:val="0"/>
          <w:szCs w:val="20"/>
        </w:rPr>
        <w:t xml:space="preserve">, and 80% among high-risk newborns, which is an estimate of the percent of high-risk newborns that receive at least one dose of palivizumab </w:t>
      </w:r>
      <w:r w:rsidRPr="00241E14">
        <w:rPr>
          <w:rStyle w:val="Emphasis"/>
          <w:rFonts w:ascii="Times New Roman" w:hAnsi="Times New Roman"/>
          <w:b w:val="0"/>
          <w:noProof/>
          <w:szCs w:val="20"/>
        </w:rPr>
        <w:t>[23]</w:t>
      </w:r>
      <w:r w:rsidRPr="00241E14">
        <w:rPr>
          <w:rStyle w:val="Emphasis"/>
          <w:rFonts w:ascii="Times New Roman" w:hAnsi="Times New Roman"/>
          <w:b w:val="0"/>
          <w:szCs w:val="20"/>
        </w:rPr>
        <w:t xml:space="preserve">. For the Maternal Vaccine Candidate we based uptake (56%) on </w:t>
      </w:r>
      <w:proofErr w:type="spellStart"/>
      <w:r w:rsidRPr="00241E14">
        <w:rPr>
          <w:rStyle w:val="Emphasis"/>
          <w:rFonts w:ascii="Times New Roman" w:hAnsi="Times New Roman"/>
          <w:b w:val="0"/>
          <w:szCs w:val="20"/>
        </w:rPr>
        <w:t>TdaP</w:t>
      </w:r>
      <w:proofErr w:type="spellEnd"/>
      <w:r w:rsidRPr="00241E14">
        <w:rPr>
          <w:rStyle w:val="Emphasis"/>
          <w:rFonts w:ascii="Times New Roman" w:hAnsi="Times New Roman"/>
          <w:b w:val="0"/>
          <w:szCs w:val="20"/>
        </w:rPr>
        <w:t xml:space="preserve"> (tetanus, diphtheria, and pertussis) immunization in pregnant women because, like the maternal RSV vaccine, it is also given in the third trimester of pregnancy </w:t>
      </w:r>
      <w:r w:rsidRPr="00241E14">
        <w:rPr>
          <w:rStyle w:val="Emphasis"/>
          <w:rFonts w:ascii="Times New Roman" w:hAnsi="Times New Roman"/>
          <w:b w:val="0"/>
          <w:noProof/>
          <w:szCs w:val="20"/>
        </w:rPr>
        <w:t>[28]</w:t>
      </w:r>
      <w:r w:rsidRPr="00241E14">
        <w:rPr>
          <w:rStyle w:val="Emphasis"/>
          <w:rFonts w:ascii="Times New Roman" w:hAnsi="Times New Roman"/>
          <w:b w:val="0"/>
          <w:szCs w:val="20"/>
        </w:rPr>
        <w:t xml:space="preserve">. The efficacy used for palivizumab (51%) was based on a meta-analysis of randomized controlled trials among high risk infants where the endpoint was hospitalizations </w:t>
      </w:r>
      <w:r w:rsidRPr="00241E14">
        <w:rPr>
          <w:rStyle w:val="Emphasis"/>
          <w:rFonts w:ascii="Times New Roman" w:hAnsi="Times New Roman"/>
          <w:b w:val="0"/>
          <w:noProof/>
          <w:szCs w:val="20"/>
        </w:rPr>
        <w:t>[29]</w:t>
      </w:r>
      <w:r w:rsidRPr="00241E14">
        <w:rPr>
          <w:rStyle w:val="Emphasis"/>
          <w:rFonts w:ascii="Times New Roman" w:hAnsi="Times New Roman"/>
          <w:b w:val="0"/>
          <w:szCs w:val="20"/>
        </w:rPr>
        <w:t>. For the model, we assumed palivizumab reduces outpatient clinic and ED visits by the same percentage as hospitalizations. For the antibody candidate, we based efficacy (80%) against inpatient and outpatient MA-</w:t>
      </w:r>
      <w:proofErr w:type="spellStart"/>
      <w:r w:rsidRPr="00241E14">
        <w:rPr>
          <w:rStyle w:val="Emphasis"/>
          <w:rFonts w:ascii="Times New Roman" w:hAnsi="Times New Roman"/>
          <w:b w:val="0"/>
          <w:szCs w:val="20"/>
        </w:rPr>
        <w:t>RSVi</w:t>
      </w:r>
      <w:proofErr w:type="spellEnd"/>
      <w:r w:rsidRPr="00241E14">
        <w:rPr>
          <w:rStyle w:val="Emphasis"/>
          <w:rFonts w:ascii="Times New Roman" w:hAnsi="Times New Roman"/>
          <w:b w:val="0"/>
          <w:szCs w:val="20"/>
        </w:rPr>
        <w:t xml:space="preserve"> on findings from a clinical trial in term infants of an antibody product similar to palivizumab </w:t>
      </w:r>
      <w:r w:rsidRPr="00241E14">
        <w:rPr>
          <w:rStyle w:val="Emphasis"/>
          <w:rFonts w:ascii="Times New Roman" w:hAnsi="Times New Roman"/>
          <w:b w:val="0"/>
          <w:noProof/>
          <w:szCs w:val="20"/>
        </w:rPr>
        <w:t>[30]</w:t>
      </w:r>
      <w:r w:rsidRPr="00241E14">
        <w:rPr>
          <w:rStyle w:val="Emphasis"/>
          <w:rFonts w:ascii="Times New Roman" w:hAnsi="Times New Roman"/>
          <w:b w:val="0"/>
          <w:szCs w:val="20"/>
        </w:rPr>
        <w:t xml:space="preserve">. Since maternal vaccine also provides passive antibody </w:t>
      </w:r>
      <w:r w:rsidRPr="00241E14">
        <w:rPr>
          <w:rStyle w:val="Emphasis"/>
          <w:rFonts w:ascii="Times New Roman" w:hAnsi="Times New Roman"/>
          <w:b w:val="0"/>
          <w:szCs w:val="20"/>
        </w:rPr>
        <w:lastRenderedPageBreak/>
        <w:t xml:space="preserve">protection to infants, we used the same efficacy for this product. We used 0.919 for the maternal vaccine reduction factor, which accounts for the percentage of infants acquiring </w:t>
      </w:r>
      <w:r w:rsidRPr="00241E14">
        <w:rPr>
          <w:rFonts w:ascii="Times New Roman" w:hAnsi="Times New Roman"/>
          <w:sz w:val="24"/>
          <w:szCs w:val="20"/>
        </w:rPr>
        <w:t>antibodies successfully from their mothers (see S2 section “Maternal Vaccine Candidate”</w:t>
      </w:r>
      <w:r w:rsidRPr="00241E14">
        <w:rPr>
          <w:rStyle w:val="Emphasis"/>
          <w:rFonts w:ascii="Times New Roman" w:hAnsi="Times New Roman"/>
          <w:b w:val="0"/>
          <w:szCs w:val="20"/>
        </w:rPr>
        <w:t xml:space="preserve">). Duration of protection was based on the endpoints of the clinical trials for each of the products (Table 2) </w:t>
      </w:r>
      <w:r w:rsidRPr="00241E14">
        <w:rPr>
          <w:rStyle w:val="Emphasis"/>
          <w:rFonts w:ascii="Times New Roman" w:hAnsi="Times New Roman"/>
          <w:b w:val="0"/>
          <w:noProof/>
          <w:szCs w:val="20"/>
        </w:rPr>
        <w:t>[10, 11, 31, 32]</w:t>
      </w:r>
      <w:r w:rsidRPr="00241E14">
        <w:rPr>
          <w:rStyle w:val="Emphasis"/>
          <w:rFonts w:ascii="Times New Roman" w:hAnsi="Times New Roman"/>
          <w:b w:val="0"/>
          <w:szCs w:val="20"/>
        </w:rPr>
        <w:t>.</w:t>
      </w:r>
    </w:p>
    <w:p w:rsidR="008B516F" w:rsidRDefault="008B516F" w:rsidP="00E70B60">
      <w:pPr>
        <w:spacing w:after="0"/>
        <w:rPr>
          <w:rFonts w:ascii="Times New Roman" w:hAnsi="Times New Roman"/>
          <w:b/>
          <w:sz w:val="24"/>
          <w:szCs w:val="20"/>
        </w:rPr>
      </w:pPr>
      <w:r w:rsidRPr="00241E14">
        <w:rPr>
          <w:rFonts w:ascii="Times New Roman" w:hAnsi="Times New Roman"/>
          <w:b/>
          <w:sz w:val="24"/>
          <w:szCs w:val="20"/>
        </w:rPr>
        <w:t xml:space="preserve">Table S1 </w:t>
      </w:r>
    </w:p>
    <w:p w:rsidR="008B516F" w:rsidRPr="00241E14" w:rsidRDefault="008B516F" w:rsidP="00E70B60">
      <w:pPr>
        <w:spacing w:after="0"/>
        <w:rPr>
          <w:rFonts w:ascii="Times New Roman" w:hAnsi="Times New Roman"/>
          <w:sz w:val="24"/>
          <w:szCs w:val="20"/>
        </w:rPr>
      </w:pPr>
      <w:r w:rsidRPr="00241E14">
        <w:rPr>
          <w:rFonts w:ascii="Times New Roman" w:hAnsi="Times New Roman"/>
          <w:sz w:val="24"/>
          <w:szCs w:val="20"/>
        </w:rPr>
        <w:t>US Population-based Rates per 1000 for Medically-Attended RSV infections by health care setting and month-of-age</w:t>
      </w:r>
    </w:p>
    <w:tbl>
      <w:tblPr>
        <w:tblW w:w="9416" w:type="dxa"/>
        <w:jc w:val="right"/>
        <w:tblLook w:val="04A0" w:firstRow="1" w:lastRow="0" w:firstColumn="1" w:lastColumn="0" w:noHBand="0" w:noVBand="1"/>
      </w:tblPr>
      <w:tblGrid>
        <w:gridCol w:w="1060"/>
        <w:gridCol w:w="1106"/>
        <w:gridCol w:w="1830"/>
        <w:gridCol w:w="915"/>
        <w:gridCol w:w="1830"/>
        <w:gridCol w:w="915"/>
        <w:gridCol w:w="1830"/>
      </w:tblGrid>
      <w:tr w:rsidR="008B516F" w:rsidRPr="009B67D1" w:rsidTr="00E70B60">
        <w:trPr>
          <w:trHeight w:val="300"/>
          <w:jc w:val="right"/>
        </w:trPr>
        <w:tc>
          <w:tcPr>
            <w:tcW w:w="990" w:type="dxa"/>
            <w:tcBorders>
              <w:top w:val="single" w:sz="12" w:space="0" w:color="auto"/>
            </w:tcBorders>
            <w:shd w:val="clear" w:color="auto" w:fill="auto"/>
            <w:noWrap/>
            <w:vAlign w:val="bottom"/>
          </w:tcPr>
          <w:p w:rsidR="008B516F" w:rsidRPr="00241E14" w:rsidRDefault="008B516F" w:rsidP="001A01CD">
            <w:pPr>
              <w:spacing w:after="0" w:line="240" w:lineRule="auto"/>
              <w:jc w:val="center"/>
              <w:rPr>
                <w:rFonts w:ascii="Times New Roman" w:hAnsi="Times New Roman"/>
                <w:b/>
                <w:color w:val="000000"/>
                <w:szCs w:val="20"/>
                <w:lang w:bidi="ar-SA"/>
              </w:rPr>
            </w:pPr>
          </w:p>
        </w:tc>
        <w:tc>
          <w:tcPr>
            <w:tcW w:w="2936" w:type="dxa"/>
            <w:gridSpan w:val="2"/>
            <w:tcBorders>
              <w:top w:val="single" w:sz="12" w:space="0" w:color="auto"/>
            </w:tcBorders>
            <w:shd w:val="clear" w:color="auto" w:fill="auto"/>
            <w:noWrap/>
            <w:vAlign w:val="bottom"/>
          </w:tcPr>
          <w:p w:rsidR="008B516F" w:rsidRPr="00241E14" w:rsidRDefault="008B516F" w:rsidP="0050175E">
            <w:pPr>
              <w:spacing w:after="0" w:line="240" w:lineRule="auto"/>
              <w:jc w:val="center"/>
              <w:rPr>
                <w:rFonts w:ascii="Times New Roman" w:hAnsi="Times New Roman"/>
                <w:b/>
                <w:color w:val="000000"/>
                <w:szCs w:val="20"/>
                <w:u w:val="single"/>
                <w:lang w:bidi="ar-SA"/>
              </w:rPr>
            </w:pPr>
            <w:r w:rsidRPr="00241E14">
              <w:rPr>
                <w:rFonts w:ascii="Times New Roman" w:hAnsi="Times New Roman"/>
                <w:b/>
                <w:color w:val="000000"/>
                <w:szCs w:val="20"/>
                <w:u w:val="single"/>
                <w:lang w:bidi="ar-SA"/>
              </w:rPr>
              <w:t>Outpatient Clinic</w:t>
            </w:r>
          </w:p>
          <w:p w:rsidR="008B516F" w:rsidRPr="00241E14" w:rsidRDefault="008B516F" w:rsidP="007B232F">
            <w:pPr>
              <w:spacing w:after="0" w:line="240" w:lineRule="auto"/>
              <w:jc w:val="center"/>
              <w:rPr>
                <w:rFonts w:ascii="Times New Roman" w:hAnsi="Times New Roman"/>
                <w:b/>
                <w:color w:val="000000"/>
                <w:szCs w:val="20"/>
                <w:lang w:bidi="ar-SA"/>
              </w:rPr>
            </w:pPr>
            <w:r w:rsidRPr="00241E14">
              <w:rPr>
                <w:rFonts w:ascii="Times New Roman" w:hAnsi="Times New Roman"/>
                <w:b/>
                <w:color w:val="000000"/>
                <w:szCs w:val="20"/>
                <w:u w:val="single"/>
                <w:lang w:bidi="ar-SA"/>
              </w:rPr>
              <w:t>Visits</w:t>
            </w:r>
            <w:r w:rsidRPr="00241E14">
              <w:rPr>
                <w:rFonts w:ascii="Times New Roman" w:hAnsi="Times New Roman"/>
                <w:b/>
                <w:color w:val="000000"/>
                <w:szCs w:val="20"/>
                <w:lang w:bidi="ar-SA"/>
              </w:rPr>
              <w:t xml:space="preserve"> </w:t>
            </w:r>
            <w:r w:rsidRPr="00241E14">
              <w:rPr>
                <w:rFonts w:ascii="Times New Roman" w:hAnsi="Times New Roman"/>
                <w:b/>
                <w:noProof/>
                <w:color w:val="000000"/>
                <w:szCs w:val="20"/>
                <w:lang w:bidi="ar-SA"/>
              </w:rPr>
              <w:t>[5]</w:t>
            </w:r>
          </w:p>
        </w:tc>
        <w:tc>
          <w:tcPr>
            <w:tcW w:w="2745" w:type="dxa"/>
            <w:gridSpan w:val="2"/>
            <w:tcBorders>
              <w:top w:val="single" w:sz="12" w:space="0" w:color="auto"/>
            </w:tcBorders>
            <w:shd w:val="clear" w:color="auto" w:fill="auto"/>
            <w:noWrap/>
            <w:vAlign w:val="bottom"/>
          </w:tcPr>
          <w:p w:rsidR="008B516F" w:rsidRPr="00241E14" w:rsidRDefault="008B516F" w:rsidP="001A01CD">
            <w:pPr>
              <w:spacing w:after="0" w:line="240" w:lineRule="auto"/>
              <w:jc w:val="center"/>
              <w:rPr>
                <w:rFonts w:ascii="Times New Roman" w:hAnsi="Times New Roman"/>
                <w:b/>
                <w:color w:val="000000"/>
                <w:szCs w:val="20"/>
                <w:u w:val="single"/>
                <w:lang w:bidi="ar-SA"/>
              </w:rPr>
            </w:pPr>
            <w:r w:rsidRPr="00241E14">
              <w:rPr>
                <w:rFonts w:ascii="Times New Roman" w:hAnsi="Times New Roman"/>
                <w:b/>
                <w:color w:val="000000"/>
                <w:szCs w:val="20"/>
                <w:u w:val="single"/>
                <w:lang w:bidi="ar-SA"/>
              </w:rPr>
              <w:t xml:space="preserve">Emergency Department </w:t>
            </w:r>
          </w:p>
          <w:p w:rsidR="008B516F" w:rsidRPr="00241E14" w:rsidRDefault="008B516F" w:rsidP="007B232F">
            <w:pPr>
              <w:spacing w:after="0" w:line="240" w:lineRule="auto"/>
              <w:jc w:val="center"/>
              <w:rPr>
                <w:rFonts w:ascii="Times New Roman" w:hAnsi="Times New Roman"/>
                <w:b/>
                <w:color w:val="000000"/>
                <w:szCs w:val="20"/>
                <w:lang w:bidi="ar-SA"/>
              </w:rPr>
            </w:pPr>
            <w:r w:rsidRPr="00241E14">
              <w:rPr>
                <w:rFonts w:ascii="Times New Roman" w:hAnsi="Times New Roman"/>
                <w:b/>
                <w:color w:val="000000"/>
                <w:szCs w:val="20"/>
                <w:u w:val="single"/>
                <w:lang w:bidi="ar-SA"/>
              </w:rPr>
              <w:t>Visits</w:t>
            </w:r>
            <w:r w:rsidRPr="00241E14">
              <w:rPr>
                <w:rFonts w:ascii="Times New Roman" w:hAnsi="Times New Roman"/>
                <w:b/>
                <w:color w:val="000000"/>
                <w:szCs w:val="20"/>
                <w:lang w:bidi="ar-SA"/>
              </w:rPr>
              <w:t xml:space="preserve"> </w:t>
            </w:r>
            <w:r w:rsidRPr="00241E14">
              <w:rPr>
                <w:rFonts w:ascii="Times New Roman" w:hAnsi="Times New Roman"/>
                <w:b/>
                <w:noProof/>
                <w:color w:val="000000"/>
                <w:szCs w:val="20"/>
                <w:lang w:bidi="ar-SA"/>
              </w:rPr>
              <w:t>[5]</w:t>
            </w:r>
          </w:p>
        </w:tc>
        <w:tc>
          <w:tcPr>
            <w:tcW w:w="2745" w:type="dxa"/>
            <w:gridSpan w:val="2"/>
            <w:tcBorders>
              <w:top w:val="single" w:sz="12" w:space="0" w:color="auto"/>
            </w:tcBorders>
            <w:shd w:val="clear" w:color="auto" w:fill="auto"/>
            <w:noWrap/>
            <w:vAlign w:val="bottom"/>
          </w:tcPr>
          <w:p w:rsidR="008B516F" w:rsidRPr="00241E14" w:rsidRDefault="008B516F" w:rsidP="007B232F">
            <w:pPr>
              <w:spacing w:after="0" w:line="240" w:lineRule="auto"/>
              <w:jc w:val="center"/>
              <w:rPr>
                <w:rFonts w:ascii="Times New Roman" w:hAnsi="Times New Roman"/>
                <w:b/>
                <w:color w:val="000000"/>
                <w:szCs w:val="20"/>
                <w:lang w:bidi="ar-SA"/>
              </w:rPr>
            </w:pPr>
            <w:r w:rsidRPr="00241E14">
              <w:rPr>
                <w:rFonts w:ascii="Times New Roman" w:hAnsi="Times New Roman"/>
                <w:b/>
                <w:color w:val="000000"/>
                <w:szCs w:val="20"/>
                <w:u w:val="single"/>
                <w:lang w:bidi="ar-SA"/>
              </w:rPr>
              <w:t>Hospitalizations</w:t>
            </w:r>
            <w:r w:rsidRPr="00241E14">
              <w:rPr>
                <w:rFonts w:ascii="Times New Roman" w:hAnsi="Times New Roman"/>
                <w:b/>
                <w:color w:val="000000"/>
                <w:szCs w:val="20"/>
                <w:lang w:bidi="ar-SA"/>
              </w:rPr>
              <w:t xml:space="preserve"> </w:t>
            </w:r>
            <w:r w:rsidRPr="00241E14">
              <w:rPr>
                <w:rFonts w:ascii="Times New Roman" w:hAnsi="Times New Roman"/>
                <w:b/>
                <w:noProof/>
                <w:szCs w:val="20"/>
              </w:rPr>
              <w:t>[4]</w:t>
            </w:r>
          </w:p>
        </w:tc>
      </w:tr>
      <w:tr w:rsidR="008B516F" w:rsidRPr="009B67D1" w:rsidTr="00E70B60">
        <w:trPr>
          <w:trHeight w:val="300"/>
          <w:jc w:val="right"/>
        </w:trPr>
        <w:tc>
          <w:tcPr>
            <w:tcW w:w="990" w:type="dxa"/>
            <w:tcBorders>
              <w:bottom w:val="single" w:sz="8" w:space="0" w:color="auto"/>
            </w:tcBorders>
            <w:shd w:val="clear" w:color="auto" w:fill="auto"/>
            <w:noWrap/>
            <w:vAlign w:val="bottom"/>
          </w:tcPr>
          <w:p w:rsidR="008B516F" w:rsidRPr="00241E14" w:rsidRDefault="008B516F" w:rsidP="001A01CD">
            <w:pPr>
              <w:spacing w:after="0" w:line="240" w:lineRule="auto"/>
              <w:jc w:val="center"/>
              <w:rPr>
                <w:rFonts w:ascii="Times New Roman" w:hAnsi="Times New Roman"/>
                <w:b/>
                <w:color w:val="000000"/>
                <w:szCs w:val="20"/>
                <w:lang w:bidi="ar-SA"/>
              </w:rPr>
            </w:pPr>
            <w:r w:rsidRPr="00241E14">
              <w:rPr>
                <w:rFonts w:ascii="Times New Roman" w:hAnsi="Times New Roman"/>
                <w:b/>
                <w:color w:val="000000"/>
                <w:szCs w:val="20"/>
                <w:lang w:bidi="ar-SA"/>
              </w:rPr>
              <w:t>Age (months)</w:t>
            </w:r>
          </w:p>
        </w:tc>
        <w:tc>
          <w:tcPr>
            <w:tcW w:w="1106" w:type="dxa"/>
            <w:tcBorders>
              <w:bottom w:val="single" w:sz="8" w:space="0" w:color="auto"/>
            </w:tcBorders>
            <w:shd w:val="clear" w:color="auto" w:fill="auto"/>
            <w:noWrap/>
            <w:vAlign w:val="bottom"/>
          </w:tcPr>
          <w:p w:rsidR="008B516F" w:rsidRPr="00241E14" w:rsidRDefault="008B516F" w:rsidP="00E70B60">
            <w:pPr>
              <w:spacing w:after="0" w:line="240" w:lineRule="auto"/>
              <w:ind w:left="288"/>
              <w:jc w:val="center"/>
              <w:rPr>
                <w:rFonts w:ascii="Times New Roman" w:hAnsi="Times New Roman"/>
                <w:b/>
                <w:color w:val="000000"/>
                <w:szCs w:val="20"/>
                <w:lang w:bidi="ar-SA"/>
              </w:rPr>
            </w:pPr>
            <w:r w:rsidRPr="00241E14">
              <w:rPr>
                <w:rFonts w:ascii="Times New Roman" w:hAnsi="Times New Roman"/>
                <w:b/>
                <w:color w:val="000000"/>
                <w:szCs w:val="20"/>
                <w:lang w:bidi="ar-SA"/>
              </w:rPr>
              <w:t>Rate</w:t>
            </w:r>
          </w:p>
        </w:tc>
        <w:tc>
          <w:tcPr>
            <w:tcW w:w="1830" w:type="dxa"/>
            <w:tcBorders>
              <w:bottom w:val="single" w:sz="8" w:space="0" w:color="auto"/>
            </w:tcBorders>
            <w:shd w:val="clear" w:color="auto" w:fill="auto"/>
            <w:noWrap/>
            <w:vAlign w:val="bottom"/>
          </w:tcPr>
          <w:p w:rsidR="008B516F" w:rsidRPr="00241E14" w:rsidRDefault="008B516F" w:rsidP="001A01CD">
            <w:pPr>
              <w:spacing w:after="0" w:line="240" w:lineRule="auto"/>
              <w:jc w:val="center"/>
              <w:rPr>
                <w:rFonts w:ascii="Times New Roman" w:hAnsi="Times New Roman"/>
                <w:b/>
                <w:color w:val="000000"/>
                <w:szCs w:val="20"/>
                <w:lang w:bidi="ar-SA"/>
              </w:rPr>
            </w:pPr>
            <w:r w:rsidRPr="00241E14">
              <w:rPr>
                <w:rFonts w:ascii="Times New Roman" w:hAnsi="Times New Roman"/>
                <w:b/>
                <w:color w:val="000000"/>
                <w:szCs w:val="20"/>
                <w:lang w:bidi="ar-SA"/>
              </w:rPr>
              <w:t>95% CI</w:t>
            </w:r>
          </w:p>
        </w:tc>
        <w:tc>
          <w:tcPr>
            <w:tcW w:w="915" w:type="dxa"/>
            <w:tcBorders>
              <w:bottom w:val="single" w:sz="8" w:space="0" w:color="auto"/>
            </w:tcBorders>
            <w:shd w:val="clear" w:color="auto" w:fill="auto"/>
            <w:noWrap/>
            <w:vAlign w:val="bottom"/>
          </w:tcPr>
          <w:p w:rsidR="008B516F" w:rsidRPr="00241E14" w:rsidRDefault="008B516F" w:rsidP="001A01CD">
            <w:pPr>
              <w:spacing w:after="0" w:line="240" w:lineRule="auto"/>
              <w:jc w:val="center"/>
              <w:rPr>
                <w:rFonts w:ascii="Times New Roman" w:hAnsi="Times New Roman"/>
                <w:b/>
                <w:color w:val="000000"/>
                <w:szCs w:val="20"/>
                <w:lang w:bidi="ar-SA"/>
              </w:rPr>
            </w:pPr>
            <w:r w:rsidRPr="00241E14">
              <w:rPr>
                <w:rFonts w:ascii="Times New Roman" w:hAnsi="Times New Roman"/>
                <w:b/>
                <w:color w:val="000000"/>
                <w:szCs w:val="20"/>
                <w:lang w:bidi="ar-SA"/>
              </w:rPr>
              <w:t>Rate</w:t>
            </w:r>
          </w:p>
        </w:tc>
        <w:tc>
          <w:tcPr>
            <w:tcW w:w="1830" w:type="dxa"/>
            <w:tcBorders>
              <w:bottom w:val="single" w:sz="8" w:space="0" w:color="auto"/>
            </w:tcBorders>
            <w:shd w:val="clear" w:color="auto" w:fill="auto"/>
            <w:noWrap/>
            <w:vAlign w:val="bottom"/>
          </w:tcPr>
          <w:p w:rsidR="008B516F" w:rsidRPr="00241E14" w:rsidRDefault="008B516F" w:rsidP="001A01CD">
            <w:pPr>
              <w:spacing w:after="0" w:line="240" w:lineRule="auto"/>
              <w:jc w:val="center"/>
              <w:rPr>
                <w:rFonts w:ascii="Times New Roman" w:hAnsi="Times New Roman"/>
                <w:b/>
                <w:color w:val="000000"/>
                <w:szCs w:val="20"/>
                <w:lang w:bidi="ar-SA"/>
              </w:rPr>
            </w:pPr>
            <w:r w:rsidRPr="00241E14">
              <w:rPr>
                <w:rFonts w:ascii="Times New Roman" w:hAnsi="Times New Roman"/>
                <w:b/>
                <w:color w:val="000000"/>
                <w:szCs w:val="20"/>
                <w:lang w:bidi="ar-SA"/>
              </w:rPr>
              <w:t>95% CI</w:t>
            </w:r>
          </w:p>
        </w:tc>
        <w:tc>
          <w:tcPr>
            <w:tcW w:w="915" w:type="dxa"/>
            <w:tcBorders>
              <w:bottom w:val="single" w:sz="8" w:space="0" w:color="auto"/>
            </w:tcBorders>
            <w:shd w:val="clear" w:color="auto" w:fill="auto"/>
            <w:noWrap/>
            <w:vAlign w:val="bottom"/>
          </w:tcPr>
          <w:p w:rsidR="008B516F" w:rsidRPr="00241E14" w:rsidRDefault="008B516F" w:rsidP="001A01CD">
            <w:pPr>
              <w:spacing w:after="0" w:line="240" w:lineRule="auto"/>
              <w:jc w:val="center"/>
              <w:rPr>
                <w:rFonts w:ascii="Times New Roman" w:hAnsi="Times New Roman"/>
                <w:b/>
                <w:color w:val="000000"/>
                <w:szCs w:val="20"/>
                <w:lang w:bidi="ar-SA"/>
              </w:rPr>
            </w:pPr>
            <w:r w:rsidRPr="00241E14">
              <w:rPr>
                <w:rFonts w:ascii="Times New Roman" w:hAnsi="Times New Roman"/>
                <w:b/>
                <w:color w:val="000000"/>
                <w:szCs w:val="20"/>
                <w:lang w:bidi="ar-SA"/>
              </w:rPr>
              <w:t>Rate</w:t>
            </w:r>
          </w:p>
        </w:tc>
        <w:tc>
          <w:tcPr>
            <w:tcW w:w="1830" w:type="dxa"/>
            <w:tcBorders>
              <w:bottom w:val="single" w:sz="8" w:space="0" w:color="auto"/>
            </w:tcBorders>
            <w:shd w:val="clear" w:color="auto" w:fill="auto"/>
            <w:noWrap/>
            <w:vAlign w:val="bottom"/>
          </w:tcPr>
          <w:p w:rsidR="008B516F" w:rsidRPr="00241E14" w:rsidRDefault="008B516F" w:rsidP="001A01CD">
            <w:pPr>
              <w:spacing w:after="0" w:line="240" w:lineRule="auto"/>
              <w:jc w:val="center"/>
              <w:rPr>
                <w:rFonts w:ascii="Times New Roman" w:hAnsi="Times New Roman"/>
                <w:b/>
                <w:color w:val="000000"/>
                <w:szCs w:val="20"/>
                <w:lang w:bidi="ar-SA"/>
              </w:rPr>
            </w:pPr>
            <w:r w:rsidRPr="00241E14">
              <w:rPr>
                <w:rFonts w:ascii="Times New Roman" w:hAnsi="Times New Roman"/>
                <w:b/>
                <w:color w:val="000000"/>
                <w:szCs w:val="20"/>
                <w:lang w:bidi="ar-SA"/>
              </w:rPr>
              <w:t>95% CI</w:t>
            </w:r>
          </w:p>
        </w:tc>
      </w:tr>
      <w:tr w:rsidR="008B516F" w:rsidRPr="009B67D1" w:rsidTr="00E70B60">
        <w:trPr>
          <w:trHeight w:val="300"/>
          <w:jc w:val="right"/>
        </w:trPr>
        <w:tc>
          <w:tcPr>
            <w:tcW w:w="990" w:type="dxa"/>
            <w:tcBorders>
              <w:top w:val="single" w:sz="8" w:space="0" w:color="auto"/>
            </w:tcBorders>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0</w:t>
            </w:r>
          </w:p>
        </w:tc>
        <w:tc>
          <w:tcPr>
            <w:tcW w:w="1106" w:type="dxa"/>
            <w:tcBorders>
              <w:top w:val="single" w:sz="8" w:space="0" w:color="auto"/>
            </w:tcBorders>
            <w:shd w:val="clear" w:color="auto" w:fill="auto"/>
            <w:noWrap/>
            <w:vAlign w:val="bottom"/>
            <w:hideMark/>
          </w:tcPr>
          <w:p w:rsidR="008B516F" w:rsidRPr="00241E14" w:rsidRDefault="008B516F" w:rsidP="00E70B60">
            <w:pPr>
              <w:spacing w:after="0" w:line="240" w:lineRule="auto"/>
              <w:ind w:left="288"/>
              <w:jc w:val="center"/>
              <w:rPr>
                <w:rFonts w:ascii="Times New Roman" w:hAnsi="Times New Roman"/>
                <w:color w:val="000000"/>
                <w:szCs w:val="20"/>
                <w:lang w:bidi="ar-SA"/>
              </w:rPr>
            </w:pPr>
            <w:r w:rsidRPr="00241E14">
              <w:rPr>
                <w:rFonts w:ascii="Times New Roman" w:hAnsi="Times New Roman"/>
                <w:color w:val="000000"/>
                <w:szCs w:val="20"/>
                <w:lang w:bidi="ar-SA"/>
              </w:rPr>
              <w:t>85.2</w:t>
            </w:r>
          </w:p>
        </w:tc>
        <w:tc>
          <w:tcPr>
            <w:tcW w:w="1830" w:type="dxa"/>
            <w:tcBorders>
              <w:top w:val="single" w:sz="8" w:space="0" w:color="auto"/>
            </w:tcBorders>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(71.0-99.3)</w:t>
            </w:r>
          </w:p>
        </w:tc>
        <w:tc>
          <w:tcPr>
            <w:tcW w:w="915" w:type="dxa"/>
            <w:tcBorders>
              <w:top w:val="single" w:sz="8" w:space="0" w:color="auto"/>
            </w:tcBorders>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19.6</w:t>
            </w:r>
          </w:p>
        </w:tc>
        <w:tc>
          <w:tcPr>
            <w:tcW w:w="1830" w:type="dxa"/>
            <w:tcBorders>
              <w:top w:val="single" w:sz="8" w:space="0" w:color="auto"/>
            </w:tcBorders>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(16.8-22.4)</w:t>
            </w:r>
          </w:p>
        </w:tc>
        <w:tc>
          <w:tcPr>
            <w:tcW w:w="915" w:type="dxa"/>
            <w:tcBorders>
              <w:top w:val="single" w:sz="8" w:space="0" w:color="auto"/>
            </w:tcBorders>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13.5</w:t>
            </w:r>
          </w:p>
        </w:tc>
        <w:tc>
          <w:tcPr>
            <w:tcW w:w="1830" w:type="dxa"/>
            <w:tcBorders>
              <w:top w:val="single" w:sz="8" w:space="0" w:color="auto"/>
            </w:tcBorders>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(10.3-17.1)</w:t>
            </w:r>
          </w:p>
        </w:tc>
      </w:tr>
      <w:tr w:rsidR="008B516F" w:rsidRPr="009B67D1" w:rsidTr="00E70B60">
        <w:trPr>
          <w:trHeight w:val="300"/>
          <w:jc w:val="right"/>
        </w:trPr>
        <w:tc>
          <w:tcPr>
            <w:tcW w:w="99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w:t>
            </w:r>
          </w:p>
        </w:tc>
        <w:tc>
          <w:tcPr>
            <w:tcW w:w="1106" w:type="dxa"/>
            <w:shd w:val="clear" w:color="auto" w:fill="auto"/>
            <w:noWrap/>
            <w:vAlign w:val="bottom"/>
            <w:hideMark/>
          </w:tcPr>
          <w:p w:rsidR="008B516F" w:rsidRPr="00241E14" w:rsidRDefault="008B516F" w:rsidP="00E70B60">
            <w:pPr>
              <w:spacing w:after="0" w:line="240" w:lineRule="auto"/>
              <w:ind w:left="288"/>
              <w:jc w:val="center"/>
              <w:rPr>
                <w:rFonts w:ascii="Times New Roman" w:hAnsi="Times New Roman"/>
                <w:color w:val="000000"/>
                <w:szCs w:val="20"/>
                <w:lang w:bidi="ar-SA"/>
              </w:rPr>
            </w:pPr>
            <w:r w:rsidRPr="00241E14">
              <w:rPr>
                <w:rFonts w:ascii="Times New Roman" w:hAnsi="Times New Roman"/>
                <w:color w:val="000000"/>
                <w:szCs w:val="20"/>
                <w:lang w:bidi="ar-SA"/>
              </w:rPr>
              <w:t>187.9</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(156.6-219.1)</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64.2</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(54.9-73.4)</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25.9</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(21.3-30.8)</w:t>
            </w:r>
          </w:p>
        </w:tc>
      </w:tr>
      <w:tr w:rsidR="008B516F" w:rsidRPr="009B67D1" w:rsidTr="00E70B60">
        <w:trPr>
          <w:trHeight w:val="300"/>
          <w:jc w:val="right"/>
        </w:trPr>
        <w:tc>
          <w:tcPr>
            <w:tcW w:w="99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w:t>
            </w:r>
          </w:p>
        </w:tc>
        <w:tc>
          <w:tcPr>
            <w:tcW w:w="1106" w:type="dxa"/>
            <w:shd w:val="clear" w:color="auto" w:fill="auto"/>
            <w:noWrap/>
            <w:vAlign w:val="bottom"/>
            <w:hideMark/>
          </w:tcPr>
          <w:p w:rsidR="008B516F" w:rsidRPr="00241E14" w:rsidRDefault="008B516F" w:rsidP="00E70B60">
            <w:pPr>
              <w:spacing w:after="0" w:line="240" w:lineRule="auto"/>
              <w:ind w:left="288"/>
              <w:jc w:val="center"/>
              <w:rPr>
                <w:rFonts w:ascii="Times New Roman" w:hAnsi="Times New Roman"/>
                <w:color w:val="000000"/>
                <w:szCs w:val="20"/>
                <w:lang w:bidi="ar-SA"/>
              </w:rPr>
            </w:pPr>
            <w:r w:rsidRPr="00241E14">
              <w:rPr>
                <w:rFonts w:ascii="Times New Roman" w:hAnsi="Times New Roman"/>
                <w:color w:val="000000"/>
                <w:szCs w:val="20"/>
                <w:lang w:bidi="ar-SA"/>
              </w:rPr>
              <w:t>234.2</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(195.2-273.1)</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72.4</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(62.0-82.9)</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14.3</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(11.1-17.8)</w:t>
            </w:r>
          </w:p>
        </w:tc>
      </w:tr>
      <w:tr w:rsidR="008B516F" w:rsidRPr="009B67D1" w:rsidTr="00E70B60">
        <w:trPr>
          <w:trHeight w:val="300"/>
          <w:jc w:val="right"/>
        </w:trPr>
        <w:tc>
          <w:tcPr>
            <w:tcW w:w="99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3</w:t>
            </w:r>
          </w:p>
        </w:tc>
        <w:tc>
          <w:tcPr>
            <w:tcW w:w="1106" w:type="dxa"/>
            <w:shd w:val="clear" w:color="auto" w:fill="auto"/>
            <w:noWrap/>
            <w:vAlign w:val="bottom"/>
            <w:hideMark/>
          </w:tcPr>
          <w:p w:rsidR="008B516F" w:rsidRPr="00241E14" w:rsidRDefault="008B516F" w:rsidP="00E70B60">
            <w:pPr>
              <w:spacing w:after="0" w:line="240" w:lineRule="auto"/>
              <w:ind w:left="288"/>
              <w:jc w:val="center"/>
              <w:rPr>
                <w:rFonts w:ascii="Times New Roman" w:hAnsi="Times New Roman"/>
                <w:color w:val="000000"/>
                <w:szCs w:val="20"/>
                <w:lang w:bidi="ar-SA"/>
              </w:rPr>
            </w:pPr>
            <w:r w:rsidRPr="00241E14">
              <w:rPr>
                <w:rFonts w:ascii="Times New Roman" w:hAnsi="Times New Roman"/>
                <w:color w:val="000000"/>
                <w:szCs w:val="20"/>
                <w:lang w:bidi="ar-SA"/>
              </w:rPr>
              <w:t>232.6</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(194.0-271.3)</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105.2</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(90.1-120.4)</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10.3</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(7.7-13.5)</w:t>
            </w:r>
          </w:p>
        </w:tc>
      </w:tr>
      <w:tr w:rsidR="008B516F" w:rsidRPr="009B67D1" w:rsidTr="00E70B60">
        <w:trPr>
          <w:trHeight w:val="300"/>
          <w:jc w:val="right"/>
        </w:trPr>
        <w:tc>
          <w:tcPr>
            <w:tcW w:w="99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4</w:t>
            </w:r>
          </w:p>
        </w:tc>
        <w:tc>
          <w:tcPr>
            <w:tcW w:w="1106" w:type="dxa"/>
            <w:shd w:val="clear" w:color="auto" w:fill="auto"/>
            <w:noWrap/>
            <w:vAlign w:val="bottom"/>
            <w:hideMark/>
          </w:tcPr>
          <w:p w:rsidR="008B516F" w:rsidRPr="00241E14" w:rsidRDefault="008B516F" w:rsidP="00E70B60">
            <w:pPr>
              <w:spacing w:after="0" w:line="240" w:lineRule="auto"/>
              <w:ind w:left="288"/>
              <w:jc w:val="center"/>
              <w:rPr>
                <w:rFonts w:ascii="Times New Roman" w:hAnsi="Times New Roman"/>
                <w:color w:val="000000"/>
                <w:szCs w:val="20"/>
                <w:lang w:bidi="ar-SA"/>
              </w:rPr>
            </w:pPr>
            <w:r w:rsidRPr="00241E14">
              <w:rPr>
                <w:rFonts w:ascii="Times New Roman" w:hAnsi="Times New Roman"/>
                <w:color w:val="000000"/>
                <w:szCs w:val="20"/>
                <w:lang w:bidi="ar-SA"/>
              </w:rPr>
              <w:t>265.0</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(221.0-309.1)</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116.0</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(99.3-132.7)</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8.9</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(6.3-11.8)</w:t>
            </w:r>
          </w:p>
        </w:tc>
      </w:tr>
      <w:tr w:rsidR="008B516F" w:rsidRPr="009B67D1" w:rsidTr="00E70B60">
        <w:trPr>
          <w:trHeight w:val="300"/>
          <w:jc w:val="right"/>
        </w:trPr>
        <w:tc>
          <w:tcPr>
            <w:tcW w:w="99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5</w:t>
            </w:r>
          </w:p>
        </w:tc>
        <w:tc>
          <w:tcPr>
            <w:tcW w:w="1106" w:type="dxa"/>
            <w:shd w:val="clear" w:color="auto" w:fill="auto"/>
            <w:noWrap/>
            <w:vAlign w:val="bottom"/>
            <w:hideMark/>
          </w:tcPr>
          <w:p w:rsidR="008B516F" w:rsidRPr="00241E14" w:rsidRDefault="008B516F" w:rsidP="00E70B60">
            <w:pPr>
              <w:spacing w:after="0" w:line="240" w:lineRule="auto"/>
              <w:ind w:left="288"/>
              <w:jc w:val="center"/>
              <w:rPr>
                <w:rFonts w:ascii="Times New Roman" w:hAnsi="Times New Roman"/>
                <w:color w:val="000000"/>
                <w:szCs w:val="20"/>
                <w:lang w:bidi="ar-SA"/>
              </w:rPr>
            </w:pPr>
            <w:r w:rsidRPr="00241E14">
              <w:rPr>
                <w:rFonts w:ascii="Times New Roman" w:hAnsi="Times New Roman"/>
                <w:color w:val="000000"/>
                <w:szCs w:val="20"/>
                <w:lang w:bidi="ar-SA"/>
              </w:rPr>
              <w:t>289.2</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(241.1-337.2)</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71.3</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(61.1-81.6)</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4.8</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(2.9-7.0)</w:t>
            </w:r>
          </w:p>
        </w:tc>
      </w:tr>
      <w:tr w:rsidR="008B516F" w:rsidRPr="009B67D1" w:rsidTr="00E70B60">
        <w:trPr>
          <w:trHeight w:val="300"/>
          <w:jc w:val="right"/>
        </w:trPr>
        <w:tc>
          <w:tcPr>
            <w:tcW w:w="99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6</w:t>
            </w:r>
          </w:p>
        </w:tc>
        <w:tc>
          <w:tcPr>
            <w:tcW w:w="1106" w:type="dxa"/>
            <w:shd w:val="clear" w:color="auto" w:fill="auto"/>
            <w:noWrap/>
            <w:vAlign w:val="bottom"/>
            <w:hideMark/>
          </w:tcPr>
          <w:p w:rsidR="008B516F" w:rsidRPr="00241E14" w:rsidRDefault="008B516F" w:rsidP="00E70B60">
            <w:pPr>
              <w:spacing w:after="0" w:line="240" w:lineRule="auto"/>
              <w:ind w:left="288"/>
              <w:jc w:val="center"/>
              <w:rPr>
                <w:rFonts w:ascii="Times New Roman" w:hAnsi="Times New Roman"/>
                <w:color w:val="000000"/>
                <w:szCs w:val="20"/>
                <w:lang w:bidi="ar-SA"/>
              </w:rPr>
            </w:pPr>
            <w:r w:rsidRPr="00241E14">
              <w:rPr>
                <w:rFonts w:ascii="Times New Roman" w:hAnsi="Times New Roman"/>
                <w:color w:val="000000"/>
                <w:szCs w:val="20"/>
                <w:lang w:bidi="ar-SA"/>
              </w:rPr>
              <w:t>264.7</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(220.7-308.7)</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81.8</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(70.1-93.6)</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4.1</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(2.5-6.2)</w:t>
            </w:r>
          </w:p>
        </w:tc>
      </w:tr>
      <w:tr w:rsidR="008B516F" w:rsidRPr="009B67D1" w:rsidTr="00E70B60">
        <w:trPr>
          <w:trHeight w:val="300"/>
          <w:jc w:val="right"/>
        </w:trPr>
        <w:tc>
          <w:tcPr>
            <w:tcW w:w="99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7</w:t>
            </w:r>
          </w:p>
        </w:tc>
        <w:tc>
          <w:tcPr>
            <w:tcW w:w="1106" w:type="dxa"/>
            <w:shd w:val="clear" w:color="auto" w:fill="auto"/>
            <w:noWrap/>
            <w:vAlign w:val="bottom"/>
            <w:hideMark/>
          </w:tcPr>
          <w:p w:rsidR="008B516F" w:rsidRPr="00241E14" w:rsidRDefault="008B516F" w:rsidP="00E70B60">
            <w:pPr>
              <w:spacing w:after="0" w:line="240" w:lineRule="auto"/>
              <w:ind w:left="288"/>
              <w:jc w:val="center"/>
              <w:rPr>
                <w:rFonts w:ascii="Times New Roman" w:hAnsi="Times New Roman"/>
                <w:color w:val="000000"/>
                <w:szCs w:val="20"/>
                <w:lang w:bidi="ar-SA"/>
              </w:rPr>
            </w:pPr>
            <w:r w:rsidRPr="00241E14">
              <w:rPr>
                <w:rFonts w:ascii="Times New Roman" w:hAnsi="Times New Roman"/>
                <w:color w:val="000000"/>
                <w:szCs w:val="20"/>
                <w:lang w:bidi="ar-SA"/>
              </w:rPr>
              <w:t>207.2</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(172.8-241.7)</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56.1</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(48.0-64.2)</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5.6</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(3.6-8.0)</w:t>
            </w:r>
          </w:p>
        </w:tc>
      </w:tr>
      <w:tr w:rsidR="008B516F" w:rsidRPr="009B67D1" w:rsidTr="00E70B60">
        <w:trPr>
          <w:trHeight w:val="300"/>
          <w:jc w:val="right"/>
        </w:trPr>
        <w:tc>
          <w:tcPr>
            <w:tcW w:w="99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8</w:t>
            </w:r>
          </w:p>
        </w:tc>
        <w:tc>
          <w:tcPr>
            <w:tcW w:w="1106" w:type="dxa"/>
            <w:shd w:val="clear" w:color="auto" w:fill="auto"/>
            <w:noWrap/>
            <w:vAlign w:val="bottom"/>
            <w:hideMark/>
          </w:tcPr>
          <w:p w:rsidR="008B516F" w:rsidRPr="00241E14" w:rsidRDefault="008B516F" w:rsidP="00E70B60">
            <w:pPr>
              <w:spacing w:after="0" w:line="240" w:lineRule="auto"/>
              <w:ind w:left="288"/>
              <w:jc w:val="center"/>
              <w:rPr>
                <w:rFonts w:ascii="Times New Roman" w:hAnsi="Times New Roman"/>
                <w:color w:val="000000"/>
                <w:szCs w:val="20"/>
                <w:lang w:bidi="ar-SA"/>
              </w:rPr>
            </w:pPr>
            <w:r w:rsidRPr="00241E14">
              <w:rPr>
                <w:rFonts w:ascii="Times New Roman" w:hAnsi="Times New Roman"/>
                <w:color w:val="000000"/>
                <w:szCs w:val="20"/>
                <w:lang w:bidi="ar-SA"/>
              </w:rPr>
              <w:t>277.8</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(231.7-324.0)</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55.6</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(47.6-63.5)</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3.4</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(1.8-5.2)</w:t>
            </w:r>
          </w:p>
        </w:tc>
      </w:tr>
      <w:tr w:rsidR="008B516F" w:rsidRPr="009B67D1" w:rsidTr="00E70B60">
        <w:trPr>
          <w:trHeight w:val="300"/>
          <w:jc w:val="right"/>
        </w:trPr>
        <w:tc>
          <w:tcPr>
            <w:tcW w:w="99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9</w:t>
            </w:r>
          </w:p>
        </w:tc>
        <w:tc>
          <w:tcPr>
            <w:tcW w:w="1106" w:type="dxa"/>
            <w:shd w:val="clear" w:color="auto" w:fill="auto"/>
            <w:noWrap/>
            <w:vAlign w:val="bottom"/>
            <w:hideMark/>
          </w:tcPr>
          <w:p w:rsidR="008B516F" w:rsidRPr="00241E14" w:rsidRDefault="008B516F" w:rsidP="00E70B60">
            <w:pPr>
              <w:spacing w:after="0" w:line="240" w:lineRule="auto"/>
              <w:ind w:left="288"/>
              <w:jc w:val="center"/>
              <w:rPr>
                <w:rFonts w:ascii="Times New Roman" w:hAnsi="Times New Roman"/>
                <w:color w:val="000000"/>
                <w:szCs w:val="20"/>
                <w:lang w:bidi="ar-SA"/>
              </w:rPr>
            </w:pPr>
            <w:r w:rsidRPr="00241E14">
              <w:rPr>
                <w:rFonts w:ascii="Times New Roman" w:hAnsi="Times New Roman"/>
                <w:color w:val="000000"/>
                <w:szCs w:val="20"/>
                <w:lang w:bidi="ar-SA"/>
              </w:rPr>
              <w:t>227.2</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(189.4-264.9)</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55.6</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(47.6-63.6)</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3.8</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(2.1-6.0)</w:t>
            </w:r>
          </w:p>
        </w:tc>
      </w:tr>
      <w:tr w:rsidR="008B516F" w:rsidRPr="009B67D1" w:rsidTr="00E70B60">
        <w:trPr>
          <w:trHeight w:val="300"/>
          <w:jc w:val="right"/>
        </w:trPr>
        <w:tc>
          <w:tcPr>
            <w:tcW w:w="99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10</w:t>
            </w:r>
          </w:p>
        </w:tc>
        <w:tc>
          <w:tcPr>
            <w:tcW w:w="1106" w:type="dxa"/>
            <w:shd w:val="clear" w:color="auto" w:fill="auto"/>
            <w:noWrap/>
            <w:vAlign w:val="bottom"/>
            <w:hideMark/>
          </w:tcPr>
          <w:p w:rsidR="008B516F" w:rsidRPr="00241E14" w:rsidRDefault="008B516F" w:rsidP="00E70B60">
            <w:pPr>
              <w:spacing w:after="0" w:line="240" w:lineRule="auto"/>
              <w:ind w:left="288"/>
              <w:jc w:val="center"/>
              <w:rPr>
                <w:rFonts w:ascii="Times New Roman" w:hAnsi="Times New Roman"/>
                <w:color w:val="000000"/>
                <w:szCs w:val="20"/>
                <w:lang w:bidi="ar-SA"/>
              </w:rPr>
            </w:pPr>
            <w:r w:rsidRPr="00241E14">
              <w:rPr>
                <w:rFonts w:ascii="Times New Roman" w:hAnsi="Times New Roman"/>
                <w:color w:val="000000"/>
                <w:szCs w:val="20"/>
                <w:lang w:bidi="ar-SA"/>
              </w:rPr>
              <w:t>241.7</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(201.5-281.8)</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40.4</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(34.6-46.2)</w:t>
            </w:r>
          </w:p>
        </w:tc>
        <w:tc>
          <w:tcPr>
            <w:tcW w:w="915"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3.7</w:t>
            </w:r>
          </w:p>
        </w:tc>
        <w:tc>
          <w:tcPr>
            <w:tcW w:w="1830" w:type="dxa"/>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(2.0-5.7)</w:t>
            </w:r>
          </w:p>
        </w:tc>
      </w:tr>
      <w:tr w:rsidR="008B516F" w:rsidRPr="009B67D1" w:rsidTr="00E70B60">
        <w:trPr>
          <w:trHeight w:val="300"/>
          <w:jc w:val="right"/>
        </w:trPr>
        <w:tc>
          <w:tcPr>
            <w:tcW w:w="990" w:type="dxa"/>
            <w:tcBorders>
              <w:bottom w:val="single" w:sz="12" w:space="0" w:color="auto"/>
            </w:tcBorders>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11</w:t>
            </w:r>
          </w:p>
        </w:tc>
        <w:tc>
          <w:tcPr>
            <w:tcW w:w="1106" w:type="dxa"/>
            <w:tcBorders>
              <w:bottom w:val="single" w:sz="12" w:space="0" w:color="auto"/>
            </w:tcBorders>
            <w:shd w:val="clear" w:color="auto" w:fill="auto"/>
            <w:noWrap/>
            <w:vAlign w:val="bottom"/>
            <w:hideMark/>
          </w:tcPr>
          <w:p w:rsidR="008B516F" w:rsidRPr="00241E14" w:rsidRDefault="008B516F" w:rsidP="00E70B60">
            <w:pPr>
              <w:spacing w:after="0" w:line="240" w:lineRule="auto"/>
              <w:ind w:left="288"/>
              <w:jc w:val="center"/>
              <w:rPr>
                <w:rFonts w:ascii="Times New Roman" w:hAnsi="Times New Roman"/>
                <w:color w:val="000000"/>
                <w:szCs w:val="20"/>
                <w:lang w:bidi="ar-SA"/>
              </w:rPr>
            </w:pPr>
            <w:r w:rsidRPr="00241E14">
              <w:rPr>
                <w:rFonts w:ascii="Times New Roman" w:hAnsi="Times New Roman"/>
                <w:color w:val="000000"/>
                <w:szCs w:val="20"/>
                <w:lang w:bidi="ar-SA"/>
              </w:rPr>
              <w:t>258.1</w:t>
            </w:r>
          </w:p>
        </w:tc>
        <w:tc>
          <w:tcPr>
            <w:tcW w:w="1830" w:type="dxa"/>
            <w:tcBorders>
              <w:bottom w:val="single" w:sz="12" w:space="0" w:color="auto"/>
            </w:tcBorders>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(215.2-301.0)</w:t>
            </w:r>
          </w:p>
        </w:tc>
        <w:tc>
          <w:tcPr>
            <w:tcW w:w="915" w:type="dxa"/>
            <w:tcBorders>
              <w:bottom w:val="single" w:sz="12" w:space="0" w:color="auto"/>
            </w:tcBorders>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55.6</w:t>
            </w:r>
          </w:p>
        </w:tc>
        <w:tc>
          <w:tcPr>
            <w:tcW w:w="1830" w:type="dxa"/>
            <w:tcBorders>
              <w:bottom w:val="single" w:sz="12" w:space="0" w:color="auto"/>
            </w:tcBorders>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(47.6-63.6)</w:t>
            </w:r>
          </w:p>
        </w:tc>
        <w:tc>
          <w:tcPr>
            <w:tcW w:w="915" w:type="dxa"/>
            <w:tcBorders>
              <w:bottom w:val="single" w:sz="12" w:space="0" w:color="auto"/>
            </w:tcBorders>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2.9</w:t>
            </w:r>
          </w:p>
        </w:tc>
        <w:tc>
          <w:tcPr>
            <w:tcW w:w="1830" w:type="dxa"/>
            <w:tcBorders>
              <w:bottom w:val="single" w:sz="12" w:space="0" w:color="auto"/>
            </w:tcBorders>
            <w:shd w:val="clear" w:color="auto" w:fill="auto"/>
            <w:noWrap/>
            <w:vAlign w:val="bottom"/>
            <w:hideMark/>
          </w:tcPr>
          <w:p w:rsidR="008B516F" w:rsidRPr="00241E14" w:rsidRDefault="008B516F" w:rsidP="001A01CD">
            <w:pPr>
              <w:spacing w:after="0" w:line="240" w:lineRule="auto"/>
              <w:jc w:val="center"/>
              <w:rPr>
                <w:rFonts w:ascii="Times New Roman" w:hAnsi="Times New Roman"/>
                <w:color w:val="000000"/>
                <w:szCs w:val="20"/>
                <w:lang w:bidi="ar-SA"/>
              </w:rPr>
            </w:pPr>
            <w:r w:rsidRPr="00241E14">
              <w:rPr>
                <w:rFonts w:ascii="Times New Roman" w:hAnsi="Times New Roman"/>
                <w:color w:val="000000"/>
                <w:szCs w:val="20"/>
                <w:lang w:bidi="ar-SA"/>
              </w:rPr>
              <w:t>(1.5-4.8)</w:t>
            </w:r>
          </w:p>
        </w:tc>
      </w:tr>
    </w:tbl>
    <w:p w:rsidR="008B516F" w:rsidRDefault="008B516F" w:rsidP="00C94DC0">
      <w:pPr>
        <w:rPr>
          <w:rStyle w:val="Strong"/>
          <w:rFonts w:ascii="Times New Roman" w:eastAsia="MS Gothic" w:hAnsi="Times New Roman"/>
          <w:b w:val="0"/>
          <w:sz w:val="20"/>
          <w:szCs w:val="24"/>
        </w:rPr>
      </w:pPr>
    </w:p>
    <w:p w:rsidR="008B516F" w:rsidRDefault="008B516F">
      <w:pPr>
        <w:spacing w:after="0" w:line="240" w:lineRule="auto"/>
        <w:rPr>
          <w:rStyle w:val="Strong"/>
          <w:rFonts w:ascii="Times New Roman" w:eastAsia="MS Gothic" w:hAnsi="Times New Roman"/>
          <w:b w:val="0"/>
          <w:sz w:val="20"/>
          <w:szCs w:val="24"/>
        </w:rPr>
      </w:pPr>
      <w:r>
        <w:rPr>
          <w:rStyle w:val="Strong"/>
          <w:rFonts w:ascii="Times New Roman" w:eastAsia="MS Gothic" w:hAnsi="Times New Roman"/>
          <w:b w:val="0"/>
          <w:sz w:val="20"/>
          <w:szCs w:val="24"/>
        </w:rPr>
        <w:br w:type="page"/>
      </w:r>
    </w:p>
    <w:p w:rsidR="008B516F" w:rsidRDefault="008B516F" w:rsidP="000A4102">
      <w:pPr>
        <w:rPr>
          <w:lang w:val="x-none"/>
        </w:rPr>
      </w:pPr>
      <w:r>
        <w:rPr>
          <w:noProof/>
          <w:lang w:bidi="ar-SA"/>
        </w:rPr>
        <w:lastRenderedPageBreak/>
        <w:drawing>
          <wp:inline distT="0" distB="0" distL="0" distR="0" wp14:anchorId="7BDE981D" wp14:editId="257E8520">
            <wp:extent cx="5181600" cy="3190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81600" cy="3190875"/>
                    </a:xfrm>
                    <a:prstGeom prst="rect">
                      <a:avLst/>
                    </a:prstGeom>
                  </pic:spPr>
                </pic:pic>
              </a:graphicData>
            </a:graphic>
          </wp:inline>
        </w:drawing>
      </w:r>
    </w:p>
    <w:p w:rsidR="008B516F" w:rsidRPr="007037B8" w:rsidRDefault="008B516F" w:rsidP="009F0547">
      <w:pPr>
        <w:rPr>
          <w:rFonts w:ascii="Times New Roman" w:hAnsi="Times New Roman"/>
          <w:b/>
          <w:sz w:val="24"/>
          <w:szCs w:val="20"/>
        </w:rPr>
      </w:pPr>
      <w:r w:rsidRPr="007037B8">
        <w:rPr>
          <w:rFonts w:ascii="Times New Roman" w:hAnsi="Times New Roman"/>
          <w:b/>
          <w:sz w:val="24"/>
          <w:szCs w:val="20"/>
        </w:rPr>
        <w:t xml:space="preserve">Fig. S1. </w:t>
      </w:r>
      <w:r w:rsidRPr="00241E14">
        <w:rPr>
          <w:rFonts w:ascii="Times New Roman" w:hAnsi="Times New Roman"/>
          <w:sz w:val="24"/>
          <w:szCs w:val="20"/>
        </w:rPr>
        <w:t>Seasonal Distribution of Medically-Attended RSV infections in the US (National-level). Source: CDC, unpublished</w:t>
      </w:r>
    </w:p>
    <w:p w:rsidR="008B516F" w:rsidRPr="000A4102" w:rsidRDefault="008B516F" w:rsidP="000A4102">
      <w:pPr>
        <w:rPr>
          <w:lang w:val="x-none"/>
        </w:rPr>
      </w:pPr>
    </w:p>
    <w:p w:rsidR="008B516F" w:rsidRPr="00241E14" w:rsidRDefault="008B516F" w:rsidP="00241E14">
      <w:pPr>
        <w:spacing w:after="0" w:line="360" w:lineRule="auto"/>
        <w:rPr>
          <w:rFonts w:ascii="Times New Roman" w:eastAsiaTheme="majorEastAsia" w:hAnsi="Times New Roman"/>
          <w:b/>
          <w:bCs/>
          <w:sz w:val="24"/>
          <w:szCs w:val="20"/>
        </w:rPr>
      </w:pPr>
      <w:r w:rsidRPr="00241E14">
        <w:rPr>
          <w:rFonts w:ascii="Times New Roman" w:eastAsiaTheme="majorEastAsia" w:hAnsi="Times New Roman"/>
          <w:b/>
          <w:bCs/>
          <w:sz w:val="24"/>
          <w:szCs w:val="20"/>
        </w:rPr>
        <w:t>“High-Risk” births and RSV risk</w:t>
      </w:r>
    </w:p>
    <w:p w:rsidR="008B516F" w:rsidRDefault="008B516F" w:rsidP="00241E14">
      <w:pPr>
        <w:spacing w:after="0" w:line="360" w:lineRule="auto"/>
        <w:ind w:firstLine="720"/>
        <w:rPr>
          <w:rStyle w:val="Emphasis"/>
          <w:rFonts w:ascii="Times New Roman" w:hAnsi="Times New Roman"/>
          <w:b w:val="0"/>
          <w:sz w:val="20"/>
          <w:szCs w:val="20"/>
        </w:rPr>
      </w:pPr>
      <w:r w:rsidRPr="00241E14">
        <w:rPr>
          <w:rFonts w:ascii="Times New Roman" w:eastAsiaTheme="majorEastAsia" w:hAnsi="Times New Roman"/>
          <w:bCs/>
          <w:sz w:val="24"/>
          <w:szCs w:val="20"/>
        </w:rPr>
        <w:t xml:space="preserve">In our analysis “high-risk births” refers to infants who are recommended to receive palivizumab under current guidelines </w:t>
      </w:r>
      <w:r w:rsidRPr="00241E14">
        <w:rPr>
          <w:rFonts w:ascii="Times New Roman" w:eastAsiaTheme="majorEastAsia" w:hAnsi="Times New Roman"/>
          <w:bCs/>
          <w:noProof/>
          <w:sz w:val="24"/>
          <w:szCs w:val="20"/>
        </w:rPr>
        <w:t>[8]</w:t>
      </w:r>
      <w:r w:rsidRPr="00241E14">
        <w:rPr>
          <w:rFonts w:ascii="Times New Roman" w:eastAsiaTheme="majorEastAsia" w:hAnsi="Times New Roman"/>
          <w:bCs/>
          <w:sz w:val="24"/>
          <w:szCs w:val="20"/>
        </w:rPr>
        <w:t xml:space="preserve"> and in our strategies I and III. In our illustrative scenario we calculated that 0.98% of all births are eligible to receive palivizumab in the US </w:t>
      </w:r>
      <w:r w:rsidRPr="00241E14">
        <w:rPr>
          <w:rFonts w:ascii="Times New Roman" w:eastAsiaTheme="majorEastAsia" w:hAnsi="Times New Roman"/>
          <w:bCs/>
          <w:noProof/>
          <w:sz w:val="24"/>
          <w:szCs w:val="20"/>
        </w:rPr>
        <w:t>[23]</w:t>
      </w:r>
      <w:r w:rsidRPr="00241E14">
        <w:rPr>
          <w:rFonts w:ascii="Times New Roman" w:eastAsiaTheme="majorEastAsia" w:hAnsi="Times New Roman"/>
          <w:bCs/>
          <w:sz w:val="24"/>
          <w:szCs w:val="20"/>
        </w:rPr>
        <w:t xml:space="preserve">. 0.98% is the sum of the percent of all births with the following three conditions associated with elevated </w:t>
      </w:r>
      <w:proofErr w:type="spellStart"/>
      <w:r w:rsidRPr="00241E14">
        <w:rPr>
          <w:rFonts w:ascii="Times New Roman" w:eastAsiaTheme="majorEastAsia" w:hAnsi="Times New Roman"/>
          <w:bCs/>
          <w:sz w:val="24"/>
          <w:szCs w:val="20"/>
        </w:rPr>
        <w:t>RSVi</w:t>
      </w:r>
      <w:proofErr w:type="spellEnd"/>
      <w:r w:rsidRPr="00241E14">
        <w:rPr>
          <w:rFonts w:ascii="Times New Roman" w:eastAsiaTheme="majorEastAsia" w:hAnsi="Times New Roman"/>
          <w:bCs/>
          <w:sz w:val="24"/>
          <w:szCs w:val="20"/>
        </w:rPr>
        <w:t xml:space="preserve"> risk: 1) hemodynamically significant congenital heart disease (CHD), 2) chronic lung disease of prematurity (CLD), and 3) prematurity (defined as &lt;29 weeks gestation) without CHD or CLD (Table S2). We then obtained the h</w:t>
      </w:r>
      <w:r w:rsidRPr="00241E14">
        <w:rPr>
          <w:rStyle w:val="Emphasis"/>
          <w:rFonts w:ascii="Times New Roman" w:hAnsi="Times New Roman"/>
          <w:b w:val="0"/>
          <w:szCs w:val="20"/>
        </w:rPr>
        <w:t xml:space="preserve">ospitalization rates for each high-risk condition from hospitalization rates found amongst those who did not receive palivizumab in the original clinical trials </w:t>
      </w:r>
      <w:r w:rsidRPr="00241E14">
        <w:rPr>
          <w:rStyle w:val="Emphasis"/>
          <w:rFonts w:ascii="Times New Roman" w:hAnsi="Times New Roman"/>
          <w:b w:val="0"/>
          <w:noProof/>
          <w:szCs w:val="20"/>
        </w:rPr>
        <w:t>[31, 32]</w:t>
      </w:r>
      <w:r w:rsidRPr="00241E14">
        <w:rPr>
          <w:rStyle w:val="Emphasis"/>
          <w:rFonts w:ascii="Times New Roman" w:hAnsi="Times New Roman"/>
          <w:b w:val="0"/>
          <w:szCs w:val="20"/>
        </w:rPr>
        <w:t xml:space="preserve">. </w:t>
      </w:r>
      <w:r w:rsidRPr="00241E14">
        <w:rPr>
          <w:rFonts w:ascii="Times New Roman" w:eastAsiaTheme="majorEastAsia" w:hAnsi="Times New Roman"/>
          <w:bCs/>
          <w:sz w:val="24"/>
          <w:szCs w:val="20"/>
        </w:rPr>
        <w:t>N</w:t>
      </w:r>
      <w:r w:rsidRPr="00241E14">
        <w:rPr>
          <w:rStyle w:val="Emphasis"/>
          <w:rFonts w:ascii="Times New Roman" w:hAnsi="Times New Roman"/>
          <w:b w:val="0"/>
          <w:szCs w:val="20"/>
        </w:rPr>
        <w:t>ext, we multiplied the percent of infants with each condition who are hospitalized with RSV by the proportion of all US births with the condition to determine the % of all live births for each high-risk condition that are hospitalized (Table S2). The sum of this product across all three conditions was 0.0913% and represents the percentage of live births with a high-risk condition that are hospitalized due to RSV. RSV I</w:t>
      </w:r>
      <w:r w:rsidRPr="00241E14">
        <w:rPr>
          <w:rStyle w:val="Emphasis"/>
          <w:rFonts w:ascii="Times New Roman" w:hAnsi="Times New Roman"/>
          <w:b w:val="0"/>
          <w:szCs w:val="20"/>
          <w:vertAlign w:val="superscript"/>
        </w:rPr>
        <w:t>2</w:t>
      </w:r>
      <w:r w:rsidRPr="00241E14">
        <w:rPr>
          <w:rStyle w:val="Emphasis"/>
          <w:rFonts w:ascii="Times New Roman" w:hAnsi="Times New Roman"/>
          <w:b w:val="0"/>
          <w:szCs w:val="20"/>
        </w:rPr>
        <w:t>M permits users to redefine high-risk conditions as they wish, accounting for up to four such conditions.</w:t>
      </w:r>
    </w:p>
    <w:p w:rsidR="008B516F" w:rsidRPr="000A4102" w:rsidRDefault="008B516F" w:rsidP="000A4102">
      <w:pPr>
        <w:spacing w:after="0" w:line="240" w:lineRule="auto"/>
        <w:ind w:firstLine="720"/>
        <w:rPr>
          <w:rStyle w:val="Emphasis"/>
          <w:rFonts w:ascii="Times New Roman" w:hAnsi="Times New Roman"/>
          <w:b w:val="0"/>
          <w:sz w:val="20"/>
          <w:szCs w:val="20"/>
        </w:rPr>
      </w:pPr>
    </w:p>
    <w:p w:rsidR="008B516F" w:rsidRDefault="008B516F" w:rsidP="00B016D2">
      <w:pPr>
        <w:spacing w:after="0" w:line="240" w:lineRule="auto"/>
        <w:rPr>
          <w:rFonts w:ascii="Times New Roman" w:hAnsi="Times New Roman"/>
          <w:b/>
          <w:sz w:val="24"/>
          <w:szCs w:val="20"/>
        </w:rPr>
      </w:pPr>
      <w:r w:rsidRPr="00241E14">
        <w:rPr>
          <w:rFonts w:ascii="Times New Roman" w:hAnsi="Times New Roman"/>
          <w:b/>
          <w:sz w:val="24"/>
          <w:szCs w:val="20"/>
        </w:rPr>
        <w:t xml:space="preserve">Table S2 </w:t>
      </w:r>
    </w:p>
    <w:p w:rsidR="008B516F" w:rsidRPr="00241E14" w:rsidRDefault="008B516F" w:rsidP="00B016D2">
      <w:pPr>
        <w:spacing w:after="0" w:line="240" w:lineRule="auto"/>
        <w:rPr>
          <w:rStyle w:val="Emphasis"/>
          <w:rFonts w:ascii="Times New Roman" w:hAnsi="Times New Roman"/>
          <w:b w:val="0"/>
          <w:szCs w:val="20"/>
        </w:rPr>
      </w:pPr>
      <w:r w:rsidRPr="00241E14">
        <w:rPr>
          <w:rFonts w:ascii="Times New Roman" w:hAnsi="Times New Roman"/>
          <w:sz w:val="24"/>
          <w:szCs w:val="20"/>
        </w:rPr>
        <w:t>Conditions Associated with Elevated Risk for RSV Infection and Percent Hospitalized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170"/>
        <w:gridCol w:w="2070"/>
        <w:gridCol w:w="2510"/>
      </w:tblGrid>
      <w:tr w:rsidR="008B516F" w:rsidRPr="000A4102" w:rsidTr="008E1BD0">
        <w:trPr>
          <w:jc w:val="center"/>
        </w:trPr>
        <w:tc>
          <w:tcPr>
            <w:tcW w:w="3600" w:type="dxa"/>
            <w:tcBorders>
              <w:top w:val="single" w:sz="4" w:space="0" w:color="auto"/>
              <w:bottom w:val="single" w:sz="18" w:space="0" w:color="auto"/>
            </w:tcBorders>
            <w:shd w:val="clear" w:color="auto" w:fill="auto"/>
            <w:vAlign w:val="bottom"/>
          </w:tcPr>
          <w:p w:rsidR="008B516F" w:rsidRPr="00241E14" w:rsidRDefault="008B516F" w:rsidP="00B25B9E">
            <w:pPr>
              <w:spacing w:after="0" w:line="240" w:lineRule="auto"/>
              <w:rPr>
                <w:rFonts w:ascii="Times New Roman" w:eastAsiaTheme="majorEastAsia" w:hAnsi="Times New Roman"/>
                <w:b/>
                <w:bCs/>
                <w:szCs w:val="20"/>
              </w:rPr>
            </w:pPr>
            <w:r w:rsidRPr="00241E14">
              <w:rPr>
                <w:rFonts w:ascii="Times New Roman" w:eastAsiaTheme="majorEastAsia" w:hAnsi="Times New Roman"/>
                <w:b/>
                <w:bCs/>
                <w:szCs w:val="20"/>
              </w:rPr>
              <w:t>High-Risk condition</w:t>
            </w:r>
          </w:p>
        </w:tc>
        <w:tc>
          <w:tcPr>
            <w:tcW w:w="1170" w:type="dxa"/>
            <w:tcBorders>
              <w:top w:val="single" w:sz="4" w:space="0" w:color="auto"/>
              <w:bottom w:val="single" w:sz="18" w:space="0" w:color="auto"/>
            </w:tcBorders>
            <w:shd w:val="clear" w:color="auto" w:fill="auto"/>
            <w:vAlign w:val="bottom"/>
          </w:tcPr>
          <w:p w:rsidR="008B516F" w:rsidRPr="00241E14" w:rsidRDefault="008B516F" w:rsidP="007B232F">
            <w:pPr>
              <w:spacing w:after="0" w:line="240" w:lineRule="auto"/>
              <w:jc w:val="center"/>
              <w:rPr>
                <w:rFonts w:ascii="Times New Roman" w:eastAsiaTheme="majorEastAsia" w:hAnsi="Times New Roman"/>
                <w:b/>
                <w:bCs/>
                <w:szCs w:val="20"/>
              </w:rPr>
            </w:pPr>
            <w:r w:rsidRPr="00241E14">
              <w:rPr>
                <w:rFonts w:ascii="Times New Roman" w:hAnsi="Times New Roman"/>
                <w:b/>
                <w:bCs/>
                <w:color w:val="000000"/>
                <w:szCs w:val="20"/>
              </w:rPr>
              <w:t xml:space="preserve">%, live births </w:t>
            </w:r>
            <w:r w:rsidRPr="00241E14">
              <w:rPr>
                <w:rFonts w:ascii="Times New Roman" w:hAnsi="Times New Roman"/>
                <w:b/>
                <w:bCs/>
                <w:noProof/>
                <w:color w:val="000000"/>
                <w:szCs w:val="20"/>
              </w:rPr>
              <w:t>[23]</w:t>
            </w:r>
          </w:p>
        </w:tc>
        <w:tc>
          <w:tcPr>
            <w:tcW w:w="2070" w:type="dxa"/>
            <w:tcBorders>
              <w:top w:val="single" w:sz="4" w:space="0" w:color="auto"/>
              <w:bottom w:val="single" w:sz="18" w:space="0" w:color="auto"/>
            </w:tcBorders>
            <w:shd w:val="clear" w:color="auto" w:fill="auto"/>
            <w:vAlign w:val="bottom"/>
          </w:tcPr>
          <w:p w:rsidR="008B516F" w:rsidRPr="00241E14" w:rsidRDefault="008B516F" w:rsidP="007B232F">
            <w:pPr>
              <w:spacing w:after="0" w:line="240" w:lineRule="auto"/>
              <w:jc w:val="center"/>
              <w:rPr>
                <w:rFonts w:ascii="Times New Roman" w:eastAsiaTheme="majorEastAsia" w:hAnsi="Times New Roman"/>
                <w:b/>
                <w:bCs/>
                <w:szCs w:val="20"/>
              </w:rPr>
            </w:pPr>
            <w:r w:rsidRPr="00241E14">
              <w:rPr>
                <w:rFonts w:ascii="Times New Roman" w:hAnsi="Times New Roman"/>
                <w:b/>
                <w:bCs/>
                <w:color w:val="000000"/>
                <w:szCs w:val="20"/>
              </w:rPr>
              <w:t xml:space="preserve">%, with condition hospitalized for RSV </w:t>
            </w:r>
            <w:r w:rsidRPr="00241E14">
              <w:rPr>
                <w:rFonts w:ascii="Times New Roman" w:hAnsi="Times New Roman"/>
                <w:b/>
                <w:bCs/>
                <w:noProof/>
                <w:color w:val="000000"/>
                <w:szCs w:val="20"/>
              </w:rPr>
              <w:t>[31, 32]</w:t>
            </w:r>
          </w:p>
        </w:tc>
        <w:tc>
          <w:tcPr>
            <w:tcW w:w="2510" w:type="dxa"/>
            <w:tcBorders>
              <w:top w:val="single" w:sz="4" w:space="0" w:color="auto"/>
              <w:bottom w:val="single" w:sz="18" w:space="0" w:color="auto"/>
            </w:tcBorders>
            <w:shd w:val="clear" w:color="auto" w:fill="auto"/>
            <w:vAlign w:val="bottom"/>
          </w:tcPr>
          <w:p w:rsidR="008B516F" w:rsidRPr="00241E14" w:rsidRDefault="008B516F" w:rsidP="00B016D2">
            <w:pPr>
              <w:spacing w:after="0" w:line="240" w:lineRule="auto"/>
              <w:jc w:val="center"/>
              <w:rPr>
                <w:rFonts w:ascii="Times New Roman" w:eastAsiaTheme="majorEastAsia" w:hAnsi="Times New Roman"/>
                <w:b/>
                <w:bCs/>
                <w:szCs w:val="20"/>
              </w:rPr>
            </w:pPr>
            <w:r w:rsidRPr="00241E14">
              <w:rPr>
                <w:rFonts w:ascii="Times New Roman" w:eastAsiaTheme="majorEastAsia" w:hAnsi="Times New Roman"/>
                <w:b/>
                <w:bCs/>
                <w:szCs w:val="20"/>
              </w:rPr>
              <w:t>%, live births with condition hospitalized for RSV</w:t>
            </w:r>
            <w:r w:rsidRPr="00241E14">
              <w:rPr>
                <w:rFonts w:ascii="Georgia" w:hAnsi="Georgia"/>
                <w:b/>
                <w:color w:val="333333"/>
                <w:szCs w:val="20"/>
              </w:rPr>
              <w:t>*</w:t>
            </w:r>
          </w:p>
        </w:tc>
      </w:tr>
      <w:tr w:rsidR="008B516F" w:rsidRPr="000A4102" w:rsidTr="008E1BD0">
        <w:trPr>
          <w:jc w:val="center"/>
        </w:trPr>
        <w:tc>
          <w:tcPr>
            <w:tcW w:w="3600" w:type="dxa"/>
            <w:tcBorders>
              <w:top w:val="single" w:sz="18" w:space="0" w:color="auto"/>
            </w:tcBorders>
            <w:shd w:val="clear" w:color="auto" w:fill="auto"/>
          </w:tcPr>
          <w:p w:rsidR="008B516F" w:rsidRPr="00241E14" w:rsidRDefault="008B516F" w:rsidP="00356B98">
            <w:pPr>
              <w:spacing w:after="0" w:line="240" w:lineRule="auto"/>
              <w:rPr>
                <w:rFonts w:ascii="Times New Roman" w:eastAsiaTheme="majorEastAsia" w:hAnsi="Times New Roman"/>
                <w:bCs/>
                <w:szCs w:val="20"/>
              </w:rPr>
            </w:pPr>
            <w:r w:rsidRPr="00241E14">
              <w:rPr>
                <w:rFonts w:ascii="Times New Roman" w:hAnsi="Times New Roman"/>
                <w:color w:val="000000"/>
                <w:szCs w:val="20"/>
                <w:lang w:bidi="ar-SA"/>
              </w:rPr>
              <w:t>Hemodynamically significant congenital heart disease (CHD)</w:t>
            </w:r>
          </w:p>
        </w:tc>
        <w:tc>
          <w:tcPr>
            <w:tcW w:w="1170" w:type="dxa"/>
            <w:tcBorders>
              <w:top w:val="single" w:sz="18" w:space="0" w:color="auto"/>
            </w:tcBorders>
            <w:shd w:val="clear" w:color="auto" w:fill="auto"/>
          </w:tcPr>
          <w:p w:rsidR="008B516F" w:rsidRPr="00241E14" w:rsidRDefault="008B516F" w:rsidP="00B25B9E">
            <w:pPr>
              <w:spacing w:after="0" w:line="240" w:lineRule="auto"/>
              <w:rPr>
                <w:rFonts w:ascii="Times New Roman" w:eastAsiaTheme="majorEastAsia" w:hAnsi="Times New Roman"/>
                <w:bCs/>
                <w:szCs w:val="20"/>
              </w:rPr>
            </w:pPr>
            <w:r w:rsidRPr="00241E14">
              <w:rPr>
                <w:rFonts w:ascii="Times New Roman" w:hAnsi="Times New Roman"/>
                <w:szCs w:val="20"/>
              </w:rPr>
              <w:t>0.39%</w:t>
            </w:r>
          </w:p>
        </w:tc>
        <w:tc>
          <w:tcPr>
            <w:tcW w:w="2070" w:type="dxa"/>
            <w:tcBorders>
              <w:top w:val="single" w:sz="18" w:space="0" w:color="auto"/>
            </w:tcBorders>
            <w:shd w:val="clear" w:color="auto" w:fill="auto"/>
          </w:tcPr>
          <w:p w:rsidR="008B516F" w:rsidRPr="00241E14" w:rsidRDefault="008B516F" w:rsidP="00B25B9E">
            <w:pPr>
              <w:spacing w:after="0" w:line="240" w:lineRule="auto"/>
              <w:rPr>
                <w:rFonts w:ascii="Times New Roman" w:eastAsiaTheme="majorEastAsia" w:hAnsi="Times New Roman"/>
                <w:bCs/>
                <w:szCs w:val="20"/>
              </w:rPr>
            </w:pPr>
            <w:r w:rsidRPr="00241E14">
              <w:rPr>
                <w:rFonts w:ascii="Times New Roman" w:hAnsi="Times New Roman"/>
                <w:szCs w:val="20"/>
              </w:rPr>
              <w:t>9.7%</w:t>
            </w:r>
          </w:p>
        </w:tc>
        <w:tc>
          <w:tcPr>
            <w:tcW w:w="2510" w:type="dxa"/>
            <w:tcBorders>
              <w:top w:val="single" w:sz="18" w:space="0" w:color="auto"/>
            </w:tcBorders>
            <w:shd w:val="clear" w:color="auto" w:fill="auto"/>
          </w:tcPr>
          <w:p w:rsidR="008B516F" w:rsidRPr="00241E14" w:rsidRDefault="008B516F" w:rsidP="00B25B9E">
            <w:pPr>
              <w:spacing w:after="0" w:line="240" w:lineRule="auto"/>
              <w:rPr>
                <w:rFonts w:ascii="Times New Roman" w:eastAsiaTheme="majorEastAsia" w:hAnsi="Times New Roman"/>
                <w:bCs/>
                <w:szCs w:val="20"/>
              </w:rPr>
            </w:pPr>
            <w:r w:rsidRPr="00241E14">
              <w:rPr>
                <w:rFonts w:ascii="Times New Roman" w:eastAsiaTheme="majorEastAsia" w:hAnsi="Times New Roman"/>
                <w:bCs/>
                <w:szCs w:val="20"/>
              </w:rPr>
              <w:t>0.0378%</w:t>
            </w:r>
          </w:p>
        </w:tc>
      </w:tr>
      <w:tr w:rsidR="008B516F" w:rsidRPr="000A4102" w:rsidTr="008E1BD0">
        <w:trPr>
          <w:jc w:val="center"/>
        </w:trPr>
        <w:tc>
          <w:tcPr>
            <w:tcW w:w="3600" w:type="dxa"/>
            <w:shd w:val="clear" w:color="auto" w:fill="auto"/>
          </w:tcPr>
          <w:p w:rsidR="008B516F" w:rsidRPr="00241E14" w:rsidRDefault="008B516F" w:rsidP="00356B98">
            <w:pPr>
              <w:spacing w:after="0" w:line="240" w:lineRule="auto"/>
              <w:rPr>
                <w:rFonts w:ascii="Times New Roman" w:eastAsiaTheme="majorEastAsia" w:hAnsi="Times New Roman"/>
                <w:bCs/>
                <w:szCs w:val="20"/>
              </w:rPr>
            </w:pPr>
            <w:r w:rsidRPr="00241E14">
              <w:rPr>
                <w:rFonts w:ascii="Times New Roman" w:hAnsi="Times New Roman"/>
                <w:color w:val="000000"/>
                <w:szCs w:val="20"/>
                <w:lang w:bidi="ar-SA"/>
              </w:rPr>
              <w:t>Chronic lung disease of prematurity (CLD)</w:t>
            </w:r>
          </w:p>
        </w:tc>
        <w:tc>
          <w:tcPr>
            <w:tcW w:w="1170" w:type="dxa"/>
            <w:shd w:val="clear" w:color="auto" w:fill="auto"/>
          </w:tcPr>
          <w:p w:rsidR="008B516F" w:rsidRPr="00241E14" w:rsidRDefault="008B516F" w:rsidP="00B25B9E">
            <w:pPr>
              <w:spacing w:after="0" w:line="240" w:lineRule="auto"/>
              <w:rPr>
                <w:rFonts w:ascii="Times New Roman" w:eastAsiaTheme="majorEastAsia" w:hAnsi="Times New Roman"/>
                <w:bCs/>
                <w:szCs w:val="20"/>
              </w:rPr>
            </w:pPr>
            <w:r w:rsidRPr="00241E14">
              <w:rPr>
                <w:rFonts w:ascii="Times New Roman" w:hAnsi="Times New Roman"/>
                <w:szCs w:val="20"/>
              </w:rPr>
              <w:t>0.12%</w:t>
            </w:r>
          </w:p>
        </w:tc>
        <w:tc>
          <w:tcPr>
            <w:tcW w:w="2070" w:type="dxa"/>
            <w:shd w:val="clear" w:color="auto" w:fill="auto"/>
          </w:tcPr>
          <w:p w:rsidR="008B516F" w:rsidRPr="00241E14" w:rsidRDefault="008B516F" w:rsidP="00B25B9E">
            <w:pPr>
              <w:spacing w:after="0" w:line="240" w:lineRule="auto"/>
              <w:rPr>
                <w:rFonts w:ascii="Times New Roman" w:eastAsiaTheme="majorEastAsia" w:hAnsi="Times New Roman"/>
                <w:bCs/>
                <w:szCs w:val="20"/>
              </w:rPr>
            </w:pPr>
            <w:r w:rsidRPr="00241E14">
              <w:rPr>
                <w:rFonts w:ascii="Times New Roman" w:hAnsi="Times New Roman"/>
                <w:szCs w:val="20"/>
              </w:rPr>
              <w:t>12.8%</w:t>
            </w:r>
          </w:p>
        </w:tc>
        <w:tc>
          <w:tcPr>
            <w:tcW w:w="2510" w:type="dxa"/>
            <w:shd w:val="clear" w:color="auto" w:fill="auto"/>
          </w:tcPr>
          <w:p w:rsidR="008B516F" w:rsidRPr="00241E14" w:rsidRDefault="008B516F" w:rsidP="00B25B9E">
            <w:pPr>
              <w:spacing w:after="0" w:line="240" w:lineRule="auto"/>
              <w:rPr>
                <w:rFonts w:ascii="Times New Roman" w:eastAsiaTheme="majorEastAsia" w:hAnsi="Times New Roman"/>
                <w:bCs/>
                <w:szCs w:val="20"/>
              </w:rPr>
            </w:pPr>
            <w:r w:rsidRPr="00241E14">
              <w:rPr>
                <w:rFonts w:ascii="Times New Roman" w:eastAsiaTheme="majorEastAsia" w:hAnsi="Times New Roman"/>
                <w:bCs/>
                <w:szCs w:val="20"/>
              </w:rPr>
              <w:t>0.0154%</w:t>
            </w:r>
          </w:p>
        </w:tc>
      </w:tr>
      <w:tr w:rsidR="008B516F" w:rsidRPr="000A4102" w:rsidTr="008E1BD0">
        <w:trPr>
          <w:jc w:val="center"/>
        </w:trPr>
        <w:tc>
          <w:tcPr>
            <w:tcW w:w="3600" w:type="dxa"/>
            <w:tcBorders>
              <w:bottom w:val="single" w:sz="2" w:space="0" w:color="auto"/>
            </w:tcBorders>
            <w:shd w:val="clear" w:color="auto" w:fill="auto"/>
          </w:tcPr>
          <w:p w:rsidR="008B516F" w:rsidRPr="00241E14" w:rsidRDefault="008B516F" w:rsidP="00B25B9E">
            <w:pPr>
              <w:spacing w:after="0" w:line="240" w:lineRule="auto"/>
              <w:rPr>
                <w:rFonts w:ascii="Times New Roman" w:hAnsi="Times New Roman"/>
                <w:color w:val="000000"/>
                <w:szCs w:val="20"/>
                <w:lang w:bidi="ar-SA"/>
              </w:rPr>
            </w:pPr>
            <w:r w:rsidRPr="00241E14">
              <w:rPr>
                <w:rFonts w:ascii="Times New Roman" w:hAnsi="Times New Roman"/>
                <w:color w:val="000000"/>
                <w:szCs w:val="20"/>
                <w:lang w:bidi="ar-SA"/>
              </w:rPr>
              <w:t xml:space="preserve">Prematurity (&lt;29 weeks gestation), </w:t>
            </w:r>
          </w:p>
          <w:p w:rsidR="008B516F" w:rsidRPr="00241E14" w:rsidRDefault="008B516F" w:rsidP="00B25B9E">
            <w:pPr>
              <w:spacing w:after="0" w:line="240" w:lineRule="auto"/>
              <w:rPr>
                <w:rFonts w:ascii="Times New Roman" w:hAnsi="Times New Roman"/>
                <w:color w:val="000000"/>
                <w:szCs w:val="20"/>
                <w:lang w:bidi="ar-SA"/>
              </w:rPr>
            </w:pPr>
            <w:r w:rsidRPr="00241E14">
              <w:rPr>
                <w:rFonts w:ascii="Times New Roman" w:hAnsi="Times New Roman"/>
                <w:color w:val="000000"/>
                <w:szCs w:val="20"/>
                <w:lang w:bidi="ar-SA"/>
              </w:rPr>
              <w:t>without CHD or CLD</w:t>
            </w:r>
          </w:p>
        </w:tc>
        <w:tc>
          <w:tcPr>
            <w:tcW w:w="1170" w:type="dxa"/>
            <w:tcBorders>
              <w:bottom w:val="single" w:sz="2" w:space="0" w:color="auto"/>
            </w:tcBorders>
            <w:shd w:val="clear" w:color="auto" w:fill="auto"/>
          </w:tcPr>
          <w:p w:rsidR="008B516F" w:rsidRPr="00241E14" w:rsidRDefault="008B516F" w:rsidP="00B25B9E">
            <w:pPr>
              <w:spacing w:after="0" w:line="240" w:lineRule="auto"/>
              <w:rPr>
                <w:rFonts w:ascii="Times New Roman" w:eastAsiaTheme="majorEastAsia" w:hAnsi="Times New Roman"/>
                <w:bCs/>
                <w:szCs w:val="20"/>
              </w:rPr>
            </w:pPr>
            <w:r w:rsidRPr="00241E14">
              <w:rPr>
                <w:rFonts w:ascii="Times New Roman" w:hAnsi="Times New Roman"/>
                <w:szCs w:val="20"/>
              </w:rPr>
              <w:t>0.47%</w:t>
            </w:r>
          </w:p>
        </w:tc>
        <w:tc>
          <w:tcPr>
            <w:tcW w:w="2070" w:type="dxa"/>
            <w:tcBorders>
              <w:bottom w:val="single" w:sz="2" w:space="0" w:color="auto"/>
            </w:tcBorders>
            <w:shd w:val="clear" w:color="auto" w:fill="auto"/>
          </w:tcPr>
          <w:p w:rsidR="008B516F" w:rsidRPr="00241E14" w:rsidRDefault="008B516F" w:rsidP="00B25B9E">
            <w:pPr>
              <w:spacing w:after="0" w:line="240" w:lineRule="auto"/>
              <w:rPr>
                <w:rFonts w:ascii="Times New Roman" w:eastAsiaTheme="majorEastAsia" w:hAnsi="Times New Roman"/>
                <w:bCs/>
                <w:szCs w:val="20"/>
              </w:rPr>
            </w:pPr>
            <w:r w:rsidRPr="00241E14">
              <w:rPr>
                <w:rFonts w:ascii="Times New Roman" w:hAnsi="Times New Roman"/>
                <w:szCs w:val="20"/>
              </w:rPr>
              <w:t>8.1%</w:t>
            </w:r>
          </w:p>
        </w:tc>
        <w:tc>
          <w:tcPr>
            <w:tcW w:w="2510" w:type="dxa"/>
            <w:tcBorders>
              <w:bottom w:val="single" w:sz="2" w:space="0" w:color="auto"/>
            </w:tcBorders>
            <w:shd w:val="clear" w:color="auto" w:fill="auto"/>
          </w:tcPr>
          <w:p w:rsidR="008B516F" w:rsidRPr="00241E14" w:rsidRDefault="008B516F" w:rsidP="00B25B9E">
            <w:pPr>
              <w:spacing w:after="0" w:line="240" w:lineRule="auto"/>
              <w:rPr>
                <w:rFonts w:ascii="Times New Roman" w:eastAsiaTheme="majorEastAsia" w:hAnsi="Times New Roman"/>
                <w:bCs/>
                <w:szCs w:val="20"/>
              </w:rPr>
            </w:pPr>
            <w:r w:rsidRPr="00241E14">
              <w:rPr>
                <w:rFonts w:ascii="Times New Roman" w:eastAsiaTheme="majorEastAsia" w:hAnsi="Times New Roman"/>
                <w:bCs/>
                <w:szCs w:val="20"/>
              </w:rPr>
              <w:t>0.0381%</w:t>
            </w:r>
          </w:p>
        </w:tc>
      </w:tr>
      <w:tr w:rsidR="008B516F" w:rsidRPr="000A4102" w:rsidTr="008E1BD0">
        <w:trPr>
          <w:jc w:val="center"/>
        </w:trPr>
        <w:tc>
          <w:tcPr>
            <w:tcW w:w="6840" w:type="dxa"/>
            <w:gridSpan w:val="3"/>
            <w:tcBorders>
              <w:top w:val="single" w:sz="2" w:space="0" w:color="auto"/>
              <w:bottom w:val="single" w:sz="18" w:space="0" w:color="auto"/>
            </w:tcBorders>
            <w:shd w:val="clear" w:color="auto" w:fill="auto"/>
          </w:tcPr>
          <w:p w:rsidR="008B516F" w:rsidRPr="00241E14" w:rsidRDefault="008B516F" w:rsidP="00E26AA5">
            <w:pPr>
              <w:spacing w:after="0" w:line="240" w:lineRule="auto"/>
              <w:jc w:val="right"/>
              <w:rPr>
                <w:rFonts w:ascii="Times New Roman" w:eastAsiaTheme="majorEastAsia" w:hAnsi="Times New Roman"/>
                <w:bCs/>
                <w:szCs w:val="20"/>
              </w:rPr>
            </w:pPr>
            <w:r w:rsidRPr="00241E14">
              <w:rPr>
                <w:rFonts w:ascii="Times New Roman" w:eastAsiaTheme="majorEastAsia" w:hAnsi="Times New Roman"/>
                <w:bCs/>
                <w:szCs w:val="20"/>
              </w:rPr>
              <w:t>% of live births with a high-risk condition hospitalized due to RSV (column sum)</w:t>
            </w:r>
            <w:r w:rsidRPr="00241E14">
              <w:rPr>
                <w:rFonts w:ascii="Times New Roman" w:eastAsiaTheme="majorEastAsia" w:hAnsi="Times New Roman"/>
                <w:bCs/>
                <w:szCs w:val="20"/>
              </w:rPr>
              <w:sym w:font="Wingdings" w:char="F0E0"/>
            </w:r>
          </w:p>
        </w:tc>
        <w:tc>
          <w:tcPr>
            <w:tcW w:w="2510" w:type="dxa"/>
            <w:tcBorders>
              <w:top w:val="single" w:sz="2" w:space="0" w:color="auto"/>
              <w:bottom w:val="single" w:sz="18" w:space="0" w:color="auto"/>
            </w:tcBorders>
            <w:shd w:val="clear" w:color="auto" w:fill="auto"/>
          </w:tcPr>
          <w:p w:rsidR="008B516F" w:rsidRPr="00241E14" w:rsidRDefault="008B516F" w:rsidP="00B25B9E">
            <w:pPr>
              <w:spacing w:after="0" w:line="240" w:lineRule="auto"/>
              <w:rPr>
                <w:rFonts w:ascii="Times New Roman" w:eastAsiaTheme="majorEastAsia" w:hAnsi="Times New Roman"/>
                <w:bCs/>
                <w:szCs w:val="20"/>
              </w:rPr>
            </w:pPr>
          </w:p>
          <w:p w:rsidR="008B516F" w:rsidRPr="00241E14" w:rsidRDefault="008B516F" w:rsidP="00B25B9E">
            <w:pPr>
              <w:spacing w:after="0" w:line="240" w:lineRule="auto"/>
              <w:rPr>
                <w:rFonts w:ascii="Times New Roman" w:eastAsiaTheme="majorEastAsia" w:hAnsi="Times New Roman"/>
                <w:bCs/>
                <w:szCs w:val="20"/>
              </w:rPr>
            </w:pPr>
            <w:r w:rsidRPr="00241E14">
              <w:rPr>
                <w:rFonts w:ascii="Times New Roman" w:eastAsiaTheme="majorEastAsia" w:hAnsi="Times New Roman"/>
                <w:bCs/>
                <w:szCs w:val="20"/>
              </w:rPr>
              <w:t>0.0913%</w:t>
            </w:r>
          </w:p>
        </w:tc>
      </w:tr>
    </w:tbl>
    <w:p w:rsidR="008B516F" w:rsidRPr="00241E14" w:rsidRDefault="008B516F" w:rsidP="00B016D2">
      <w:pPr>
        <w:spacing w:after="0" w:line="240" w:lineRule="auto"/>
        <w:rPr>
          <w:rFonts w:ascii="Times New Roman" w:hAnsi="Times New Roman"/>
          <w:bCs/>
          <w:color w:val="000000"/>
          <w:szCs w:val="24"/>
          <w:highlight w:val="yellow"/>
        </w:rPr>
      </w:pPr>
      <w:r w:rsidRPr="00241E14">
        <w:rPr>
          <w:rFonts w:ascii="Times New Roman" w:hAnsi="Times New Roman"/>
          <w:bCs/>
          <w:color w:val="000000"/>
          <w:szCs w:val="24"/>
        </w:rPr>
        <w:t>*</w:t>
      </w:r>
      <w:r w:rsidRPr="00241E14">
        <w:rPr>
          <w:rFonts w:ascii="Times New Roman" w:hAnsi="Times New Roman"/>
          <w:bCs/>
          <w:color w:val="000000"/>
          <w:sz w:val="28"/>
          <w:szCs w:val="24"/>
        </w:rPr>
        <w:t xml:space="preserve"> </w:t>
      </w:r>
      <w:r w:rsidRPr="00241E14">
        <w:rPr>
          <w:rFonts w:ascii="Times New Roman" w:hAnsi="Times New Roman"/>
          <w:color w:val="333333"/>
          <w:szCs w:val="20"/>
        </w:rPr>
        <w:t>Product of row data in prior two columns</w:t>
      </w:r>
    </w:p>
    <w:p w:rsidR="008B516F" w:rsidRDefault="008B516F" w:rsidP="00CD5B94">
      <w:pPr>
        <w:spacing w:after="0" w:line="480" w:lineRule="auto"/>
        <w:rPr>
          <w:rFonts w:ascii="Times New Roman" w:eastAsiaTheme="majorEastAsia" w:hAnsi="Times New Roman"/>
          <w:bCs/>
          <w:sz w:val="24"/>
          <w:szCs w:val="24"/>
        </w:rPr>
      </w:pPr>
    </w:p>
    <w:p w:rsidR="008B516F" w:rsidRPr="00241E14" w:rsidRDefault="008B516F" w:rsidP="00241E14">
      <w:pPr>
        <w:spacing w:after="0" w:line="360" w:lineRule="auto"/>
        <w:rPr>
          <w:rFonts w:ascii="Times New Roman" w:eastAsiaTheme="majorEastAsia" w:hAnsi="Times New Roman"/>
          <w:b/>
          <w:bCs/>
          <w:sz w:val="24"/>
          <w:szCs w:val="20"/>
        </w:rPr>
      </w:pPr>
      <w:r w:rsidRPr="00241E14">
        <w:rPr>
          <w:rFonts w:ascii="Times New Roman" w:eastAsiaTheme="majorEastAsia" w:hAnsi="Times New Roman"/>
          <w:b/>
          <w:bCs/>
          <w:sz w:val="24"/>
          <w:szCs w:val="20"/>
        </w:rPr>
        <w:t>Proportion of high and low risk infants</w:t>
      </w:r>
    </w:p>
    <w:p w:rsidR="008B516F" w:rsidRPr="00241E14" w:rsidRDefault="008B516F" w:rsidP="00241E14">
      <w:pPr>
        <w:spacing w:after="0" w:line="360" w:lineRule="auto"/>
        <w:ind w:firstLine="720"/>
        <w:rPr>
          <w:rFonts w:ascii="Times New Roman" w:eastAsiaTheme="majorEastAsia" w:hAnsi="Times New Roman"/>
          <w:bCs/>
          <w:sz w:val="24"/>
          <w:szCs w:val="20"/>
        </w:rPr>
      </w:pPr>
      <w:r w:rsidRPr="00241E14">
        <w:rPr>
          <w:rStyle w:val="Emphasis"/>
          <w:rFonts w:ascii="Times New Roman" w:hAnsi="Times New Roman"/>
          <w:b w:val="0"/>
          <w:szCs w:val="20"/>
        </w:rPr>
        <w:t>Although there was a placebo-controlled trial that showed palivizumab reduces MA-</w:t>
      </w:r>
      <w:proofErr w:type="spellStart"/>
      <w:r w:rsidRPr="00241E14">
        <w:rPr>
          <w:rStyle w:val="Emphasis"/>
          <w:rFonts w:ascii="Times New Roman" w:hAnsi="Times New Roman"/>
          <w:b w:val="0"/>
          <w:szCs w:val="20"/>
        </w:rPr>
        <w:t>RSVi</w:t>
      </w:r>
      <w:proofErr w:type="spellEnd"/>
      <w:r w:rsidRPr="00241E14">
        <w:rPr>
          <w:rStyle w:val="Emphasis"/>
          <w:rFonts w:ascii="Times New Roman" w:hAnsi="Times New Roman"/>
          <w:b w:val="0"/>
          <w:szCs w:val="20"/>
        </w:rPr>
        <w:t xml:space="preserve"> without hospitalization in preterm infants 33-35 weeks </w:t>
      </w:r>
      <w:r w:rsidRPr="00241E14">
        <w:rPr>
          <w:rStyle w:val="Emphasis"/>
          <w:rFonts w:ascii="Times New Roman" w:hAnsi="Times New Roman"/>
          <w:b w:val="0"/>
          <w:noProof/>
          <w:szCs w:val="20"/>
        </w:rPr>
        <w:t>[33]</w:t>
      </w:r>
      <w:r w:rsidRPr="00241E14">
        <w:rPr>
          <w:rStyle w:val="Emphasis"/>
          <w:rFonts w:ascii="Times New Roman" w:hAnsi="Times New Roman"/>
          <w:b w:val="0"/>
          <w:szCs w:val="20"/>
        </w:rPr>
        <w:t>, there are no data available regarding the efficacy of palivizumab in reducing MA-</w:t>
      </w:r>
      <w:proofErr w:type="spellStart"/>
      <w:r w:rsidRPr="00241E14">
        <w:rPr>
          <w:rStyle w:val="Emphasis"/>
          <w:rFonts w:ascii="Times New Roman" w:hAnsi="Times New Roman"/>
          <w:b w:val="0"/>
          <w:szCs w:val="20"/>
        </w:rPr>
        <w:t>RSVi</w:t>
      </w:r>
      <w:proofErr w:type="spellEnd"/>
      <w:r w:rsidRPr="00241E14">
        <w:rPr>
          <w:rStyle w:val="Emphasis"/>
          <w:rFonts w:ascii="Times New Roman" w:hAnsi="Times New Roman"/>
          <w:b w:val="0"/>
          <w:szCs w:val="20"/>
        </w:rPr>
        <w:t xml:space="preserve"> in the outpatient clinic and ED settings among infants we define as “high-risk”. Therefore, we assumed the ratio of rates between high- and low-risk infants in the outpatient clinic and ED settings is the same as the ratio of hospitalization rates for high- and low-risk infants, and that palivizumab would have the same efficacy for preventing cases in these settings. We obtained the ratio of hospitalization rates for high- and low- risk infants by subtracting the expected number of high-risk hospitalizations from the expected number of all-risk hospitalizations. Expected all-risk hospitalizations were obtained by multiplying the birth cohort times the age-based rates in Table S1 and expected high-risk hospitalizations were obtained by multiplying the birth cohort times the </w:t>
      </w:r>
      <w:r w:rsidRPr="00241E14">
        <w:rPr>
          <w:rFonts w:ascii="Times New Roman" w:eastAsiaTheme="majorEastAsia" w:hAnsi="Times New Roman"/>
          <w:bCs/>
          <w:sz w:val="24"/>
          <w:szCs w:val="20"/>
        </w:rPr>
        <w:t>percent of live births with a high-risk condition hospitalized due to RSV</w:t>
      </w:r>
      <w:r w:rsidRPr="00241E14">
        <w:rPr>
          <w:rStyle w:val="Emphasis"/>
          <w:rFonts w:ascii="Times New Roman" w:hAnsi="Times New Roman"/>
          <w:b w:val="0"/>
          <w:szCs w:val="20"/>
        </w:rPr>
        <w:t xml:space="preserve"> (0.0913%, from Table S2). These calculations resulted in a ratio of 8.4 low-risk visits for every high-risk visit (range 5.9 to 11.4, when using the 2.5 and 97.5 percentiles values from Table S1 for all-risk rates).</w:t>
      </w:r>
    </w:p>
    <w:p w:rsidR="008B516F" w:rsidRPr="000A4102" w:rsidRDefault="008B516F" w:rsidP="000A4102">
      <w:pPr>
        <w:spacing w:after="0" w:line="240" w:lineRule="auto"/>
        <w:rPr>
          <w:rStyle w:val="Emphasis"/>
          <w:rFonts w:ascii="Times New Roman" w:hAnsi="Times New Roman"/>
          <w:b w:val="0"/>
          <w:sz w:val="20"/>
          <w:szCs w:val="20"/>
        </w:rPr>
      </w:pPr>
      <w:r w:rsidRPr="000A4102">
        <w:rPr>
          <w:rStyle w:val="Emphasis"/>
          <w:rFonts w:ascii="Times New Roman" w:hAnsi="Times New Roman"/>
          <w:b w:val="0"/>
          <w:sz w:val="20"/>
          <w:szCs w:val="20"/>
        </w:rPr>
        <w:t xml:space="preserve"> </w:t>
      </w:r>
    </w:p>
    <w:p w:rsidR="008B516F" w:rsidRDefault="008B516F" w:rsidP="00810F7A">
      <w:pPr>
        <w:spacing w:after="0" w:line="240" w:lineRule="auto"/>
        <w:rPr>
          <w:rFonts w:ascii="Times New Roman" w:eastAsiaTheme="majorEastAsia" w:hAnsi="Times New Roman"/>
          <w:bCs/>
          <w:sz w:val="24"/>
          <w:szCs w:val="24"/>
        </w:rPr>
      </w:pPr>
      <w:r>
        <w:rPr>
          <w:rFonts w:ascii="Times New Roman" w:eastAsiaTheme="majorEastAsia" w:hAnsi="Times New Roman"/>
          <w:bCs/>
          <w:noProof/>
          <w:sz w:val="24"/>
          <w:szCs w:val="24"/>
          <w:lang w:bidi="ar-SA"/>
        </w:rPr>
        <w:lastRenderedPageBreak/>
        <w:drawing>
          <wp:inline distT="0" distB="0" distL="0" distR="0" wp14:anchorId="5488C5E9" wp14:editId="57A4DCDE">
            <wp:extent cx="5486400" cy="3200400"/>
            <wp:effectExtent l="0" t="0" r="0" b="190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8B516F" w:rsidRPr="00241E14" w:rsidRDefault="008B516F" w:rsidP="000A4102">
      <w:pPr>
        <w:spacing w:after="0" w:line="240" w:lineRule="auto"/>
        <w:rPr>
          <w:rFonts w:ascii="Times New Roman" w:eastAsiaTheme="majorEastAsia" w:hAnsi="Times New Roman"/>
          <w:bCs/>
          <w:szCs w:val="20"/>
        </w:rPr>
      </w:pPr>
      <w:r w:rsidRPr="007037B8">
        <w:rPr>
          <w:rFonts w:ascii="Times New Roman" w:hAnsi="Times New Roman"/>
          <w:b/>
          <w:sz w:val="24"/>
          <w:szCs w:val="20"/>
        </w:rPr>
        <w:t xml:space="preserve">Fig. S2. </w:t>
      </w:r>
      <w:r w:rsidRPr="00241E14">
        <w:rPr>
          <w:rFonts w:ascii="Times New Roman" w:eastAsiaTheme="majorEastAsia" w:hAnsi="Times New Roman"/>
          <w:bCs/>
          <w:sz w:val="24"/>
          <w:szCs w:val="20"/>
        </w:rPr>
        <w:t>Example Decision Tree Model Schematic</w:t>
      </w:r>
      <w:r>
        <w:rPr>
          <w:rFonts w:ascii="Times New Roman" w:eastAsiaTheme="majorEastAsia" w:hAnsi="Times New Roman"/>
          <w:bCs/>
          <w:sz w:val="24"/>
          <w:szCs w:val="20"/>
        </w:rPr>
        <w:t>.</w:t>
      </w:r>
      <w:r w:rsidRPr="00435897">
        <w:rPr>
          <w:rFonts w:ascii="Times New Roman" w:eastAsiaTheme="majorEastAsia" w:hAnsi="Times New Roman"/>
          <w:bCs/>
          <w:szCs w:val="20"/>
        </w:rPr>
        <w:t xml:space="preserve"> </w:t>
      </w:r>
      <w:r w:rsidRPr="00241E14">
        <w:rPr>
          <w:rFonts w:ascii="Times New Roman" w:eastAsiaTheme="majorEastAsia" w:hAnsi="Times New Roman"/>
          <w:bCs/>
          <w:sz w:val="24"/>
          <w:szCs w:val="20"/>
        </w:rPr>
        <w:t>Th</w:t>
      </w:r>
      <w:r>
        <w:rPr>
          <w:rFonts w:ascii="Times New Roman" w:eastAsiaTheme="majorEastAsia" w:hAnsi="Times New Roman"/>
          <w:bCs/>
          <w:sz w:val="24"/>
          <w:szCs w:val="20"/>
        </w:rPr>
        <w:t>is</w:t>
      </w:r>
      <w:r w:rsidRPr="00241E14">
        <w:rPr>
          <w:rFonts w:ascii="Times New Roman" w:eastAsiaTheme="majorEastAsia" w:hAnsi="Times New Roman"/>
          <w:bCs/>
          <w:sz w:val="24"/>
          <w:szCs w:val="20"/>
        </w:rPr>
        <w:t xml:space="preserve"> schematic illustrates one of the decision trees used to track monthly birth cohorts in RSV I</w:t>
      </w:r>
      <w:r w:rsidRPr="00241E14">
        <w:rPr>
          <w:rFonts w:ascii="Times New Roman" w:eastAsiaTheme="majorEastAsia" w:hAnsi="Times New Roman"/>
          <w:bCs/>
          <w:sz w:val="24"/>
          <w:szCs w:val="20"/>
          <w:vertAlign w:val="superscript"/>
        </w:rPr>
        <w:t>2</w:t>
      </w:r>
      <w:r w:rsidRPr="00241E14">
        <w:rPr>
          <w:rFonts w:ascii="Times New Roman" w:eastAsiaTheme="majorEastAsia" w:hAnsi="Times New Roman"/>
          <w:bCs/>
          <w:sz w:val="24"/>
          <w:szCs w:val="20"/>
        </w:rPr>
        <w:t>M. This particular tree schematic is for within-RSV-season births evaluating Strategy II. Different tree structures were used for births occurring out of RSV season and the other evaluated Strategies.  All trees are accessible in the RSV I</w:t>
      </w:r>
      <w:r w:rsidRPr="00241E14">
        <w:rPr>
          <w:rFonts w:ascii="Times New Roman" w:eastAsiaTheme="majorEastAsia" w:hAnsi="Times New Roman"/>
          <w:bCs/>
          <w:sz w:val="24"/>
          <w:szCs w:val="20"/>
          <w:vertAlign w:val="superscript"/>
        </w:rPr>
        <w:t>2</w:t>
      </w:r>
      <w:r w:rsidRPr="00241E14">
        <w:rPr>
          <w:rFonts w:ascii="Times New Roman" w:eastAsiaTheme="majorEastAsia" w:hAnsi="Times New Roman"/>
          <w:bCs/>
          <w:sz w:val="24"/>
          <w:szCs w:val="20"/>
        </w:rPr>
        <w:t>M modeling tool (S1). The probabilities associated with branching of a cohort are described in the main methods text</w:t>
      </w:r>
      <w:r>
        <w:rPr>
          <w:rFonts w:ascii="Times New Roman" w:eastAsiaTheme="majorEastAsia" w:hAnsi="Times New Roman"/>
          <w:bCs/>
          <w:sz w:val="24"/>
          <w:szCs w:val="20"/>
        </w:rPr>
        <w:t xml:space="preserve"> (Table 2)</w:t>
      </w:r>
      <w:r w:rsidRPr="00241E14">
        <w:rPr>
          <w:rFonts w:ascii="Times New Roman" w:eastAsiaTheme="majorEastAsia" w:hAnsi="Times New Roman"/>
          <w:bCs/>
          <w:sz w:val="24"/>
          <w:szCs w:val="20"/>
        </w:rPr>
        <w:t>.</w:t>
      </w:r>
    </w:p>
    <w:p w:rsidR="008B516F" w:rsidRPr="000A4102" w:rsidRDefault="008B516F" w:rsidP="000A4102">
      <w:pPr>
        <w:spacing w:after="0" w:line="240" w:lineRule="auto"/>
        <w:rPr>
          <w:rFonts w:ascii="Times New Roman" w:eastAsiaTheme="majorEastAsia" w:hAnsi="Times New Roman"/>
          <w:bCs/>
          <w:sz w:val="20"/>
          <w:szCs w:val="20"/>
        </w:rPr>
      </w:pPr>
    </w:p>
    <w:p w:rsidR="008B516F" w:rsidRPr="00241E14" w:rsidRDefault="008B516F" w:rsidP="00241E14">
      <w:pPr>
        <w:spacing w:after="0" w:line="360" w:lineRule="auto"/>
        <w:rPr>
          <w:rFonts w:ascii="Times New Roman" w:eastAsiaTheme="majorEastAsia" w:hAnsi="Times New Roman"/>
          <w:b/>
          <w:bCs/>
          <w:sz w:val="24"/>
          <w:szCs w:val="24"/>
        </w:rPr>
      </w:pPr>
      <w:r w:rsidRPr="00241E14">
        <w:rPr>
          <w:rFonts w:ascii="Times New Roman" w:eastAsiaTheme="majorEastAsia" w:hAnsi="Times New Roman"/>
          <w:b/>
          <w:bCs/>
          <w:sz w:val="24"/>
          <w:szCs w:val="24"/>
        </w:rPr>
        <w:t>Maternal Vaccine Candidate: Proportion of infants successfully immunized</w:t>
      </w:r>
    </w:p>
    <w:p w:rsidR="008B516F" w:rsidRPr="00241E14" w:rsidRDefault="008B516F" w:rsidP="00241E14">
      <w:pPr>
        <w:spacing w:after="0" w:line="360" w:lineRule="auto"/>
        <w:ind w:firstLine="720"/>
        <w:rPr>
          <w:rStyle w:val="Emphasis"/>
          <w:rFonts w:ascii="Times New Roman" w:hAnsi="Times New Roman"/>
          <w:b w:val="0"/>
          <w:szCs w:val="24"/>
        </w:rPr>
      </w:pPr>
      <w:r w:rsidRPr="00241E14">
        <w:rPr>
          <w:rStyle w:val="Emphasis"/>
          <w:rFonts w:ascii="Times New Roman" w:hAnsi="Times New Roman"/>
          <w:b w:val="0"/>
          <w:szCs w:val="24"/>
        </w:rPr>
        <w:t xml:space="preserve">In our model, the percentage of antibodies that successfully transfer from mothers receiving the maternal vaccine candidate was dependent upon a combination of the timing of vaccination relative to the infant’s birth, and the infant’s gestational age at birth. We assumed there would be a partial (50%) transfer two weeks post-vaccination and full (100%) transfer by four weeks post-vaccination, and that maternal antibodies would not wane prior to birth (Table S3) </w:t>
      </w:r>
      <w:r w:rsidRPr="00241E14">
        <w:rPr>
          <w:rStyle w:val="Emphasis"/>
          <w:rFonts w:ascii="Times New Roman" w:hAnsi="Times New Roman"/>
          <w:b w:val="0"/>
          <w:noProof/>
          <w:szCs w:val="24"/>
        </w:rPr>
        <w:t>[34, 35]</w:t>
      </w:r>
      <w:r w:rsidRPr="00241E14">
        <w:rPr>
          <w:rStyle w:val="Emphasis"/>
          <w:rFonts w:ascii="Times New Roman" w:hAnsi="Times New Roman"/>
          <w:b w:val="0"/>
          <w:szCs w:val="24"/>
        </w:rPr>
        <w:t xml:space="preserve">. Additionally, we took into account the fact that the efficiency of placental transfer of antibodies is dependent on gestational age. We assumed that the amount of antibody transfer would be ineffective before 33 weeks gestational age and only partially effective (50%) between 33-36 weeks gestational age. At term, the transfer would be fully effective </w:t>
      </w:r>
      <w:r w:rsidRPr="00241E14">
        <w:rPr>
          <w:rStyle w:val="Emphasis"/>
          <w:rFonts w:ascii="Times New Roman" w:hAnsi="Times New Roman"/>
          <w:b w:val="0"/>
          <w:noProof/>
          <w:szCs w:val="24"/>
        </w:rPr>
        <w:t>[36]</w:t>
      </w:r>
      <w:r w:rsidRPr="00241E14">
        <w:rPr>
          <w:rStyle w:val="Emphasis"/>
          <w:rFonts w:ascii="Times New Roman" w:hAnsi="Times New Roman"/>
          <w:b w:val="0"/>
          <w:szCs w:val="24"/>
        </w:rPr>
        <w:t xml:space="preserve">. Taking into account the distribution of gestational ages of when births occur </w:t>
      </w:r>
      <w:r w:rsidRPr="00241E14">
        <w:rPr>
          <w:rStyle w:val="Emphasis"/>
          <w:rFonts w:ascii="Times New Roman" w:hAnsi="Times New Roman"/>
          <w:b w:val="0"/>
          <w:noProof/>
          <w:szCs w:val="24"/>
        </w:rPr>
        <w:t>[22]</w:t>
      </w:r>
      <w:r w:rsidRPr="00241E14">
        <w:rPr>
          <w:rStyle w:val="Emphasis"/>
          <w:rFonts w:ascii="Times New Roman" w:hAnsi="Times New Roman"/>
          <w:b w:val="0"/>
          <w:szCs w:val="24"/>
        </w:rPr>
        <w:t xml:space="preserve"> and when mother’s receive </w:t>
      </w:r>
      <w:proofErr w:type="spellStart"/>
      <w:r w:rsidRPr="00241E14">
        <w:rPr>
          <w:rStyle w:val="Emphasis"/>
          <w:rFonts w:ascii="Times New Roman" w:hAnsi="Times New Roman"/>
          <w:b w:val="0"/>
          <w:szCs w:val="24"/>
        </w:rPr>
        <w:t>TdaP</w:t>
      </w:r>
      <w:proofErr w:type="spellEnd"/>
      <w:r w:rsidRPr="00241E14">
        <w:rPr>
          <w:rStyle w:val="Emphasis"/>
          <w:rFonts w:ascii="Times New Roman" w:hAnsi="Times New Roman"/>
          <w:b w:val="0"/>
          <w:szCs w:val="24"/>
        </w:rPr>
        <w:t xml:space="preserve"> vaccination (CDC, unpublished), we calculated that ~92% of antibodies that are needed to protect the cohort of infants would be successfully transferred across the immunized population. Since the protective level of antibodies needed to offer full protection has not been established </w:t>
      </w:r>
      <w:r w:rsidRPr="00241E14">
        <w:rPr>
          <w:rStyle w:val="Emphasis"/>
          <w:rFonts w:ascii="Times New Roman" w:hAnsi="Times New Roman"/>
          <w:b w:val="0"/>
          <w:szCs w:val="24"/>
        </w:rPr>
        <w:lastRenderedPageBreak/>
        <w:t xml:space="preserve">we used this value as a proxy reduction factor for maternal vaccine efficacy. That is, we multiplied the percent protected by maternal vaccine by 0.92 to obtain the overall efficacy of maternal vaccine.  </w:t>
      </w:r>
    </w:p>
    <w:p w:rsidR="008B516F" w:rsidRPr="00241E14" w:rsidRDefault="008B516F" w:rsidP="000A4102">
      <w:pPr>
        <w:spacing w:after="0" w:line="240" w:lineRule="auto"/>
        <w:ind w:firstLine="720"/>
        <w:rPr>
          <w:rStyle w:val="Emphasis"/>
          <w:rFonts w:ascii="Times New Roman" w:hAnsi="Times New Roman"/>
          <w:b w:val="0"/>
          <w:szCs w:val="24"/>
        </w:rPr>
      </w:pPr>
    </w:p>
    <w:p w:rsidR="008B516F" w:rsidRDefault="008B516F" w:rsidP="005120CD">
      <w:pPr>
        <w:spacing w:after="0" w:line="240" w:lineRule="auto"/>
        <w:rPr>
          <w:rStyle w:val="Emphasis"/>
          <w:rFonts w:ascii="Times New Roman" w:hAnsi="Times New Roman"/>
          <w:szCs w:val="24"/>
        </w:rPr>
      </w:pPr>
      <w:r w:rsidRPr="00241E14">
        <w:rPr>
          <w:rStyle w:val="Emphasis"/>
          <w:rFonts w:ascii="Times New Roman" w:hAnsi="Times New Roman"/>
          <w:szCs w:val="24"/>
        </w:rPr>
        <w:t xml:space="preserve">Table S3. </w:t>
      </w:r>
    </w:p>
    <w:p w:rsidR="008B516F" w:rsidRPr="00241E14" w:rsidRDefault="008B516F" w:rsidP="005120CD">
      <w:pPr>
        <w:spacing w:after="0" w:line="240" w:lineRule="auto"/>
        <w:rPr>
          <w:rFonts w:ascii="Times New Roman" w:eastAsiaTheme="majorEastAsia" w:hAnsi="Times New Roman"/>
          <w:bCs/>
          <w:sz w:val="24"/>
          <w:szCs w:val="24"/>
        </w:rPr>
      </w:pPr>
      <w:r w:rsidRPr="00241E14">
        <w:rPr>
          <w:rStyle w:val="Emphasis"/>
          <w:rFonts w:ascii="Times New Roman" w:hAnsi="Times New Roman"/>
          <w:b w:val="0"/>
          <w:szCs w:val="24"/>
        </w:rPr>
        <w:t>Proportion of maternal vaccinations with successful transfer of antibodies to the infant, by gestational age at immunization and birth</w:t>
      </w:r>
    </w:p>
    <w:p w:rsidR="008B516F" w:rsidRPr="00241E14" w:rsidRDefault="008B516F" w:rsidP="00B234A3">
      <w:pPr>
        <w:spacing w:after="0" w:line="240" w:lineRule="auto"/>
        <w:rPr>
          <w:rFonts w:ascii="Times New Roman" w:eastAsiaTheme="majorEastAsia" w:hAnsi="Times New Roman"/>
          <w:bCs/>
        </w:rPr>
      </w:pPr>
      <w:r w:rsidRPr="00B234A3">
        <w:rPr>
          <w:rFonts w:eastAsiaTheme="majorEastAsia"/>
          <w:noProof/>
          <w:lang w:bidi="ar-SA"/>
        </w:rPr>
        <w:drawing>
          <wp:anchor distT="0" distB="0" distL="114300" distR="114300" simplePos="0" relativeHeight="251659264" behindDoc="0" locked="0" layoutInCell="1" allowOverlap="1" wp14:anchorId="6D6A3428" wp14:editId="67FAC260">
            <wp:simplePos x="0" y="0"/>
            <wp:positionH relativeFrom="column">
              <wp:posOffset>-6824</wp:posOffset>
            </wp:positionH>
            <wp:positionV relativeFrom="paragraph">
              <wp:posOffset>0</wp:posOffset>
            </wp:positionV>
            <wp:extent cx="5943600" cy="324294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242945"/>
                    </a:xfrm>
                    <a:prstGeom prst="rect">
                      <a:avLst/>
                    </a:prstGeom>
                    <a:noFill/>
                    <a:ln>
                      <a:noFill/>
                    </a:ln>
                  </pic:spPr>
                </pic:pic>
              </a:graphicData>
            </a:graphic>
          </wp:anchor>
        </w:drawing>
      </w:r>
      <w:r w:rsidRPr="00B234A3">
        <w:rPr>
          <w:rFonts w:ascii="Times New Roman" w:eastAsiaTheme="majorEastAsia" w:hAnsi="Times New Roman"/>
          <w:bCs/>
          <w:sz w:val="20"/>
          <w:szCs w:val="20"/>
        </w:rPr>
        <w:t>*</w:t>
      </w:r>
      <w:r w:rsidRPr="00241E14">
        <w:rPr>
          <w:rFonts w:ascii="Times New Roman" w:eastAsiaTheme="majorEastAsia" w:hAnsi="Times New Roman"/>
          <w:bCs/>
        </w:rPr>
        <w:t xml:space="preserve"> calculated by 1) summing the product of the percent of births </w:t>
      </w:r>
      <w:r w:rsidRPr="00241E14">
        <w:rPr>
          <w:rFonts w:ascii="Times New Roman" w:eastAsiaTheme="majorEastAsia" w:hAnsi="Times New Roman"/>
          <w:bCs/>
          <w:noProof/>
        </w:rPr>
        <w:t>[22]</w:t>
      </w:r>
      <w:r w:rsidRPr="00241E14">
        <w:rPr>
          <w:rFonts w:ascii="Times New Roman" w:eastAsiaTheme="majorEastAsia" w:hAnsi="Times New Roman"/>
          <w:bCs/>
        </w:rPr>
        <w:t xml:space="preserve"> and the proportion of antibody transfer in each row, then 2) multiplying the result by the percent of vaccinations administered for a given gestational age (percent value at top of each column, based on </w:t>
      </w:r>
      <w:proofErr w:type="spellStart"/>
      <w:r w:rsidRPr="00241E14">
        <w:rPr>
          <w:rFonts w:ascii="Times New Roman" w:eastAsiaTheme="majorEastAsia" w:hAnsi="Times New Roman"/>
          <w:bCs/>
        </w:rPr>
        <w:t>TdaP</w:t>
      </w:r>
      <w:proofErr w:type="spellEnd"/>
      <w:r w:rsidRPr="00241E14">
        <w:rPr>
          <w:rFonts w:ascii="Times New Roman" w:eastAsiaTheme="majorEastAsia" w:hAnsi="Times New Roman"/>
          <w:bCs/>
        </w:rPr>
        <w:t xml:space="preserve"> uptake [CDC, unpublished]), and 3) taking the sum of the column totals on the bottom row. This results in a total 91.9% successful transfer rate.</w:t>
      </w:r>
    </w:p>
    <w:p w:rsidR="008B516F" w:rsidRPr="00241E14" w:rsidRDefault="008B516F" w:rsidP="00241E14">
      <w:pPr>
        <w:spacing w:after="0" w:line="360" w:lineRule="auto"/>
        <w:rPr>
          <w:rFonts w:ascii="Times New Roman" w:eastAsiaTheme="majorEastAsia" w:hAnsi="Times New Roman"/>
          <w:bCs/>
          <w:sz w:val="24"/>
          <w:szCs w:val="24"/>
        </w:rPr>
      </w:pPr>
    </w:p>
    <w:p w:rsidR="008B516F" w:rsidRDefault="008B516F" w:rsidP="00241E14">
      <w:pPr>
        <w:spacing w:after="0" w:line="360" w:lineRule="auto"/>
        <w:ind w:firstLine="720"/>
        <w:rPr>
          <w:rStyle w:val="Emphasis"/>
          <w:rFonts w:ascii="Times New Roman" w:hAnsi="Times New Roman"/>
          <w:b w:val="0"/>
          <w:szCs w:val="24"/>
        </w:rPr>
      </w:pPr>
      <w:r w:rsidRPr="00241E14">
        <w:rPr>
          <w:rStyle w:val="Emphasis"/>
          <w:rFonts w:ascii="Times New Roman" w:hAnsi="Times New Roman"/>
          <w:b w:val="0"/>
          <w:szCs w:val="24"/>
        </w:rPr>
        <w:t xml:space="preserve">We also conducted a sensitivity analysis examining the influence of our assumption regarding the timing of immunization on the proportion of infants to whom antibodies successfully transfer. In this analysis we altered the immunization schedule so that it optimized the proportion of infants to whom antibodies successfully transfer. This was achieved when 100% of mothers receiving the maternal vaccine candidate are immunized when the fetus is exactly 29 weeks of gestational age. This improved the proportion of infants to whom antibodies successfully transfer by 2.1 percentage points to 94.0%. When this transfer proportion was used in our baseline illustrative scenario for the US (and all other parameters values in Table 2 remained the same), our estimated number of MA-LRTI hospitalizations prevented by the </w:t>
      </w:r>
      <w:r w:rsidRPr="00241E14">
        <w:rPr>
          <w:rStyle w:val="Emphasis"/>
          <w:rFonts w:ascii="Times New Roman" w:hAnsi="Times New Roman"/>
          <w:b w:val="0"/>
          <w:szCs w:val="24"/>
        </w:rPr>
        <w:lastRenderedPageBreak/>
        <w:t>maternal vaccine candidate increased by 170 (from 8,190 to</w:t>
      </w:r>
      <w:r w:rsidRPr="00241E14">
        <w:rPr>
          <w:sz w:val="24"/>
          <w:szCs w:val="24"/>
        </w:rPr>
        <w:t xml:space="preserve"> </w:t>
      </w:r>
      <w:r w:rsidRPr="00241E14">
        <w:rPr>
          <w:rStyle w:val="Emphasis"/>
          <w:rFonts w:ascii="Times New Roman" w:hAnsi="Times New Roman"/>
          <w:b w:val="0"/>
          <w:szCs w:val="24"/>
        </w:rPr>
        <w:t xml:space="preserve">8,360), prevented MA-LRTI ED visits increased by 380 (from </w:t>
      </w:r>
      <w:r w:rsidRPr="00241E14">
        <w:rPr>
          <w:rStyle w:val="Emphasis"/>
          <w:rFonts w:ascii="Times New Roman" w:hAnsi="Times New Roman"/>
          <w:b w:val="0"/>
          <w:bCs/>
          <w:szCs w:val="24"/>
        </w:rPr>
        <w:t>19,580</w:t>
      </w:r>
      <w:r w:rsidRPr="00241E14">
        <w:rPr>
          <w:rStyle w:val="Emphasis"/>
          <w:rFonts w:ascii="Times New Roman" w:hAnsi="Times New Roman"/>
          <w:b w:val="0"/>
          <w:szCs w:val="24"/>
        </w:rPr>
        <w:t xml:space="preserve"> to 19,960), and prevented MA-LRTI outpatient clinic visits increased 1,140 (from 58,210 to 59,350).     </w:t>
      </w:r>
    </w:p>
    <w:p w:rsidR="008B516F" w:rsidRDefault="008B516F" w:rsidP="00241E14">
      <w:pPr>
        <w:spacing w:after="0" w:line="360" w:lineRule="auto"/>
        <w:rPr>
          <w:rStyle w:val="Emphasis"/>
          <w:rFonts w:ascii="Times New Roman" w:hAnsi="Times New Roman"/>
          <w:b w:val="0"/>
          <w:szCs w:val="24"/>
        </w:rPr>
      </w:pPr>
    </w:p>
    <w:p w:rsidR="008B516F" w:rsidRDefault="008B516F" w:rsidP="00241E14">
      <w:pPr>
        <w:spacing w:after="0" w:line="360" w:lineRule="auto"/>
        <w:rPr>
          <w:rFonts w:ascii="Times New Roman" w:eastAsiaTheme="majorEastAsia" w:hAnsi="Times New Roman"/>
          <w:bCs/>
          <w:sz w:val="24"/>
          <w:szCs w:val="24"/>
        </w:rPr>
      </w:pPr>
      <w:r w:rsidRPr="00241E14">
        <w:rPr>
          <w:rStyle w:val="Emphasis"/>
          <w:rFonts w:ascii="Times New Roman" w:hAnsi="Times New Roman"/>
          <w:szCs w:val="24"/>
        </w:rPr>
        <w:t>References</w:t>
      </w:r>
    </w:p>
    <w:p w:rsidR="008B516F" w:rsidRPr="007B232F" w:rsidRDefault="008B516F" w:rsidP="007B232F">
      <w:pPr>
        <w:pStyle w:val="EndNoteBibliography"/>
        <w:spacing w:after="0"/>
        <w:ind w:left="720" w:hanging="720"/>
      </w:pPr>
      <w:bookmarkStart w:id="0" w:name="_ENREF_1"/>
      <w:r w:rsidRPr="007B232F">
        <w:t>1.</w:t>
      </w:r>
      <w:r w:rsidRPr="007B232F">
        <w:tab/>
        <w:t xml:space="preserve">Shi, T., et al., </w:t>
      </w:r>
      <w:r w:rsidRPr="007B232F">
        <w:rPr>
          <w:i/>
        </w:rPr>
        <w:t>Global, regional, and national disease burden estimates of acute lower respiratory infections due to respiratory syncytial virus in young children in 2015: a systematic review and modelling study.</w:t>
      </w:r>
      <w:r w:rsidRPr="007B232F">
        <w:t xml:space="preserve"> Lancet, 2017. </w:t>
      </w:r>
      <w:r w:rsidRPr="007B232F">
        <w:rPr>
          <w:b/>
        </w:rPr>
        <w:t>390</w:t>
      </w:r>
      <w:r w:rsidRPr="007B232F">
        <w:t>(10098): p. 946-958.</w:t>
      </w:r>
      <w:bookmarkEnd w:id="0"/>
    </w:p>
    <w:p w:rsidR="008B516F" w:rsidRPr="007B232F" w:rsidRDefault="008B516F" w:rsidP="007B232F">
      <w:pPr>
        <w:pStyle w:val="EndNoteBibliography"/>
        <w:spacing w:after="0"/>
        <w:ind w:left="720" w:hanging="720"/>
      </w:pPr>
      <w:bookmarkStart w:id="1" w:name="_ENREF_2"/>
      <w:r w:rsidRPr="007B232F">
        <w:t>2.</w:t>
      </w:r>
      <w:r w:rsidRPr="007B232F">
        <w:tab/>
        <w:t xml:space="preserve">Hall, C.B., et al., </w:t>
      </w:r>
      <w:r w:rsidRPr="007B232F">
        <w:rPr>
          <w:i/>
        </w:rPr>
        <w:t>The burden of respiratory syncytial virus infection in young children.</w:t>
      </w:r>
      <w:r w:rsidRPr="007B232F">
        <w:t xml:space="preserve"> N Engl J Med, 2009. </w:t>
      </w:r>
      <w:r w:rsidRPr="007B232F">
        <w:rPr>
          <w:b/>
        </w:rPr>
        <w:t>360</w:t>
      </w:r>
      <w:r w:rsidRPr="007B232F">
        <w:t>(6): p. 588-98.</w:t>
      </w:r>
      <w:bookmarkEnd w:id="1"/>
    </w:p>
    <w:p w:rsidR="008B516F" w:rsidRPr="007B232F" w:rsidRDefault="008B516F" w:rsidP="007B232F">
      <w:pPr>
        <w:pStyle w:val="EndNoteBibliography"/>
        <w:spacing w:after="0"/>
        <w:ind w:left="720" w:hanging="720"/>
      </w:pPr>
      <w:bookmarkStart w:id="2" w:name="_ENREF_3"/>
      <w:r w:rsidRPr="007B232F">
        <w:t>3.</w:t>
      </w:r>
      <w:r w:rsidRPr="007B232F">
        <w:tab/>
        <w:t xml:space="preserve">Byington, C.L., et al., </w:t>
      </w:r>
      <w:r w:rsidRPr="007B232F">
        <w:rPr>
          <w:i/>
        </w:rPr>
        <w:t>Respiratory syncytial virus-associated mortality in hospitalized infants and young children.</w:t>
      </w:r>
      <w:r w:rsidRPr="007B232F">
        <w:t xml:space="preserve"> Pediatrics, 2015. </w:t>
      </w:r>
      <w:r w:rsidRPr="007B232F">
        <w:rPr>
          <w:b/>
        </w:rPr>
        <w:t>135</w:t>
      </w:r>
      <w:r w:rsidRPr="007B232F">
        <w:t>(1): p. e24-31.</w:t>
      </w:r>
      <w:bookmarkEnd w:id="2"/>
    </w:p>
    <w:p w:rsidR="008B516F" w:rsidRPr="007B232F" w:rsidRDefault="008B516F" w:rsidP="007B232F">
      <w:pPr>
        <w:pStyle w:val="EndNoteBibliography"/>
        <w:spacing w:after="0"/>
        <w:ind w:left="720" w:hanging="720"/>
      </w:pPr>
      <w:bookmarkStart w:id="3" w:name="_ENREF_4"/>
      <w:r w:rsidRPr="007B232F">
        <w:t>4.</w:t>
      </w:r>
      <w:r w:rsidRPr="007B232F">
        <w:tab/>
        <w:t xml:space="preserve">Hall, C.B., et al., </w:t>
      </w:r>
      <w:r w:rsidRPr="007B232F">
        <w:rPr>
          <w:i/>
        </w:rPr>
        <w:t>Respiratory syncytial virus-associated hospitalizations among children less than 24 months of age.</w:t>
      </w:r>
      <w:r w:rsidRPr="007B232F">
        <w:t xml:space="preserve"> Pediatrics, 2013. </w:t>
      </w:r>
      <w:r w:rsidRPr="007B232F">
        <w:rPr>
          <w:b/>
        </w:rPr>
        <w:t>132</w:t>
      </w:r>
      <w:r w:rsidRPr="007B232F">
        <w:t>(2): p. e341-8. doi: 10.1542/peds.2013-0303. Epub 2013 Jul 22.</w:t>
      </w:r>
      <w:bookmarkEnd w:id="3"/>
    </w:p>
    <w:p w:rsidR="008B516F" w:rsidRPr="007B232F" w:rsidRDefault="008B516F" w:rsidP="007B232F">
      <w:pPr>
        <w:pStyle w:val="EndNoteBibliography"/>
        <w:spacing w:after="0"/>
        <w:ind w:left="720" w:hanging="720"/>
      </w:pPr>
      <w:bookmarkStart w:id="4" w:name="_ENREF_5"/>
      <w:r w:rsidRPr="007B232F">
        <w:t>5.</w:t>
      </w:r>
      <w:r w:rsidRPr="007B232F">
        <w:tab/>
        <w:t xml:space="preserve">Lively, J.Y., et al., </w:t>
      </w:r>
      <w:r w:rsidRPr="007B232F">
        <w:rPr>
          <w:i/>
        </w:rPr>
        <w:t>Respiratory Syncytial Virus-Associated Outpatient Visits Among Children Younger Than 24 Months.</w:t>
      </w:r>
      <w:r w:rsidRPr="007B232F">
        <w:t xml:space="preserve"> J Pediatric Infect Dis Soc, 2019.</w:t>
      </w:r>
      <w:bookmarkEnd w:id="4"/>
    </w:p>
    <w:p w:rsidR="008B516F" w:rsidRPr="007B232F" w:rsidRDefault="008B516F" w:rsidP="007B232F">
      <w:pPr>
        <w:pStyle w:val="EndNoteBibliography"/>
        <w:spacing w:after="0"/>
        <w:ind w:left="720" w:hanging="720"/>
      </w:pPr>
      <w:bookmarkStart w:id="5" w:name="_ENREF_6"/>
      <w:r w:rsidRPr="007B232F">
        <w:t>6.</w:t>
      </w:r>
      <w:r w:rsidRPr="007B232F">
        <w:tab/>
        <w:t xml:space="preserve">Rose, E.B., et al., </w:t>
      </w:r>
      <w:r w:rsidRPr="007B232F">
        <w:rPr>
          <w:i/>
        </w:rPr>
        <w:t>Respiratory Syncytial Virus Seasonality - United States, 2014-2017.</w:t>
      </w:r>
      <w:r w:rsidRPr="007B232F">
        <w:t xml:space="preserve"> MMWR Morb Mortal Wkly Rep, 2018. </w:t>
      </w:r>
      <w:r w:rsidRPr="007B232F">
        <w:rPr>
          <w:b/>
        </w:rPr>
        <w:t>67</w:t>
      </w:r>
      <w:r w:rsidRPr="007B232F">
        <w:t>(2): p. 71-76.</w:t>
      </w:r>
      <w:bookmarkEnd w:id="5"/>
    </w:p>
    <w:p w:rsidR="008B516F" w:rsidRPr="007B232F" w:rsidRDefault="008B516F" w:rsidP="007B232F">
      <w:pPr>
        <w:pStyle w:val="EndNoteBibliography"/>
        <w:spacing w:after="0"/>
        <w:ind w:left="720" w:hanging="720"/>
      </w:pPr>
      <w:bookmarkStart w:id="6" w:name="_ENREF_7"/>
      <w:r w:rsidRPr="007B232F">
        <w:t>7.</w:t>
      </w:r>
      <w:r w:rsidRPr="007B232F">
        <w:tab/>
        <w:t xml:space="preserve">Haynes, A.K., et al., </w:t>
      </w:r>
      <w:r w:rsidRPr="007B232F">
        <w:rPr>
          <w:i/>
        </w:rPr>
        <w:t>Respiratory syncytial virus circulation in seven countries with Global Disease Detection Regional Centers.</w:t>
      </w:r>
      <w:r w:rsidRPr="007B232F">
        <w:t xml:space="preserve"> J Infect Dis, 2013. </w:t>
      </w:r>
      <w:r w:rsidRPr="007B232F">
        <w:rPr>
          <w:b/>
        </w:rPr>
        <w:t>208 Suppl 3</w:t>
      </w:r>
      <w:r w:rsidRPr="007B232F">
        <w:t>: p. S246-54.</w:t>
      </w:r>
      <w:bookmarkEnd w:id="6"/>
    </w:p>
    <w:p w:rsidR="008B516F" w:rsidRPr="007B232F" w:rsidRDefault="008B516F" w:rsidP="007B232F">
      <w:pPr>
        <w:pStyle w:val="EndNoteBibliography"/>
        <w:spacing w:after="0"/>
        <w:ind w:left="720" w:hanging="720"/>
      </w:pPr>
      <w:bookmarkStart w:id="7" w:name="_ENREF_8"/>
      <w:r w:rsidRPr="007B232F">
        <w:t>8.</w:t>
      </w:r>
      <w:r w:rsidRPr="007B232F">
        <w:tab/>
        <w:t xml:space="preserve">AAP, </w:t>
      </w:r>
      <w:r w:rsidRPr="007B232F">
        <w:rPr>
          <w:i/>
        </w:rPr>
        <w:t>Red Book</w:t>
      </w:r>
      <w:r w:rsidRPr="007B232F">
        <w:t>. 31st ed. Report of the Committee on Infectious Diseases, ed. D.W. Kimberlin, et al. 2018, Itasca, IL: American Academy of Pediatrics.</w:t>
      </w:r>
      <w:bookmarkEnd w:id="7"/>
    </w:p>
    <w:p w:rsidR="008B516F" w:rsidRPr="007B232F" w:rsidRDefault="008B516F" w:rsidP="007B232F">
      <w:pPr>
        <w:pStyle w:val="EndNoteBibliography"/>
        <w:spacing w:after="0"/>
        <w:ind w:left="720" w:hanging="720"/>
      </w:pPr>
      <w:bookmarkStart w:id="8" w:name="_ENREF_9"/>
      <w:r w:rsidRPr="007B232F">
        <w:t>9.</w:t>
      </w:r>
      <w:r w:rsidRPr="007B232F">
        <w:tab/>
        <w:t xml:space="preserve">PATH. </w:t>
      </w:r>
      <w:r w:rsidRPr="007B232F">
        <w:rPr>
          <w:i/>
        </w:rPr>
        <w:t>RSV Vaccine and mAb Snapshot</w:t>
      </w:r>
      <w:r w:rsidRPr="007B232F">
        <w:t xml:space="preserve">. 2018  [cited 2018 July 6]; Available from: </w:t>
      </w:r>
      <w:r w:rsidRPr="008B516F">
        <w:t>https://vaccineresources.org/files/RSV-snapshot-2018Dec_High%20Resolution%20V3.pdf</w:t>
      </w:r>
      <w:r w:rsidRPr="007B232F">
        <w:t>.</w:t>
      </w:r>
      <w:bookmarkEnd w:id="8"/>
    </w:p>
    <w:p w:rsidR="008B516F" w:rsidRPr="007B232F" w:rsidRDefault="008B516F" w:rsidP="007B232F">
      <w:pPr>
        <w:pStyle w:val="EndNoteBibliography"/>
        <w:spacing w:after="0"/>
        <w:ind w:left="720" w:hanging="720"/>
      </w:pPr>
      <w:bookmarkStart w:id="9" w:name="_ENREF_10"/>
      <w:r w:rsidRPr="007B232F">
        <w:t>10.</w:t>
      </w:r>
      <w:r w:rsidRPr="007B232F">
        <w:tab/>
        <w:t xml:space="preserve">MedImmune. </w:t>
      </w:r>
      <w:r w:rsidRPr="007B232F">
        <w:rPr>
          <w:i/>
        </w:rPr>
        <w:t>A Study to Evaluate the Safety and Efficacy of MEDI8897 for the Prevention of Medically Attended RSV LRTI in Healthy Preterm Infants. (MEDI8897 Ph2b)</w:t>
      </w:r>
      <w:r w:rsidRPr="007B232F">
        <w:t xml:space="preserve">. 2016  [cited 2018 September 4]; Available from: </w:t>
      </w:r>
      <w:r w:rsidRPr="008B516F">
        <w:t>https://clinicaltrials.gov/ct2/show/NCT02878330?term=MEDI8897&amp;cond=RSV+Infection&amp;rank=1</w:t>
      </w:r>
      <w:r w:rsidRPr="007B232F">
        <w:t>.</w:t>
      </w:r>
      <w:bookmarkEnd w:id="9"/>
    </w:p>
    <w:p w:rsidR="008B516F" w:rsidRPr="007B232F" w:rsidRDefault="008B516F" w:rsidP="007B232F">
      <w:pPr>
        <w:pStyle w:val="EndNoteBibliography"/>
        <w:spacing w:after="0"/>
        <w:ind w:left="720" w:hanging="720"/>
      </w:pPr>
      <w:bookmarkStart w:id="10" w:name="_ENREF_11"/>
      <w:r w:rsidRPr="007B232F">
        <w:t>11.</w:t>
      </w:r>
      <w:r w:rsidRPr="007B232F">
        <w:tab/>
        <w:t xml:space="preserve">Novavax. </w:t>
      </w:r>
      <w:r w:rsidRPr="007B232F">
        <w:rPr>
          <w:i/>
        </w:rPr>
        <w:t>A Study to Determine the Safety and Efficacy of the RSV F Vaccine to Protect Infants Via Maternal Immunization</w:t>
      </w:r>
      <w:r w:rsidRPr="007B232F">
        <w:t xml:space="preserve">. 2015  [cited 2018 September 4]; Available from: </w:t>
      </w:r>
      <w:r w:rsidRPr="008B516F">
        <w:t>https://www.clinicaltrials.gov/ct2/show/NCT02624947</w:t>
      </w:r>
      <w:r w:rsidRPr="007B232F">
        <w:t>.</w:t>
      </w:r>
      <w:bookmarkEnd w:id="10"/>
    </w:p>
    <w:p w:rsidR="008B516F" w:rsidRPr="007B232F" w:rsidRDefault="008B516F" w:rsidP="007B232F">
      <w:pPr>
        <w:pStyle w:val="EndNoteBibliography"/>
        <w:spacing w:after="0"/>
        <w:ind w:left="720" w:hanging="720"/>
      </w:pPr>
      <w:bookmarkStart w:id="11" w:name="_ENREF_12"/>
      <w:r w:rsidRPr="007B232F">
        <w:t>12.</w:t>
      </w:r>
      <w:r w:rsidRPr="007B232F">
        <w:tab/>
        <w:t xml:space="preserve">Acedo, L., et al., </w:t>
      </w:r>
      <w:r w:rsidRPr="007B232F">
        <w:rPr>
          <w:i/>
        </w:rPr>
        <w:t>Mathematical modelling of respiratory syncytial virus (RSV): vaccination strategies and budget applications.</w:t>
      </w:r>
      <w:r w:rsidRPr="007B232F">
        <w:t xml:space="preserve"> Epidemiol Infect, 2010. </w:t>
      </w:r>
      <w:r w:rsidRPr="007B232F">
        <w:rPr>
          <w:b/>
        </w:rPr>
        <w:t>138</w:t>
      </w:r>
      <w:r w:rsidRPr="007B232F">
        <w:t>(6): p. 853-60.</w:t>
      </w:r>
      <w:bookmarkEnd w:id="11"/>
    </w:p>
    <w:p w:rsidR="008B516F" w:rsidRPr="007B232F" w:rsidRDefault="008B516F" w:rsidP="007B232F">
      <w:pPr>
        <w:pStyle w:val="EndNoteBibliography"/>
        <w:spacing w:after="0"/>
        <w:ind w:left="720" w:hanging="720"/>
      </w:pPr>
      <w:bookmarkStart w:id="12" w:name="_ENREF_13"/>
      <w:r w:rsidRPr="007B232F">
        <w:t>13.</w:t>
      </w:r>
      <w:r w:rsidRPr="007B232F">
        <w:tab/>
        <w:t xml:space="preserve">Cromer, D., et al., </w:t>
      </w:r>
      <w:r w:rsidRPr="007B232F">
        <w:rPr>
          <w:i/>
        </w:rPr>
        <w:t>Burden of paediatric respiratory syncytial virus disease and potential effect of different immunisation strategies: a modelling and cost-effectiveness analysis for England.</w:t>
      </w:r>
      <w:r w:rsidRPr="007B232F">
        <w:t xml:space="preserve"> Lancet Public Health, 2017. </w:t>
      </w:r>
      <w:r w:rsidRPr="007B232F">
        <w:rPr>
          <w:b/>
        </w:rPr>
        <w:t>2</w:t>
      </w:r>
      <w:r w:rsidRPr="007B232F">
        <w:t>(8): p. e367-e374.</w:t>
      </w:r>
      <w:bookmarkEnd w:id="12"/>
    </w:p>
    <w:p w:rsidR="008B516F" w:rsidRPr="007B232F" w:rsidRDefault="008B516F" w:rsidP="007B232F">
      <w:pPr>
        <w:pStyle w:val="EndNoteBibliography"/>
        <w:spacing w:after="0"/>
        <w:ind w:left="720" w:hanging="720"/>
      </w:pPr>
      <w:bookmarkStart w:id="13" w:name="_ENREF_14"/>
      <w:r w:rsidRPr="007B232F">
        <w:t>14.</w:t>
      </w:r>
      <w:r w:rsidRPr="007B232F">
        <w:tab/>
        <w:t xml:space="preserve">Hogan, A.B., et al., </w:t>
      </w:r>
      <w:r w:rsidRPr="007B232F">
        <w:rPr>
          <w:i/>
        </w:rPr>
        <w:t>Potential impact of a maternal vaccine for RSV: A mathematical modelling study.</w:t>
      </w:r>
      <w:r w:rsidRPr="007B232F">
        <w:t xml:space="preserve"> Vaccine, 2017. </w:t>
      </w:r>
      <w:r w:rsidRPr="007B232F">
        <w:rPr>
          <w:b/>
        </w:rPr>
        <w:t>35</w:t>
      </w:r>
      <w:r w:rsidRPr="007B232F">
        <w:t>(45): p. 6172-6179.</w:t>
      </w:r>
      <w:bookmarkEnd w:id="13"/>
    </w:p>
    <w:p w:rsidR="008B516F" w:rsidRPr="007B232F" w:rsidRDefault="008B516F" w:rsidP="007B232F">
      <w:pPr>
        <w:pStyle w:val="EndNoteBibliography"/>
        <w:spacing w:after="0"/>
        <w:ind w:left="720" w:hanging="720"/>
      </w:pPr>
      <w:bookmarkStart w:id="14" w:name="_ENREF_15"/>
      <w:r w:rsidRPr="007B232F">
        <w:lastRenderedPageBreak/>
        <w:t>15.</w:t>
      </w:r>
      <w:r w:rsidRPr="007B232F">
        <w:tab/>
        <w:t xml:space="preserve">Pan-Ngum, W., et al., </w:t>
      </w:r>
      <w:r w:rsidRPr="007B232F">
        <w:rPr>
          <w:i/>
        </w:rPr>
        <w:t>Predicting the relative impacts of maternal and neonatal respiratory syncytial virus (RSV) vaccine target product profiles: A consensus modelling approach.</w:t>
      </w:r>
      <w:r w:rsidRPr="007B232F">
        <w:t xml:space="preserve"> Vaccine, 2017. </w:t>
      </w:r>
      <w:r w:rsidRPr="007B232F">
        <w:rPr>
          <w:b/>
        </w:rPr>
        <w:t>35</w:t>
      </w:r>
      <w:r w:rsidRPr="007B232F">
        <w:t>(2): p. 403-409.</w:t>
      </w:r>
      <w:bookmarkEnd w:id="14"/>
    </w:p>
    <w:p w:rsidR="008B516F" w:rsidRPr="007B232F" w:rsidRDefault="008B516F" w:rsidP="007B232F">
      <w:pPr>
        <w:pStyle w:val="EndNoteBibliography"/>
        <w:spacing w:after="0"/>
        <w:ind w:left="720" w:hanging="720"/>
      </w:pPr>
      <w:bookmarkStart w:id="15" w:name="_ENREF_16"/>
      <w:r w:rsidRPr="007B232F">
        <w:t>16.</w:t>
      </w:r>
      <w:r w:rsidRPr="007B232F">
        <w:tab/>
        <w:t xml:space="preserve">Poletti, P., et al., </w:t>
      </w:r>
      <w:r w:rsidRPr="007B232F">
        <w:rPr>
          <w:i/>
        </w:rPr>
        <w:t>Evaluating vaccination strategies for reducing infant respiratory syncytial virus infection in low-income settings.</w:t>
      </w:r>
      <w:r w:rsidRPr="007B232F">
        <w:t xml:space="preserve"> BMC Med, 2015. </w:t>
      </w:r>
      <w:r w:rsidRPr="007B232F">
        <w:rPr>
          <w:b/>
        </w:rPr>
        <w:t>13</w:t>
      </w:r>
      <w:r w:rsidRPr="007B232F">
        <w:t>: p. 49.</w:t>
      </w:r>
      <w:bookmarkEnd w:id="15"/>
    </w:p>
    <w:p w:rsidR="008B516F" w:rsidRPr="007B232F" w:rsidRDefault="008B516F" w:rsidP="007B232F">
      <w:pPr>
        <w:pStyle w:val="EndNoteBibliography"/>
        <w:spacing w:after="0"/>
        <w:ind w:left="720" w:hanging="720"/>
      </w:pPr>
      <w:bookmarkStart w:id="16" w:name="_ENREF_17"/>
      <w:r w:rsidRPr="007B232F">
        <w:t>17.</w:t>
      </w:r>
      <w:r w:rsidRPr="007B232F">
        <w:tab/>
        <w:t xml:space="preserve">Regnier, S.A., </w:t>
      </w:r>
      <w:r w:rsidRPr="007B232F">
        <w:rPr>
          <w:i/>
        </w:rPr>
        <w:t>Respiratory syncytial virus immunization program for the United States: impact of performance determinants of a theoretical vaccine.</w:t>
      </w:r>
      <w:r w:rsidRPr="007B232F">
        <w:t xml:space="preserve"> Vaccine, 2013. </w:t>
      </w:r>
      <w:r w:rsidRPr="007B232F">
        <w:rPr>
          <w:b/>
        </w:rPr>
        <w:t>31</w:t>
      </w:r>
      <w:r w:rsidRPr="007B232F">
        <w:t>(40): p. 4347-54.</w:t>
      </w:r>
      <w:bookmarkEnd w:id="16"/>
    </w:p>
    <w:p w:rsidR="008B516F" w:rsidRPr="007B232F" w:rsidRDefault="008B516F" w:rsidP="007B232F">
      <w:pPr>
        <w:pStyle w:val="EndNoteBibliography"/>
        <w:spacing w:after="0"/>
        <w:ind w:left="720" w:hanging="720"/>
      </w:pPr>
      <w:bookmarkStart w:id="17" w:name="_ENREF_18"/>
      <w:r w:rsidRPr="007B232F">
        <w:t>18.</w:t>
      </w:r>
      <w:r w:rsidRPr="007B232F">
        <w:tab/>
        <w:t xml:space="preserve">Scheltema, N.M., et al., </w:t>
      </w:r>
      <w:r w:rsidRPr="007B232F">
        <w:rPr>
          <w:i/>
        </w:rPr>
        <w:t>Potential impact of maternal vaccination on life-threatening respiratory syncytial virus infection during infancy.</w:t>
      </w:r>
      <w:r w:rsidRPr="007B232F">
        <w:t xml:space="preserve"> Vaccine, 2018. </w:t>
      </w:r>
      <w:r w:rsidRPr="007B232F">
        <w:rPr>
          <w:b/>
        </w:rPr>
        <w:t>36</w:t>
      </w:r>
      <w:r w:rsidRPr="007B232F">
        <w:t>(31): p. 4693-4700.</w:t>
      </w:r>
      <w:bookmarkEnd w:id="17"/>
    </w:p>
    <w:p w:rsidR="008B516F" w:rsidRPr="007B232F" w:rsidRDefault="008B516F" w:rsidP="007B232F">
      <w:pPr>
        <w:pStyle w:val="EndNoteBibliography"/>
        <w:spacing w:after="0"/>
        <w:ind w:left="720" w:hanging="720"/>
      </w:pPr>
      <w:bookmarkStart w:id="18" w:name="_ENREF_19"/>
      <w:r w:rsidRPr="007B232F">
        <w:t>19.</w:t>
      </w:r>
      <w:r w:rsidRPr="007B232F">
        <w:tab/>
        <w:t xml:space="preserve">Yamin, D., et al., </w:t>
      </w:r>
      <w:r w:rsidRPr="007B232F">
        <w:rPr>
          <w:i/>
        </w:rPr>
        <w:t>Vaccination strategies against respiratory syncytial virus.</w:t>
      </w:r>
      <w:r w:rsidRPr="007B232F">
        <w:t xml:space="preserve"> Proc Natl Acad Sci U S A, 2016. </w:t>
      </w:r>
      <w:r w:rsidRPr="007B232F">
        <w:rPr>
          <w:b/>
        </w:rPr>
        <w:t>113</w:t>
      </w:r>
      <w:r w:rsidRPr="007B232F">
        <w:t>(46): p. 13239-13244.</w:t>
      </w:r>
      <w:bookmarkEnd w:id="18"/>
    </w:p>
    <w:p w:rsidR="008B516F" w:rsidRPr="007B232F" w:rsidRDefault="008B516F" w:rsidP="007B232F">
      <w:pPr>
        <w:pStyle w:val="EndNoteBibliography"/>
        <w:spacing w:after="0"/>
        <w:ind w:left="720" w:hanging="720"/>
      </w:pPr>
      <w:bookmarkStart w:id="19" w:name="_ENREF_20"/>
      <w:r w:rsidRPr="007B232F">
        <w:t>20.</w:t>
      </w:r>
      <w:r w:rsidRPr="007B232F">
        <w:tab/>
        <w:t xml:space="preserve">Novavax. </w:t>
      </w:r>
      <w:r w:rsidRPr="007B232F">
        <w:rPr>
          <w:i/>
        </w:rPr>
        <w:t>Phase 3 and beyond: The RSV F nanoparticle vaccine for infants via maternal immunization</w:t>
      </w:r>
      <w:r w:rsidRPr="007B232F">
        <w:t xml:space="preserve">. in </w:t>
      </w:r>
      <w:r w:rsidRPr="007B232F">
        <w:rPr>
          <w:i/>
        </w:rPr>
        <w:t>World Vaccine Congress</w:t>
      </w:r>
      <w:r w:rsidRPr="007B232F">
        <w:t xml:space="preserve">. 2019. Washington D.C.: </w:t>
      </w:r>
      <w:r w:rsidRPr="008B516F">
        <w:t>https://novavax.com/download/files/posters/2019-World_Vaccine_Congress/2019.04.16-World_Vaccine_Congress.pdf</w:t>
      </w:r>
      <w:r w:rsidRPr="007B232F">
        <w:t>.</w:t>
      </w:r>
      <w:bookmarkEnd w:id="19"/>
    </w:p>
    <w:p w:rsidR="008B516F" w:rsidRPr="007B232F" w:rsidRDefault="008B516F" w:rsidP="007B232F">
      <w:pPr>
        <w:pStyle w:val="EndNoteBibliography"/>
        <w:spacing w:after="0"/>
        <w:ind w:left="720" w:hanging="720"/>
      </w:pPr>
      <w:bookmarkStart w:id="20" w:name="_ENREF_21"/>
      <w:r w:rsidRPr="007B232F">
        <w:t>21.</w:t>
      </w:r>
      <w:r w:rsidRPr="007B232F">
        <w:tab/>
        <w:t xml:space="preserve">Glezen, W.P., et al., </w:t>
      </w:r>
      <w:r w:rsidRPr="007B232F">
        <w:rPr>
          <w:i/>
        </w:rPr>
        <w:t>Risk of primary infection and reinfection with respiratory syncytial virus.</w:t>
      </w:r>
      <w:r w:rsidRPr="007B232F">
        <w:t xml:space="preserve"> Am J Dis Child, 1986. </w:t>
      </w:r>
      <w:r w:rsidRPr="007B232F">
        <w:rPr>
          <w:b/>
        </w:rPr>
        <w:t>140</w:t>
      </w:r>
      <w:r w:rsidRPr="007B232F">
        <w:t>(6): p. 543-6.</w:t>
      </w:r>
      <w:bookmarkEnd w:id="20"/>
    </w:p>
    <w:p w:rsidR="008B516F" w:rsidRPr="007B232F" w:rsidRDefault="008B516F" w:rsidP="007B232F">
      <w:pPr>
        <w:pStyle w:val="EndNoteBibliography"/>
        <w:spacing w:after="0"/>
        <w:ind w:left="720" w:hanging="720"/>
      </w:pPr>
      <w:bookmarkStart w:id="21" w:name="_ENREF_22"/>
      <w:r w:rsidRPr="007B232F">
        <w:t>22.</w:t>
      </w:r>
      <w:r w:rsidRPr="007B232F">
        <w:tab/>
        <w:t xml:space="preserve">Martin, J.A., et al., </w:t>
      </w:r>
      <w:r w:rsidRPr="007B232F">
        <w:rPr>
          <w:i/>
        </w:rPr>
        <w:t>Births : final data for 2016.</w:t>
      </w:r>
      <w:r w:rsidRPr="007B232F">
        <w:t xml:space="preserve"> National vital statistics reports, 2018. </w:t>
      </w:r>
      <w:r w:rsidRPr="007B232F">
        <w:rPr>
          <w:b/>
        </w:rPr>
        <w:t>67</w:t>
      </w:r>
      <w:r w:rsidRPr="007B232F">
        <w:t>(1).</w:t>
      </w:r>
      <w:bookmarkEnd w:id="21"/>
    </w:p>
    <w:p w:rsidR="008B516F" w:rsidRPr="007B232F" w:rsidRDefault="008B516F" w:rsidP="007B232F">
      <w:pPr>
        <w:pStyle w:val="EndNoteBibliography"/>
        <w:spacing w:after="0"/>
        <w:ind w:left="720" w:hanging="720"/>
      </w:pPr>
      <w:bookmarkStart w:id="22" w:name="_ENREF_23"/>
      <w:r w:rsidRPr="007B232F">
        <w:t>23.</w:t>
      </w:r>
      <w:r w:rsidRPr="007B232F">
        <w:tab/>
        <w:t xml:space="preserve">Pavilack, M., et al., </w:t>
      </w:r>
      <w:r w:rsidRPr="007B232F">
        <w:rPr>
          <w:i/>
        </w:rPr>
        <w:t>Trends in Utilization of Outpatient Respiratory Syncytial Virus Prophylaxis with Palivizumab among Medicaid- and Commercially Insured Infants.</w:t>
      </w:r>
      <w:r w:rsidRPr="007B232F">
        <w:t xml:space="preserve"> Infect Dis Ther, 2017.</w:t>
      </w:r>
      <w:bookmarkEnd w:id="22"/>
    </w:p>
    <w:p w:rsidR="008B516F" w:rsidRPr="007B232F" w:rsidRDefault="008B516F" w:rsidP="007B232F">
      <w:pPr>
        <w:pStyle w:val="EndNoteBibliography"/>
        <w:spacing w:after="0"/>
        <w:ind w:left="720" w:hanging="720"/>
      </w:pPr>
      <w:bookmarkStart w:id="23" w:name="_ENREF_24"/>
      <w:r w:rsidRPr="007B232F">
        <w:t>24.</w:t>
      </w:r>
      <w:r w:rsidRPr="007B232F">
        <w:tab/>
        <w:t xml:space="preserve">Stewart, D.L., et al., </w:t>
      </w:r>
      <w:r w:rsidRPr="007B232F">
        <w:rPr>
          <w:i/>
        </w:rPr>
        <w:t>Association of RSV-related hospitalization and non-compliance with palivizumab among commercially insured infants: a retrospective claims analysis.</w:t>
      </w:r>
      <w:r w:rsidRPr="007B232F">
        <w:t xml:space="preserve"> BMC Infect Dis, 2013. </w:t>
      </w:r>
      <w:r w:rsidRPr="007B232F">
        <w:rPr>
          <w:b/>
        </w:rPr>
        <w:t>13</w:t>
      </w:r>
      <w:r w:rsidRPr="007B232F">
        <w:t>: p. 334.</w:t>
      </w:r>
      <w:bookmarkEnd w:id="23"/>
    </w:p>
    <w:p w:rsidR="008B516F" w:rsidRPr="007B232F" w:rsidRDefault="008B516F" w:rsidP="007B232F">
      <w:pPr>
        <w:pStyle w:val="EndNoteBibliography"/>
        <w:spacing w:after="0"/>
        <w:ind w:left="720" w:hanging="720"/>
      </w:pPr>
      <w:bookmarkStart w:id="24" w:name="_ENREF_25"/>
      <w:r w:rsidRPr="007B232F">
        <w:t>25.</w:t>
      </w:r>
      <w:r w:rsidRPr="007B232F">
        <w:tab/>
        <w:t xml:space="preserve">Wong, S.K., et al., </w:t>
      </w:r>
      <w:r w:rsidRPr="007B232F">
        <w:rPr>
          <w:i/>
        </w:rPr>
        <w:t>Adherence and outcomes: a systematic review of palivizumab utilization.</w:t>
      </w:r>
      <w:r w:rsidRPr="007B232F">
        <w:t xml:space="preserve"> Expert Rev Respir Med, 2018. </w:t>
      </w:r>
      <w:r w:rsidRPr="007B232F">
        <w:rPr>
          <w:b/>
        </w:rPr>
        <w:t>12</w:t>
      </w:r>
      <w:r w:rsidRPr="007B232F">
        <w:t>(1): p. 27-42.</w:t>
      </w:r>
      <w:bookmarkEnd w:id="24"/>
    </w:p>
    <w:p w:rsidR="008B516F" w:rsidRPr="007B232F" w:rsidRDefault="008B516F" w:rsidP="007B232F">
      <w:pPr>
        <w:pStyle w:val="EndNoteBibliography"/>
        <w:spacing w:after="0"/>
        <w:ind w:left="720" w:hanging="720"/>
      </w:pPr>
      <w:bookmarkStart w:id="25" w:name="_ENREF_26"/>
      <w:r w:rsidRPr="007B232F">
        <w:t>26.</w:t>
      </w:r>
      <w:r w:rsidRPr="007B232F">
        <w:tab/>
      </w:r>
      <w:r w:rsidRPr="007B232F">
        <w:rPr>
          <w:i/>
        </w:rPr>
        <w:t>Estimates of Flu Vaccination Coverage among Children — United States, 2017–18 Flu Season</w:t>
      </w:r>
      <w:r w:rsidRPr="007B232F">
        <w:t xml:space="preserve">, in </w:t>
      </w:r>
      <w:r w:rsidRPr="007B232F">
        <w:rPr>
          <w:i/>
        </w:rPr>
        <w:t>FluVaxView</w:t>
      </w:r>
      <w:r w:rsidRPr="007B232F">
        <w:t>. 2018, Centers for Disease Control and Prevention (CDC).</w:t>
      </w:r>
      <w:bookmarkEnd w:id="25"/>
    </w:p>
    <w:p w:rsidR="008B516F" w:rsidRPr="007B232F" w:rsidRDefault="008B516F" w:rsidP="007B232F">
      <w:pPr>
        <w:pStyle w:val="EndNoteBibliography"/>
        <w:spacing w:after="0"/>
        <w:ind w:left="720" w:hanging="720"/>
      </w:pPr>
      <w:bookmarkStart w:id="26" w:name="_ENREF_27"/>
      <w:r w:rsidRPr="007B232F">
        <w:t>27.</w:t>
      </w:r>
      <w:r w:rsidRPr="007B232F">
        <w:tab/>
        <w:t xml:space="preserve">Hill, H.A., et al., </w:t>
      </w:r>
      <w:r w:rsidRPr="007B232F">
        <w:rPr>
          <w:i/>
        </w:rPr>
        <w:t>Vaccination Coverage Among Children Aged 19-35 Months - United States, 2016.</w:t>
      </w:r>
      <w:r w:rsidRPr="007B232F">
        <w:t xml:space="preserve"> MMWR Morb Mortal Wkly Rep, 2017. </w:t>
      </w:r>
      <w:r w:rsidRPr="007B232F">
        <w:rPr>
          <w:b/>
        </w:rPr>
        <w:t>66</w:t>
      </w:r>
      <w:r w:rsidRPr="007B232F">
        <w:t>(43): p. 1171-1177.</w:t>
      </w:r>
      <w:bookmarkEnd w:id="26"/>
    </w:p>
    <w:p w:rsidR="008B516F" w:rsidRPr="007B232F" w:rsidRDefault="008B516F" w:rsidP="007B232F">
      <w:pPr>
        <w:pStyle w:val="EndNoteBibliography"/>
        <w:spacing w:after="0"/>
        <w:ind w:left="720" w:hanging="720"/>
      </w:pPr>
      <w:bookmarkStart w:id="27" w:name="_ENREF_28"/>
      <w:r w:rsidRPr="007B232F">
        <w:t>28.</w:t>
      </w:r>
      <w:r w:rsidRPr="007B232F">
        <w:tab/>
        <w:t xml:space="preserve">Healy, C.M., et al., </w:t>
      </w:r>
      <w:r w:rsidRPr="007B232F">
        <w:rPr>
          <w:i/>
        </w:rPr>
        <w:t>Tetanus and diphtheria toxoids and acellular pertussis vaccine uptake during pregnancy in a metropolitan tertiary care center.</w:t>
      </w:r>
      <w:r w:rsidRPr="007B232F">
        <w:t xml:space="preserve"> Vaccine, 2015. </w:t>
      </w:r>
      <w:r w:rsidRPr="007B232F">
        <w:rPr>
          <w:b/>
        </w:rPr>
        <w:t>33</w:t>
      </w:r>
      <w:r w:rsidRPr="007B232F">
        <w:t>(38): p. 4983-7.</w:t>
      </w:r>
      <w:bookmarkEnd w:id="27"/>
    </w:p>
    <w:p w:rsidR="008B516F" w:rsidRPr="007B232F" w:rsidRDefault="008B516F" w:rsidP="007B232F">
      <w:pPr>
        <w:pStyle w:val="EndNoteBibliography"/>
        <w:spacing w:after="0"/>
        <w:ind w:left="720" w:hanging="720"/>
      </w:pPr>
      <w:bookmarkStart w:id="28" w:name="_ENREF_29"/>
      <w:r w:rsidRPr="007B232F">
        <w:t>29.</w:t>
      </w:r>
      <w:r w:rsidRPr="007B232F">
        <w:tab/>
        <w:t xml:space="preserve">Andabaka, T., et al., </w:t>
      </w:r>
      <w:r w:rsidRPr="007B232F">
        <w:rPr>
          <w:i/>
        </w:rPr>
        <w:t>Monoclonal antibody for reducing the risk of respiratory syncytial virus infection in children.</w:t>
      </w:r>
      <w:r w:rsidRPr="007B232F">
        <w:t xml:space="preserve"> Cochrane Database Syst Rev, 2013(4): p. Cd006602.</w:t>
      </w:r>
      <w:bookmarkEnd w:id="28"/>
    </w:p>
    <w:p w:rsidR="008B516F" w:rsidRPr="007B232F" w:rsidRDefault="008B516F" w:rsidP="007B232F">
      <w:pPr>
        <w:pStyle w:val="EndNoteBibliography"/>
        <w:spacing w:after="0"/>
        <w:ind w:left="720" w:hanging="720"/>
      </w:pPr>
      <w:bookmarkStart w:id="29" w:name="_ENREF_30"/>
      <w:r w:rsidRPr="007B232F">
        <w:t>30.</w:t>
      </w:r>
      <w:r w:rsidRPr="007B232F">
        <w:tab/>
        <w:t xml:space="preserve">O'Brien, K.L., et al., </w:t>
      </w:r>
      <w:r w:rsidRPr="007B232F">
        <w:rPr>
          <w:i/>
        </w:rPr>
        <w:t>Efficacy of motavizumab for the prevention of respiratory syncytial virus disease in healthy Native American infants: a phase 3 randomised double-blind placebo-controlled trial.</w:t>
      </w:r>
      <w:r w:rsidRPr="007B232F">
        <w:t xml:space="preserve"> Lancet Infect Dis, 2015. </w:t>
      </w:r>
      <w:r w:rsidRPr="007B232F">
        <w:rPr>
          <w:b/>
        </w:rPr>
        <w:t>15</w:t>
      </w:r>
      <w:r w:rsidRPr="007B232F">
        <w:t>(12): p. 1398-408.</w:t>
      </w:r>
      <w:bookmarkEnd w:id="29"/>
    </w:p>
    <w:p w:rsidR="008B516F" w:rsidRPr="007B232F" w:rsidRDefault="008B516F" w:rsidP="007B232F">
      <w:pPr>
        <w:pStyle w:val="EndNoteBibliography"/>
        <w:spacing w:after="0"/>
        <w:ind w:left="720" w:hanging="720"/>
      </w:pPr>
      <w:bookmarkStart w:id="30" w:name="_ENREF_31"/>
      <w:r w:rsidRPr="007B232F">
        <w:t>31.</w:t>
      </w:r>
      <w:r w:rsidRPr="007B232F">
        <w:tab/>
        <w:t xml:space="preserve">Feltes, T.F., et al., </w:t>
      </w:r>
      <w:r w:rsidRPr="007B232F">
        <w:rPr>
          <w:i/>
        </w:rPr>
        <w:t>Palivizumab prophylaxis reduces hospitalization due to respiratory syncytial virus in young children with hemodynamically significant congenital heart disease.</w:t>
      </w:r>
      <w:r w:rsidRPr="007B232F">
        <w:t xml:space="preserve"> J Pediatr, 2003. </w:t>
      </w:r>
      <w:r w:rsidRPr="007B232F">
        <w:rPr>
          <w:b/>
        </w:rPr>
        <w:t>143</w:t>
      </w:r>
      <w:r w:rsidRPr="007B232F">
        <w:t>(4): p. 532-40.</w:t>
      </w:r>
      <w:bookmarkEnd w:id="30"/>
    </w:p>
    <w:p w:rsidR="008B516F" w:rsidRPr="007B232F" w:rsidRDefault="008B516F" w:rsidP="007B232F">
      <w:pPr>
        <w:pStyle w:val="EndNoteBibliography"/>
        <w:spacing w:after="0"/>
        <w:ind w:left="720" w:hanging="720"/>
      </w:pPr>
      <w:bookmarkStart w:id="31" w:name="_ENREF_32"/>
      <w:r w:rsidRPr="007B232F">
        <w:t>32.</w:t>
      </w:r>
      <w:r w:rsidRPr="007B232F">
        <w:tab/>
        <w:t xml:space="preserve">IMpact, </w:t>
      </w:r>
      <w:r w:rsidRPr="007B232F">
        <w:rPr>
          <w:i/>
        </w:rPr>
        <w:t>The IMpact-RSV Study Group. Palivizumab, a humanized respiratory syncytial virus monoclonal antibody, reduces hospitalization from respiratory syncytial virus infection in high-risk infants.</w:t>
      </w:r>
      <w:r w:rsidRPr="007B232F">
        <w:t xml:space="preserve"> Pediatrics, 1998. </w:t>
      </w:r>
      <w:r w:rsidRPr="007B232F">
        <w:rPr>
          <w:b/>
        </w:rPr>
        <w:t>102</w:t>
      </w:r>
      <w:r w:rsidRPr="007B232F">
        <w:t>(3 Pt 1): p. 531-7.</w:t>
      </w:r>
      <w:bookmarkEnd w:id="31"/>
    </w:p>
    <w:p w:rsidR="008B516F" w:rsidRPr="007B232F" w:rsidRDefault="008B516F" w:rsidP="007B232F">
      <w:pPr>
        <w:pStyle w:val="EndNoteBibliography"/>
        <w:spacing w:after="0"/>
        <w:ind w:left="720" w:hanging="720"/>
      </w:pPr>
      <w:bookmarkStart w:id="32" w:name="_ENREF_33"/>
      <w:r w:rsidRPr="007B232F">
        <w:lastRenderedPageBreak/>
        <w:t>33.</w:t>
      </w:r>
      <w:r w:rsidRPr="007B232F">
        <w:tab/>
        <w:t xml:space="preserve">Blanken, M.O., et al., </w:t>
      </w:r>
      <w:r w:rsidRPr="007B232F">
        <w:rPr>
          <w:i/>
        </w:rPr>
        <w:t>Respiratory syncytial virus and recurrent wheeze in healthy preterm infants.</w:t>
      </w:r>
      <w:r w:rsidRPr="007B232F">
        <w:t xml:space="preserve"> N Engl J Med., 2013. </w:t>
      </w:r>
      <w:r w:rsidRPr="007B232F">
        <w:rPr>
          <w:b/>
        </w:rPr>
        <w:t>368</w:t>
      </w:r>
      <w:r w:rsidRPr="007B232F">
        <w:t>(19): p. 1791-9. doi: 10.1056/NEJMoa1211917.</w:t>
      </w:r>
      <w:bookmarkEnd w:id="32"/>
    </w:p>
    <w:p w:rsidR="00727D3C" w:rsidRPr="00727D3C" w:rsidRDefault="00727D3C" w:rsidP="00727D3C">
      <w:pPr>
        <w:spacing w:after="0" w:line="240" w:lineRule="auto"/>
        <w:ind w:left="720" w:hanging="720"/>
        <w:rPr>
          <w:rFonts w:ascii="Times New Roman" w:eastAsia="Calibri" w:hAnsi="Times New Roman"/>
          <w:sz w:val="24"/>
          <w:szCs w:val="24"/>
          <w:lang w:bidi="ar-SA"/>
        </w:rPr>
      </w:pPr>
      <w:bookmarkStart w:id="33" w:name="_ENREF_36"/>
      <w:bookmarkStart w:id="34" w:name="_ENREF_34"/>
      <w:r w:rsidRPr="00727D3C">
        <w:rPr>
          <w:rFonts w:ascii="Times New Roman" w:eastAsia="Calibri" w:hAnsi="Times New Roman"/>
          <w:sz w:val="24"/>
          <w:szCs w:val="24"/>
          <w:lang w:bidi="ar-SA"/>
        </w:rPr>
        <w:t xml:space="preserve">34.       August, A. </w:t>
      </w:r>
      <w:r w:rsidRPr="00727D3C">
        <w:rPr>
          <w:rFonts w:ascii="Times New Roman" w:eastAsia="Calibri" w:hAnsi="Times New Roman"/>
          <w:i/>
          <w:iCs/>
          <w:sz w:val="24"/>
          <w:szCs w:val="24"/>
          <w:lang w:bidi="ar-SA"/>
        </w:rPr>
        <w:t>RSVV F Vaccine: Phase 2 Clinical Trial to Protect Infants via Maternal Immunization</w:t>
      </w:r>
      <w:r w:rsidRPr="00727D3C">
        <w:rPr>
          <w:rFonts w:ascii="Times New Roman" w:eastAsia="Calibri" w:hAnsi="Times New Roman"/>
          <w:sz w:val="24"/>
          <w:szCs w:val="24"/>
          <w:lang w:bidi="ar-SA"/>
        </w:rPr>
        <w:t xml:space="preserve">. in </w:t>
      </w:r>
      <w:r w:rsidRPr="00727D3C">
        <w:rPr>
          <w:rFonts w:ascii="Times New Roman" w:eastAsia="Calibri" w:hAnsi="Times New Roman"/>
          <w:i/>
          <w:iCs/>
          <w:sz w:val="24"/>
          <w:szCs w:val="24"/>
          <w:lang w:bidi="ar-SA"/>
        </w:rPr>
        <w:t>FIGO World Congress of Gynecology and Obstetrics</w:t>
      </w:r>
      <w:r w:rsidRPr="00727D3C">
        <w:rPr>
          <w:rFonts w:ascii="Times New Roman" w:eastAsia="Calibri" w:hAnsi="Times New Roman"/>
          <w:sz w:val="24"/>
          <w:szCs w:val="24"/>
          <w:lang w:bidi="ar-SA"/>
        </w:rPr>
        <w:t>. 2015. Vancouver.</w:t>
      </w:r>
      <w:bookmarkEnd w:id="34"/>
      <w:r w:rsidRPr="00727D3C">
        <w:rPr>
          <w:rFonts w:ascii="Times New Roman" w:eastAsia="Calibri" w:hAnsi="Times New Roman"/>
          <w:sz w:val="24"/>
          <w:szCs w:val="24"/>
          <w:lang w:bidi="ar-SA"/>
        </w:rPr>
        <w:t xml:space="preserve">: </w:t>
      </w:r>
      <w:hyperlink r:id="rId14" w:history="1">
        <w:r w:rsidRPr="00727D3C">
          <w:rPr>
            <w:rFonts w:ascii="Times New Roman" w:eastAsia="Calibri" w:hAnsi="Times New Roman"/>
            <w:color w:val="0563C1"/>
            <w:sz w:val="24"/>
            <w:szCs w:val="24"/>
            <w:u w:val="single"/>
            <w:lang w:bidi="ar-SA"/>
          </w:rPr>
          <w:t>https://www.novavax.com/download/files/presentations/FIGO_7OCT2015_AA_P2_Data_10_14_15_FINAL_TO_USE.pdf</w:t>
        </w:r>
      </w:hyperlink>
    </w:p>
    <w:p w:rsidR="00727D3C" w:rsidRPr="00727D3C" w:rsidRDefault="00727D3C" w:rsidP="00727D3C">
      <w:pPr>
        <w:spacing w:after="0" w:line="240" w:lineRule="auto"/>
        <w:ind w:left="720" w:hanging="720"/>
        <w:rPr>
          <w:rFonts w:ascii="Times New Roman" w:eastAsia="Calibri" w:hAnsi="Times New Roman"/>
          <w:sz w:val="24"/>
          <w:szCs w:val="24"/>
          <w:lang w:bidi="ar-SA"/>
        </w:rPr>
      </w:pPr>
      <w:bookmarkStart w:id="35" w:name="_ENREF_35"/>
      <w:r w:rsidRPr="00727D3C">
        <w:rPr>
          <w:rFonts w:ascii="Times New Roman" w:eastAsia="Calibri" w:hAnsi="Times New Roman"/>
          <w:sz w:val="24"/>
          <w:szCs w:val="24"/>
          <w:lang w:bidi="ar-SA"/>
        </w:rPr>
        <w:t xml:space="preserve">35.       </w:t>
      </w:r>
      <w:bookmarkEnd w:id="35"/>
      <w:r w:rsidRPr="00727D3C">
        <w:rPr>
          <w:rFonts w:ascii="Times New Roman" w:eastAsia="Calibri" w:hAnsi="Times New Roman"/>
          <w:sz w:val="24"/>
          <w:szCs w:val="24"/>
          <w:lang w:bidi="ar-SA"/>
        </w:rPr>
        <w:t xml:space="preserve">August, A., et al., </w:t>
      </w:r>
      <w:r w:rsidRPr="00727D3C">
        <w:rPr>
          <w:rFonts w:ascii="Times New Roman" w:eastAsia="Calibri" w:hAnsi="Times New Roman"/>
          <w:i/>
          <w:iCs/>
          <w:sz w:val="24"/>
          <w:szCs w:val="24"/>
          <w:lang w:bidi="ar-SA"/>
        </w:rPr>
        <w:t>A Phase 2 randomized, observer-blind, placebo-controlled, dose-ranging trial of aluminum-adjuvanted respiratory syncytial virus F particle vaccine formulations in healthy women of childbearing age.</w:t>
      </w:r>
      <w:r w:rsidRPr="00727D3C">
        <w:rPr>
          <w:rFonts w:ascii="Times New Roman" w:eastAsia="Calibri" w:hAnsi="Times New Roman"/>
          <w:sz w:val="24"/>
          <w:szCs w:val="24"/>
          <w:lang w:bidi="ar-SA"/>
        </w:rPr>
        <w:t xml:space="preserve"> Vaccine. 2017 Jun 27;35(30):3749-3759. </w:t>
      </w:r>
      <w:proofErr w:type="spellStart"/>
      <w:r w:rsidRPr="00727D3C">
        <w:rPr>
          <w:rFonts w:ascii="Times New Roman" w:eastAsia="Calibri" w:hAnsi="Times New Roman"/>
          <w:sz w:val="24"/>
          <w:szCs w:val="24"/>
          <w:lang w:bidi="ar-SA"/>
        </w:rPr>
        <w:t>doi</w:t>
      </w:r>
      <w:proofErr w:type="spellEnd"/>
      <w:r w:rsidRPr="00727D3C">
        <w:rPr>
          <w:rFonts w:ascii="Times New Roman" w:eastAsia="Calibri" w:hAnsi="Times New Roman"/>
          <w:sz w:val="24"/>
          <w:szCs w:val="24"/>
          <w:lang w:bidi="ar-SA"/>
        </w:rPr>
        <w:t>: 10.1016/j.vaccine.2017.05.045.</w:t>
      </w:r>
    </w:p>
    <w:p w:rsidR="008B516F" w:rsidRPr="004133B1" w:rsidRDefault="008B516F" w:rsidP="004133B1">
      <w:pPr>
        <w:pStyle w:val="EndNoteBibliography"/>
        <w:ind w:left="720" w:hanging="720"/>
      </w:pPr>
      <w:r w:rsidRPr="007B232F">
        <w:t>36.</w:t>
      </w:r>
      <w:r w:rsidRPr="007B232F">
        <w:tab/>
        <w:t xml:space="preserve">Palmeira, P., et al., </w:t>
      </w:r>
      <w:r w:rsidRPr="007B232F">
        <w:rPr>
          <w:i/>
        </w:rPr>
        <w:t>IgG placental transfer in healthy and pathological pregnancies.</w:t>
      </w:r>
      <w:r w:rsidRPr="007B232F">
        <w:t xml:space="preserve"> Clin Dev Immunol, 2012. </w:t>
      </w:r>
      <w:r w:rsidRPr="007B232F">
        <w:rPr>
          <w:b/>
        </w:rPr>
        <w:t>2012</w:t>
      </w:r>
      <w:r w:rsidRPr="007B232F">
        <w:t>: p. 98564</w:t>
      </w:r>
      <w:bookmarkStart w:id="36" w:name="_GoBack"/>
      <w:bookmarkEnd w:id="36"/>
      <w:r w:rsidRPr="007B232F">
        <w:t>6.</w:t>
      </w:r>
      <w:bookmarkEnd w:id="33"/>
      <w:r>
        <w:rPr>
          <w:rFonts w:eastAsiaTheme="majorEastAsia"/>
          <w:bCs/>
          <w:szCs w:val="24"/>
        </w:rPr>
        <w:br w:type="page"/>
      </w:r>
    </w:p>
    <w:p w:rsidR="008B516F" w:rsidRPr="007037B8" w:rsidRDefault="008B516F" w:rsidP="00DF769F">
      <w:pPr>
        <w:rPr>
          <w:rFonts w:ascii="Times New Roman" w:hAnsi="Times New Roman"/>
          <w:b/>
          <w:sz w:val="24"/>
          <w:szCs w:val="20"/>
        </w:rPr>
      </w:pPr>
      <w:r w:rsidRPr="007037B8">
        <w:rPr>
          <w:rFonts w:ascii="Times New Roman" w:hAnsi="Times New Roman"/>
          <w:b/>
          <w:sz w:val="24"/>
          <w:szCs w:val="20"/>
        </w:rPr>
        <w:lastRenderedPageBreak/>
        <w:t xml:space="preserve">Fig. S1. </w:t>
      </w:r>
      <w:r w:rsidRPr="007037B8">
        <w:rPr>
          <w:rFonts w:ascii="Times New Roman" w:hAnsi="Times New Roman"/>
          <w:sz w:val="24"/>
          <w:szCs w:val="20"/>
        </w:rPr>
        <w:t>Seasonal Distribution of Medically-Attended RSV infections in the US (National-level). Source: CDC, unpublished</w:t>
      </w:r>
    </w:p>
    <w:p w:rsidR="008B516F" w:rsidRDefault="008B516F" w:rsidP="00241E14">
      <w:pPr>
        <w:pStyle w:val="EndNoteBibliography"/>
        <w:rPr>
          <w:rFonts w:eastAsiaTheme="majorEastAsia"/>
          <w:bCs/>
          <w:szCs w:val="24"/>
        </w:rPr>
      </w:pPr>
    </w:p>
    <w:p w:rsidR="0052528D" w:rsidRPr="004133B1" w:rsidRDefault="008B516F" w:rsidP="004133B1">
      <w:pPr>
        <w:spacing w:after="0" w:line="240" w:lineRule="auto"/>
        <w:rPr>
          <w:rFonts w:ascii="Times New Roman" w:eastAsiaTheme="majorEastAsia" w:hAnsi="Times New Roman"/>
          <w:bCs/>
          <w:szCs w:val="20"/>
        </w:rPr>
      </w:pPr>
      <w:r w:rsidRPr="007037B8">
        <w:rPr>
          <w:rFonts w:ascii="Times New Roman" w:hAnsi="Times New Roman"/>
          <w:b/>
          <w:sz w:val="24"/>
          <w:szCs w:val="20"/>
        </w:rPr>
        <w:t xml:space="preserve">Fig. S2. </w:t>
      </w:r>
      <w:r w:rsidRPr="007037B8">
        <w:rPr>
          <w:rFonts w:ascii="Times New Roman" w:eastAsiaTheme="majorEastAsia" w:hAnsi="Times New Roman"/>
          <w:bCs/>
          <w:sz w:val="24"/>
          <w:szCs w:val="20"/>
        </w:rPr>
        <w:t>Example Decision Tree Model Schematic</w:t>
      </w:r>
      <w:r>
        <w:rPr>
          <w:rFonts w:ascii="Times New Roman" w:eastAsiaTheme="majorEastAsia" w:hAnsi="Times New Roman"/>
          <w:bCs/>
          <w:sz w:val="24"/>
          <w:szCs w:val="20"/>
        </w:rPr>
        <w:t>.</w:t>
      </w:r>
      <w:r w:rsidRPr="007037B8">
        <w:rPr>
          <w:rFonts w:ascii="Times New Roman" w:eastAsiaTheme="majorEastAsia" w:hAnsi="Times New Roman"/>
          <w:bCs/>
          <w:szCs w:val="20"/>
        </w:rPr>
        <w:t xml:space="preserve"> </w:t>
      </w:r>
      <w:r w:rsidRPr="007037B8">
        <w:rPr>
          <w:rFonts w:ascii="Times New Roman" w:eastAsiaTheme="majorEastAsia" w:hAnsi="Times New Roman"/>
          <w:bCs/>
          <w:sz w:val="24"/>
          <w:szCs w:val="20"/>
        </w:rPr>
        <w:t>Th</w:t>
      </w:r>
      <w:r>
        <w:rPr>
          <w:rFonts w:ascii="Times New Roman" w:eastAsiaTheme="majorEastAsia" w:hAnsi="Times New Roman"/>
          <w:bCs/>
          <w:sz w:val="24"/>
          <w:szCs w:val="20"/>
        </w:rPr>
        <w:t>is</w:t>
      </w:r>
      <w:r w:rsidRPr="007037B8">
        <w:rPr>
          <w:rFonts w:ascii="Times New Roman" w:eastAsiaTheme="majorEastAsia" w:hAnsi="Times New Roman"/>
          <w:bCs/>
          <w:sz w:val="24"/>
          <w:szCs w:val="20"/>
        </w:rPr>
        <w:t xml:space="preserve"> schematic illustrates one of the decision trees used to track monthly birth cohorts in RSV I</w:t>
      </w:r>
      <w:r w:rsidRPr="007037B8">
        <w:rPr>
          <w:rFonts w:ascii="Times New Roman" w:eastAsiaTheme="majorEastAsia" w:hAnsi="Times New Roman"/>
          <w:bCs/>
          <w:sz w:val="24"/>
          <w:szCs w:val="20"/>
          <w:vertAlign w:val="superscript"/>
        </w:rPr>
        <w:t>2</w:t>
      </w:r>
      <w:r w:rsidRPr="007037B8">
        <w:rPr>
          <w:rFonts w:ascii="Times New Roman" w:eastAsiaTheme="majorEastAsia" w:hAnsi="Times New Roman"/>
          <w:bCs/>
          <w:sz w:val="24"/>
          <w:szCs w:val="20"/>
        </w:rPr>
        <w:t>M. This particular tree schematic is for within-RSV-season births evaluating Strategy II. Different tree structures were used for births occurring out of RSV season and the other evaluated Strategies.  All trees are accessible in the RSV I</w:t>
      </w:r>
      <w:r w:rsidRPr="007037B8">
        <w:rPr>
          <w:rFonts w:ascii="Times New Roman" w:eastAsiaTheme="majorEastAsia" w:hAnsi="Times New Roman"/>
          <w:bCs/>
          <w:sz w:val="24"/>
          <w:szCs w:val="20"/>
          <w:vertAlign w:val="superscript"/>
        </w:rPr>
        <w:t>2</w:t>
      </w:r>
      <w:r w:rsidRPr="007037B8">
        <w:rPr>
          <w:rFonts w:ascii="Times New Roman" w:eastAsiaTheme="majorEastAsia" w:hAnsi="Times New Roman"/>
          <w:bCs/>
          <w:sz w:val="24"/>
          <w:szCs w:val="20"/>
        </w:rPr>
        <w:t>M modeling tool (S1). The probabilities associated with branching of a cohort are described in the main methods text</w:t>
      </w:r>
      <w:r>
        <w:rPr>
          <w:rFonts w:ascii="Times New Roman" w:eastAsiaTheme="majorEastAsia" w:hAnsi="Times New Roman"/>
          <w:bCs/>
          <w:sz w:val="24"/>
          <w:szCs w:val="20"/>
        </w:rPr>
        <w:t xml:space="preserve"> (Table 2)</w:t>
      </w:r>
    </w:p>
    <w:sectPr w:rsidR="0052528D" w:rsidRPr="004133B1" w:rsidSect="00E424F6">
      <w:footerReference w:type="default" r:id="rId15"/>
      <w:pgSz w:w="12240" w:h="15840"/>
      <w:pgMar w:top="1440" w:right="1440" w:bottom="1440" w:left="1440" w:header="720" w:footer="720" w:gutter="0"/>
      <w:lnNumType w:countBy="1" w:restart="continuous"/>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4F8B" w:rsidRDefault="00204F8B">
      <w:pPr>
        <w:spacing w:after="0" w:line="240" w:lineRule="auto"/>
      </w:pPr>
      <w:r>
        <w:separator/>
      </w:r>
    </w:p>
  </w:endnote>
  <w:endnote w:type="continuationSeparator" w:id="0">
    <w:p w:rsidR="00204F8B" w:rsidRDefault="00204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Shaker 2 Lancet Regular">
    <w:altName w:val="Shaker 2 Lancet Regular"/>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5687170"/>
      <w:docPartObj>
        <w:docPartGallery w:val="Page Numbers (Bottom of Page)"/>
        <w:docPartUnique/>
      </w:docPartObj>
    </w:sdtPr>
    <w:sdtEndPr>
      <w:rPr>
        <w:noProof/>
      </w:rPr>
    </w:sdtEndPr>
    <w:sdtContent>
      <w:p w:rsidR="009D1A32" w:rsidRDefault="00AE14F4">
        <w:pPr>
          <w:pStyle w:val="Footer"/>
          <w:jc w:val="right"/>
        </w:pPr>
        <w:r>
          <w:fldChar w:fldCharType="begin"/>
        </w:r>
        <w:r>
          <w:instrText xml:space="preserve"> PAGE   \* MERGEFORMAT </w:instrText>
        </w:r>
        <w:r>
          <w:fldChar w:fldCharType="separate"/>
        </w:r>
        <w:r w:rsidR="00085A22">
          <w:rPr>
            <w:noProof/>
          </w:rPr>
          <w:t>27</w:t>
        </w:r>
        <w:r>
          <w:rPr>
            <w:noProof/>
          </w:rPr>
          <w:fldChar w:fldCharType="end"/>
        </w:r>
      </w:p>
    </w:sdtContent>
  </w:sdt>
  <w:p w:rsidR="009D1A32" w:rsidRPr="001F4D64" w:rsidRDefault="00727D3C" w:rsidP="001F4D64">
    <w:pPr>
      <w:pStyle w:val="Footer"/>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4F8B" w:rsidRDefault="00204F8B">
      <w:pPr>
        <w:spacing w:after="0" w:line="240" w:lineRule="auto"/>
      </w:pPr>
      <w:r>
        <w:separator/>
      </w:r>
    </w:p>
  </w:footnote>
  <w:footnote w:type="continuationSeparator" w:id="0">
    <w:p w:rsidR="00204F8B" w:rsidRDefault="00204F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E1E8E"/>
    <w:multiLevelType w:val="hybridMultilevel"/>
    <w:tmpl w:val="A8A2FE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710D96"/>
    <w:multiLevelType w:val="hybridMultilevel"/>
    <w:tmpl w:val="C53E560A"/>
    <w:lvl w:ilvl="0" w:tplc="5066AAF2">
      <w:start w:val="1"/>
      <w:numFmt w:val="bullet"/>
      <w:lvlText w:val="•"/>
      <w:lvlJc w:val="left"/>
      <w:pPr>
        <w:tabs>
          <w:tab w:val="num" w:pos="720"/>
        </w:tabs>
        <w:ind w:left="720" w:hanging="360"/>
      </w:pPr>
      <w:rPr>
        <w:rFonts w:ascii="Arial" w:hAnsi="Arial" w:hint="default"/>
      </w:rPr>
    </w:lvl>
    <w:lvl w:ilvl="1" w:tplc="ABCE75BC" w:tentative="1">
      <w:start w:val="1"/>
      <w:numFmt w:val="bullet"/>
      <w:lvlText w:val="•"/>
      <w:lvlJc w:val="left"/>
      <w:pPr>
        <w:tabs>
          <w:tab w:val="num" w:pos="1440"/>
        </w:tabs>
        <w:ind w:left="1440" w:hanging="360"/>
      </w:pPr>
      <w:rPr>
        <w:rFonts w:ascii="Arial" w:hAnsi="Arial" w:hint="default"/>
      </w:rPr>
    </w:lvl>
    <w:lvl w:ilvl="2" w:tplc="38FEB000" w:tentative="1">
      <w:start w:val="1"/>
      <w:numFmt w:val="bullet"/>
      <w:lvlText w:val="•"/>
      <w:lvlJc w:val="left"/>
      <w:pPr>
        <w:tabs>
          <w:tab w:val="num" w:pos="2160"/>
        </w:tabs>
        <w:ind w:left="2160" w:hanging="360"/>
      </w:pPr>
      <w:rPr>
        <w:rFonts w:ascii="Arial" w:hAnsi="Arial" w:hint="default"/>
      </w:rPr>
    </w:lvl>
    <w:lvl w:ilvl="3" w:tplc="830CFD4C" w:tentative="1">
      <w:start w:val="1"/>
      <w:numFmt w:val="bullet"/>
      <w:lvlText w:val="•"/>
      <w:lvlJc w:val="left"/>
      <w:pPr>
        <w:tabs>
          <w:tab w:val="num" w:pos="2880"/>
        </w:tabs>
        <w:ind w:left="2880" w:hanging="360"/>
      </w:pPr>
      <w:rPr>
        <w:rFonts w:ascii="Arial" w:hAnsi="Arial" w:hint="default"/>
      </w:rPr>
    </w:lvl>
    <w:lvl w:ilvl="4" w:tplc="185CC148" w:tentative="1">
      <w:start w:val="1"/>
      <w:numFmt w:val="bullet"/>
      <w:lvlText w:val="•"/>
      <w:lvlJc w:val="left"/>
      <w:pPr>
        <w:tabs>
          <w:tab w:val="num" w:pos="3600"/>
        </w:tabs>
        <w:ind w:left="3600" w:hanging="360"/>
      </w:pPr>
      <w:rPr>
        <w:rFonts w:ascii="Arial" w:hAnsi="Arial" w:hint="default"/>
      </w:rPr>
    </w:lvl>
    <w:lvl w:ilvl="5" w:tplc="8CBEF1AC" w:tentative="1">
      <w:start w:val="1"/>
      <w:numFmt w:val="bullet"/>
      <w:lvlText w:val="•"/>
      <w:lvlJc w:val="left"/>
      <w:pPr>
        <w:tabs>
          <w:tab w:val="num" w:pos="4320"/>
        </w:tabs>
        <w:ind w:left="4320" w:hanging="360"/>
      </w:pPr>
      <w:rPr>
        <w:rFonts w:ascii="Arial" w:hAnsi="Arial" w:hint="default"/>
      </w:rPr>
    </w:lvl>
    <w:lvl w:ilvl="6" w:tplc="D498620E" w:tentative="1">
      <w:start w:val="1"/>
      <w:numFmt w:val="bullet"/>
      <w:lvlText w:val="•"/>
      <w:lvlJc w:val="left"/>
      <w:pPr>
        <w:tabs>
          <w:tab w:val="num" w:pos="5040"/>
        </w:tabs>
        <w:ind w:left="5040" w:hanging="360"/>
      </w:pPr>
      <w:rPr>
        <w:rFonts w:ascii="Arial" w:hAnsi="Arial" w:hint="default"/>
      </w:rPr>
    </w:lvl>
    <w:lvl w:ilvl="7" w:tplc="11E62176" w:tentative="1">
      <w:start w:val="1"/>
      <w:numFmt w:val="bullet"/>
      <w:lvlText w:val="•"/>
      <w:lvlJc w:val="left"/>
      <w:pPr>
        <w:tabs>
          <w:tab w:val="num" w:pos="5760"/>
        </w:tabs>
        <w:ind w:left="5760" w:hanging="360"/>
      </w:pPr>
      <w:rPr>
        <w:rFonts w:ascii="Arial" w:hAnsi="Arial" w:hint="default"/>
      </w:rPr>
    </w:lvl>
    <w:lvl w:ilvl="8" w:tplc="2D6A95A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DA4DE7"/>
    <w:multiLevelType w:val="hybridMultilevel"/>
    <w:tmpl w:val="989AF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966B99"/>
    <w:multiLevelType w:val="hybridMultilevel"/>
    <w:tmpl w:val="131C7F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D65961"/>
    <w:multiLevelType w:val="hybridMultilevel"/>
    <w:tmpl w:val="47CA94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CB46F5"/>
    <w:multiLevelType w:val="hybridMultilevel"/>
    <w:tmpl w:val="F11C5206"/>
    <w:lvl w:ilvl="0" w:tplc="968AB86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7B6F75"/>
    <w:multiLevelType w:val="hybridMultilevel"/>
    <w:tmpl w:val="7220CD8A"/>
    <w:lvl w:ilvl="0" w:tplc="9FE81F52">
      <w:start w:val="1"/>
      <w:numFmt w:val="decimal"/>
      <w:lvlText w:val="%1)"/>
      <w:lvlJc w:val="left"/>
      <w:pPr>
        <w:tabs>
          <w:tab w:val="num" w:pos="720"/>
        </w:tabs>
        <w:ind w:left="720" w:hanging="360"/>
      </w:pPr>
    </w:lvl>
    <w:lvl w:ilvl="1" w:tplc="EA729BD2">
      <w:start w:val="1"/>
      <w:numFmt w:val="decimal"/>
      <w:lvlText w:val="%2)"/>
      <w:lvlJc w:val="left"/>
      <w:pPr>
        <w:tabs>
          <w:tab w:val="num" w:pos="1440"/>
        </w:tabs>
        <w:ind w:left="1440" w:hanging="360"/>
      </w:pPr>
    </w:lvl>
    <w:lvl w:ilvl="2" w:tplc="2E421BD4" w:tentative="1">
      <w:start w:val="1"/>
      <w:numFmt w:val="decimal"/>
      <w:lvlText w:val="%3)"/>
      <w:lvlJc w:val="left"/>
      <w:pPr>
        <w:tabs>
          <w:tab w:val="num" w:pos="2160"/>
        </w:tabs>
        <w:ind w:left="2160" w:hanging="360"/>
      </w:pPr>
    </w:lvl>
    <w:lvl w:ilvl="3" w:tplc="1B4A3B88" w:tentative="1">
      <w:start w:val="1"/>
      <w:numFmt w:val="decimal"/>
      <w:lvlText w:val="%4)"/>
      <w:lvlJc w:val="left"/>
      <w:pPr>
        <w:tabs>
          <w:tab w:val="num" w:pos="2880"/>
        </w:tabs>
        <w:ind w:left="2880" w:hanging="360"/>
      </w:pPr>
    </w:lvl>
    <w:lvl w:ilvl="4" w:tplc="44C84406" w:tentative="1">
      <w:start w:val="1"/>
      <w:numFmt w:val="decimal"/>
      <w:lvlText w:val="%5)"/>
      <w:lvlJc w:val="left"/>
      <w:pPr>
        <w:tabs>
          <w:tab w:val="num" w:pos="3600"/>
        </w:tabs>
        <w:ind w:left="3600" w:hanging="360"/>
      </w:pPr>
    </w:lvl>
    <w:lvl w:ilvl="5" w:tplc="E4B0FACC" w:tentative="1">
      <w:start w:val="1"/>
      <w:numFmt w:val="decimal"/>
      <w:lvlText w:val="%6)"/>
      <w:lvlJc w:val="left"/>
      <w:pPr>
        <w:tabs>
          <w:tab w:val="num" w:pos="4320"/>
        </w:tabs>
        <w:ind w:left="4320" w:hanging="360"/>
      </w:pPr>
    </w:lvl>
    <w:lvl w:ilvl="6" w:tplc="11A2B068" w:tentative="1">
      <w:start w:val="1"/>
      <w:numFmt w:val="decimal"/>
      <w:lvlText w:val="%7)"/>
      <w:lvlJc w:val="left"/>
      <w:pPr>
        <w:tabs>
          <w:tab w:val="num" w:pos="5040"/>
        </w:tabs>
        <w:ind w:left="5040" w:hanging="360"/>
      </w:pPr>
    </w:lvl>
    <w:lvl w:ilvl="7" w:tplc="146012AE" w:tentative="1">
      <w:start w:val="1"/>
      <w:numFmt w:val="decimal"/>
      <w:lvlText w:val="%8)"/>
      <w:lvlJc w:val="left"/>
      <w:pPr>
        <w:tabs>
          <w:tab w:val="num" w:pos="5760"/>
        </w:tabs>
        <w:ind w:left="5760" w:hanging="360"/>
      </w:pPr>
    </w:lvl>
    <w:lvl w:ilvl="8" w:tplc="F45AE6D8" w:tentative="1">
      <w:start w:val="1"/>
      <w:numFmt w:val="decimal"/>
      <w:lvlText w:val="%9)"/>
      <w:lvlJc w:val="left"/>
      <w:pPr>
        <w:tabs>
          <w:tab w:val="num" w:pos="6480"/>
        </w:tabs>
        <w:ind w:left="6480" w:hanging="360"/>
      </w:pPr>
    </w:lvl>
  </w:abstractNum>
  <w:abstractNum w:abstractNumId="7" w15:restartNumberingAfterBreak="0">
    <w:nsid w:val="20343057"/>
    <w:multiLevelType w:val="hybridMultilevel"/>
    <w:tmpl w:val="586821E0"/>
    <w:lvl w:ilvl="0" w:tplc="0D40CB7A">
      <w:start w:val="1"/>
      <w:numFmt w:val="bullet"/>
      <w:lvlText w:val="•"/>
      <w:lvlJc w:val="left"/>
      <w:pPr>
        <w:tabs>
          <w:tab w:val="num" w:pos="720"/>
        </w:tabs>
        <w:ind w:left="720" w:hanging="360"/>
      </w:pPr>
      <w:rPr>
        <w:rFonts w:ascii="Arial" w:hAnsi="Arial" w:hint="default"/>
      </w:rPr>
    </w:lvl>
    <w:lvl w:ilvl="1" w:tplc="835827E8">
      <w:start w:val="1419"/>
      <w:numFmt w:val="bullet"/>
      <w:lvlText w:val="–"/>
      <w:lvlJc w:val="left"/>
      <w:pPr>
        <w:tabs>
          <w:tab w:val="num" w:pos="1440"/>
        </w:tabs>
        <w:ind w:left="1440" w:hanging="360"/>
      </w:pPr>
      <w:rPr>
        <w:rFonts w:ascii="Arial" w:hAnsi="Arial" w:hint="default"/>
      </w:rPr>
    </w:lvl>
    <w:lvl w:ilvl="2" w:tplc="37E230E8">
      <w:start w:val="1419"/>
      <w:numFmt w:val="bullet"/>
      <w:lvlText w:val="•"/>
      <w:lvlJc w:val="left"/>
      <w:pPr>
        <w:tabs>
          <w:tab w:val="num" w:pos="2160"/>
        </w:tabs>
        <w:ind w:left="2160" w:hanging="360"/>
      </w:pPr>
      <w:rPr>
        <w:rFonts w:ascii="Arial" w:hAnsi="Arial" w:hint="default"/>
      </w:rPr>
    </w:lvl>
    <w:lvl w:ilvl="3" w:tplc="9FE81100" w:tentative="1">
      <w:start w:val="1"/>
      <w:numFmt w:val="bullet"/>
      <w:lvlText w:val="•"/>
      <w:lvlJc w:val="left"/>
      <w:pPr>
        <w:tabs>
          <w:tab w:val="num" w:pos="2880"/>
        </w:tabs>
        <w:ind w:left="2880" w:hanging="360"/>
      </w:pPr>
      <w:rPr>
        <w:rFonts w:ascii="Arial" w:hAnsi="Arial" w:hint="default"/>
      </w:rPr>
    </w:lvl>
    <w:lvl w:ilvl="4" w:tplc="97DEC6BE" w:tentative="1">
      <w:start w:val="1"/>
      <w:numFmt w:val="bullet"/>
      <w:lvlText w:val="•"/>
      <w:lvlJc w:val="left"/>
      <w:pPr>
        <w:tabs>
          <w:tab w:val="num" w:pos="3600"/>
        </w:tabs>
        <w:ind w:left="3600" w:hanging="360"/>
      </w:pPr>
      <w:rPr>
        <w:rFonts w:ascii="Arial" w:hAnsi="Arial" w:hint="default"/>
      </w:rPr>
    </w:lvl>
    <w:lvl w:ilvl="5" w:tplc="F912D852" w:tentative="1">
      <w:start w:val="1"/>
      <w:numFmt w:val="bullet"/>
      <w:lvlText w:val="•"/>
      <w:lvlJc w:val="left"/>
      <w:pPr>
        <w:tabs>
          <w:tab w:val="num" w:pos="4320"/>
        </w:tabs>
        <w:ind w:left="4320" w:hanging="360"/>
      </w:pPr>
      <w:rPr>
        <w:rFonts w:ascii="Arial" w:hAnsi="Arial" w:hint="default"/>
      </w:rPr>
    </w:lvl>
    <w:lvl w:ilvl="6" w:tplc="3A30AE9E" w:tentative="1">
      <w:start w:val="1"/>
      <w:numFmt w:val="bullet"/>
      <w:lvlText w:val="•"/>
      <w:lvlJc w:val="left"/>
      <w:pPr>
        <w:tabs>
          <w:tab w:val="num" w:pos="5040"/>
        </w:tabs>
        <w:ind w:left="5040" w:hanging="360"/>
      </w:pPr>
      <w:rPr>
        <w:rFonts w:ascii="Arial" w:hAnsi="Arial" w:hint="default"/>
      </w:rPr>
    </w:lvl>
    <w:lvl w:ilvl="7" w:tplc="95FEAC6C" w:tentative="1">
      <w:start w:val="1"/>
      <w:numFmt w:val="bullet"/>
      <w:lvlText w:val="•"/>
      <w:lvlJc w:val="left"/>
      <w:pPr>
        <w:tabs>
          <w:tab w:val="num" w:pos="5760"/>
        </w:tabs>
        <w:ind w:left="5760" w:hanging="360"/>
      </w:pPr>
      <w:rPr>
        <w:rFonts w:ascii="Arial" w:hAnsi="Arial" w:hint="default"/>
      </w:rPr>
    </w:lvl>
    <w:lvl w:ilvl="8" w:tplc="50820F3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1915AC"/>
    <w:multiLevelType w:val="hybridMultilevel"/>
    <w:tmpl w:val="2C6234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A17DA"/>
    <w:multiLevelType w:val="hybridMultilevel"/>
    <w:tmpl w:val="BDDC17D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6677A3"/>
    <w:multiLevelType w:val="hybridMultilevel"/>
    <w:tmpl w:val="B882F7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3C4C53"/>
    <w:multiLevelType w:val="hybridMultilevel"/>
    <w:tmpl w:val="AD46C12C"/>
    <w:lvl w:ilvl="0" w:tplc="6B029024">
      <w:start w:val="1"/>
      <w:numFmt w:val="decimal"/>
      <w:lvlText w:val="%1)"/>
      <w:lvlJc w:val="left"/>
      <w:pPr>
        <w:tabs>
          <w:tab w:val="num" w:pos="720"/>
        </w:tabs>
        <w:ind w:left="720" w:hanging="360"/>
      </w:pPr>
    </w:lvl>
    <w:lvl w:ilvl="1" w:tplc="2E34F2D0" w:tentative="1">
      <w:start w:val="1"/>
      <w:numFmt w:val="decimal"/>
      <w:lvlText w:val="%2)"/>
      <w:lvlJc w:val="left"/>
      <w:pPr>
        <w:tabs>
          <w:tab w:val="num" w:pos="1440"/>
        </w:tabs>
        <w:ind w:left="1440" w:hanging="360"/>
      </w:pPr>
    </w:lvl>
    <w:lvl w:ilvl="2" w:tplc="BB263964" w:tentative="1">
      <w:start w:val="1"/>
      <w:numFmt w:val="decimal"/>
      <w:lvlText w:val="%3)"/>
      <w:lvlJc w:val="left"/>
      <w:pPr>
        <w:tabs>
          <w:tab w:val="num" w:pos="2160"/>
        </w:tabs>
        <w:ind w:left="2160" w:hanging="360"/>
      </w:pPr>
    </w:lvl>
    <w:lvl w:ilvl="3" w:tplc="1CB6BCB8" w:tentative="1">
      <w:start w:val="1"/>
      <w:numFmt w:val="decimal"/>
      <w:lvlText w:val="%4)"/>
      <w:lvlJc w:val="left"/>
      <w:pPr>
        <w:tabs>
          <w:tab w:val="num" w:pos="2880"/>
        </w:tabs>
        <w:ind w:left="2880" w:hanging="360"/>
      </w:pPr>
    </w:lvl>
    <w:lvl w:ilvl="4" w:tplc="73F62466" w:tentative="1">
      <w:start w:val="1"/>
      <w:numFmt w:val="decimal"/>
      <w:lvlText w:val="%5)"/>
      <w:lvlJc w:val="left"/>
      <w:pPr>
        <w:tabs>
          <w:tab w:val="num" w:pos="3600"/>
        </w:tabs>
        <w:ind w:left="3600" w:hanging="360"/>
      </w:pPr>
    </w:lvl>
    <w:lvl w:ilvl="5" w:tplc="BB064E32" w:tentative="1">
      <w:start w:val="1"/>
      <w:numFmt w:val="decimal"/>
      <w:lvlText w:val="%6)"/>
      <w:lvlJc w:val="left"/>
      <w:pPr>
        <w:tabs>
          <w:tab w:val="num" w:pos="4320"/>
        </w:tabs>
        <w:ind w:left="4320" w:hanging="360"/>
      </w:pPr>
    </w:lvl>
    <w:lvl w:ilvl="6" w:tplc="688093A2" w:tentative="1">
      <w:start w:val="1"/>
      <w:numFmt w:val="decimal"/>
      <w:lvlText w:val="%7)"/>
      <w:lvlJc w:val="left"/>
      <w:pPr>
        <w:tabs>
          <w:tab w:val="num" w:pos="5040"/>
        </w:tabs>
        <w:ind w:left="5040" w:hanging="360"/>
      </w:pPr>
    </w:lvl>
    <w:lvl w:ilvl="7" w:tplc="2DF4349A" w:tentative="1">
      <w:start w:val="1"/>
      <w:numFmt w:val="decimal"/>
      <w:lvlText w:val="%8)"/>
      <w:lvlJc w:val="left"/>
      <w:pPr>
        <w:tabs>
          <w:tab w:val="num" w:pos="5760"/>
        </w:tabs>
        <w:ind w:left="5760" w:hanging="360"/>
      </w:pPr>
    </w:lvl>
    <w:lvl w:ilvl="8" w:tplc="7264F604" w:tentative="1">
      <w:start w:val="1"/>
      <w:numFmt w:val="decimal"/>
      <w:lvlText w:val="%9)"/>
      <w:lvlJc w:val="left"/>
      <w:pPr>
        <w:tabs>
          <w:tab w:val="num" w:pos="6480"/>
        </w:tabs>
        <w:ind w:left="6480" w:hanging="360"/>
      </w:pPr>
    </w:lvl>
  </w:abstractNum>
  <w:abstractNum w:abstractNumId="12" w15:restartNumberingAfterBreak="0">
    <w:nsid w:val="31315CCB"/>
    <w:multiLevelType w:val="hybridMultilevel"/>
    <w:tmpl w:val="3F0E7F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3B33D7"/>
    <w:multiLevelType w:val="hybridMultilevel"/>
    <w:tmpl w:val="1B70DC84"/>
    <w:lvl w:ilvl="0" w:tplc="2E96AF16">
      <w:start w:val="2"/>
      <w:numFmt w:val="decimal"/>
      <w:lvlText w:val="%1)"/>
      <w:lvlJc w:val="left"/>
      <w:pPr>
        <w:tabs>
          <w:tab w:val="num" w:pos="720"/>
        </w:tabs>
        <w:ind w:left="720" w:hanging="360"/>
      </w:pPr>
    </w:lvl>
    <w:lvl w:ilvl="1" w:tplc="65C00FA6" w:tentative="1">
      <w:start w:val="1"/>
      <w:numFmt w:val="decimal"/>
      <w:lvlText w:val="%2)"/>
      <w:lvlJc w:val="left"/>
      <w:pPr>
        <w:tabs>
          <w:tab w:val="num" w:pos="1440"/>
        </w:tabs>
        <w:ind w:left="1440" w:hanging="360"/>
      </w:pPr>
    </w:lvl>
    <w:lvl w:ilvl="2" w:tplc="C9D2FE56" w:tentative="1">
      <w:start w:val="1"/>
      <w:numFmt w:val="decimal"/>
      <w:lvlText w:val="%3)"/>
      <w:lvlJc w:val="left"/>
      <w:pPr>
        <w:tabs>
          <w:tab w:val="num" w:pos="2160"/>
        </w:tabs>
        <w:ind w:left="2160" w:hanging="360"/>
      </w:pPr>
    </w:lvl>
    <w:lvl w:ilvl="3" w:tplc="D026CC74" w:tentative="1">
      <w:start w:val="1"/>
      <w:numFmt w:val="decimal"/>
      <w:lvlText w:val="%4)"/>
      <w:lvlJc w:val="left"/>
      <w:pPr>
        <w:tabs>
          <w:tab w:val="num" w:pos="2880"/>
        </w:tabs>
        <w:ind w:left="2880" w:hanging="360"/>
      </w:pPr>
    </w:lvl>
    <w:lvl w:ilvl="4" w:tplc="0F80DE66" w:tentative="1">
      <w:start w:val="1"/>
      <w:numFmt w:val="decimal"/>
      <w:lvlText w:val="%5)"/>
      <w:lvlJc w:val="left"/>
      <w:pPr>
        <w:tabs>
          <w:tab w:val="num" w:pos="3600"/>
        </w:tabs>
        <w:ind w:left="3600" w:hanging="360"/>
      </w:pPr>
    </w:lvl>
    <w:lvl w:ilvl="5" w:tplc="709CAA76" w:tentative="1">
      <w:start w:val="1"/>
      <w:numFmt w:val="decimal"/>
      <w:lvlText w:val="%6)"/>
      <w:lvlJc w:val="left"/>
      <w:pPr>
        <w:tabs>
          <w:tab w:val="num" w:pos="4320"/>
        </w:tabs>
        <w:ind w:left="4320" w:hanging="360"/>
      </w:pPr>
    </w:lvl>
    <w:lvl w:ilvl="6" w:tplc="0D32891C" w:tentative="1">
      <w:start w:val="1"/>
      <w:numFmt w:val="decimal"/>
      <w:lvlText w:val="%7)"/>
      <w:lvlJc w:val="left"/>
      <w:pPr>
        <w:tabs>
          <w:tab w:val="num" w:pos="5040"/>
        </w:tabs>
        <w:ind w:left="5040" w:hanging="360"/>
      </w:pPr>
    </w:lvl>
    <w:lvl w:ilvl="7" w:tplc="63F4DF24" w:tentative="1">
      <w:start w:val="1"/>
      <w:numFmt w:val="decimal"/>
      <w:lvlText w:val="%8)"/>
      <w:lvlJc w:val="left"/>
      <w:pPr>
        <w:tabs>
          <w:tab w:val="num" w:pos="5760"/>
        </w:tabs>
        <w:ind w:left="5760" w:hanging="360"/>
      </w:pPr>
    </w:lvl>
    <w:lvl w:ilvl="8" w:tplc="24120D96" w:tentative="1">
      <w:start w:val="1"/>
      <w:numFmt w:val="decimal"/>
      <w:lvlText w:val="%9)"/>
      <w:lvlJc w:val="left"/>
      <w:pPr>
        <w:tabs>
          <w:tab w:val="num" w:pos="6480"/>
        </w:tabs>
        <w:ind w:left="6480" w:hanging="360"/>
      </w:pPr>
    </w:lvl>
  </w:abstractNum>
  <w:abstractNum w:abstractNumId="14" w15:restartNumberingAfterBreak="0">
    <w:nsid w:val="3487660B"/>
    <w:multiLevelType w:val="hybridMultilevel"/>
    <w:tmpl w:val="FEEC3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8D2682"/>
    <w:multiLevelType w:val="hybridMultilevel"/>
    <w:tmpl w:val="5950D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86C85"/>
    <w:multiLevelType w:val="hybridMultilevel"/>
    <w:tmpl w:val="1ADEFE64"/>
    <w:lvl w:ilvl="0" w:tplc="DDD02066">
      <w:start w:val="1"/>
      <w:numFmt w:val="decimal"/>
      <w:lvlText w:val="%1)"/>
      <w:lvlJc w:val="left"/>
      <w:pPr>
        <w:tabs>
          <w:tab w:val="num" w:pos="720"/>
        </w:tabs>
        <w:ind w:left="720" w:hanging="360"/>
      </w:pPr>
    </w:lvl>
    <w:lvl w:ilvl="1" w:tplc="6038AC50" w:tentative="1">
      <w:start w:val="1"/>
      <w:numFmt w:val="decimal"/>
      <w:lvlText w:val="%2)"/>
      <w:lvlJc w:val="left"/>
      <w:pPr>
        <w:tabs>
          <w:tab w:val="num" w:pos="1440"/>
        </w:tabs>
        <w:ind w:left="1440" w:hanging="360"/>
      </w:pPr>
    </w:lvl>
    <w:lvl w:ilvl="2" w:tplc="078AB9C6" w:tentative="1">
      <w:start w:val="1"/>
      <w:numFmt w:val="decimal"/>
      <w:lvlText w:val="%3)"/>
      <w:lvlJc w:val="left"/>
      <w:pPr>
        <w:tabs>
          <w:tab w:val="num" w:pos="2160"/>
        </w:tabs>
        <w:ind w:left="2160" w:hanging="360"/>
      </w:pPr>
    </w:lvl>
    <w:lvl w:ilvl="3" w:tplc="61FA4FFE" w:tentative="1">
      <w:start w:val="1"/>
      <w:numFmt w:val="decimal"/>
      <w:lvlText w:val="%4)"/>
      <w:lvlJc w:val="left"/>
      <w:pPr>
        <w:tabs>
          <w:tab w:val="num" w:pos="2880"/>
        </w:tabs>
        <w:ind w:left="2880" w:hanging="360"/>
      </w:pPr>
    </w:lvl>
    <w:lvl w:ilvl="4" w:tplc="4D46D0B6" w:tentative="1">
      <w:start w:val="1"/>
      <w:numFmt w:val="decimal"/>
      <w:lvlText w:val="%5)"/>
      <w:lvlJc w:val="left"/>
      <w:pPr>
        <w:tabs>
          <w:tab w:val="num" w:pos="3600"/>
        </w:tabs>
        <w:ind w:left="3600" w:hanging="360"/>
      </w:pPr>
    </w:lvl>
    <w:lvl w:ilvl="5" w:tplc="72A6C18E" w:tentative="1">
      <w:start w:val="1"/>
      <w:numFmt w:val="decimal"/>
      <w:lvlText w:val="%6)"/>
      <w:lvlJc w:val="left"/>
      <w:pPr>
        <w:tabs>
          <w:tab w:val="num" w:pos="4320"/>
        </w:tabs>
        <w:ind w:left="4320" w:hanging="360"/>
      </w:pPr>
    </w:lvl>
    <w:lvl w:ilvl="6" w:tplc="03FE871A" w:tentative="1">
      <w:start w:val="1"/>
      <w:numFmt w:val="decimal"/>
      <w:lvlText w:val="%7)"/>
      <w:lvlJc w:val="left"/>
      <w:pPr>
        <w:tabs>
          <w:tab w:val="num" w:pos="5040"/>
        </w:tabs>
        <w:ind w:left="5040" w:hanging="360"/>
      </w:pPr>
    </w:lvl>
    <w:lvl w:ilvl="7" w:tplc="98568238" w:tentative="1">
      <w:start w:val="1"/>
      <w:numFmt w:val="decimal"/>
      <w:lvlText w:val="%8)"/>
      <w:lvlJc w:val="left"/>
      <w:pPr>
        <w:tabs>
          <w:tab w:val="num" w:pos="5760"/>
        </w:tabs>
        <w:ind w:left="5760" w:hanging="360"/>
      </w:pPr>
    </w:lvl>
    <w:lvl w:ilvl="8" w:tplc="0C8E283C" w:tentative="1">
      <w:start w:val="1"/>
      <w:numFmt w:val="decimal"/>
      <w:lvlText w:val="%9)"/>
      <w:lvlJc w:val="left"/>
      <w:pPr>
        <w:tabs>
          <w:tab w:val="num" w:pos="6480"/>
        </w:tabs>
        <w:ind w:left="6480" w:hanging="360"/>
      </w:pPr>
    </w:lvl>
  </w:abstractNum>
  <w:abstractNum w:abstractNumId="17" w15:restartNumberingAfterBreak="0">
    <w:nsid w:val="42C138A0"/>
    <w:multiLevelType w:val="hybridMultilevel"/>
    <w:tmpl w:val="1ADEFE64"/>
    <w:lvl w:ilvl="0" w:tplc="DDD02066">
      <w:start w:val="1"/>
      <w:numFmt w:val="decimal"/>
      <w:lvlText w:val="%1)"/>
      <w:lvlJc w:val="left"/>
      <w:pPr>
        <w:tabs>
          <w:tab w:val="num" w:pos="720"/>
        </w:tabs>
        <w:ind w:left="720" w:hanging="360"/>
      </w:pPr>
    </w:lvl>
    <w:lvl w:ilvl="1" w:tplc="6038AC50" w:tentative="1">
      <w:start w:val="1"/>
      <w:numFmt w:val="decimal"/>
      <w:lvlText w:val="%2)"/>
      <w:lvlJc w:val="left"/>
      <w:pPr>
        <w:tabs>
          <w:tab w:val="num" w:pos="1440"/>
        </w:tabs>
        <w:ind w:left="1440" w:hanging="360"/>
      </w:pPr>
    </w:lvl>
    <w:lvl w:ilvl="2" w:tplc="078AB9C6" w:tentative="1">
      <w:start w:val="1"/>
      <w:numFmt w:val="decimal"/>
      <w:lvlText w:val="%3)"/>
      <w:lvlJc w:val="left"/>
      <w:pPr>
        <w:tabs>
          <w:tab w:val="num" w:pos="2160"/>
        </w:tabs>
        <w:ind w:left="2160" w:hanging="360"/>
      </w:pPr>
    </w:lvl>
    <w:lvl w:ilvl="3" w:tplc="61FA4FFE" w:tentative="1">
      <w:start w:val="1"/>
      <w:numFmt w:val="decimal"/>
      <w:lvlText w:val="%4)"/>
      <w:lvlJc w:val="left"/>
      <w:pPr>
        <w:tabs>
          <w:tab w:val="num" w:pos="2880"/>
        </w:tabs>
        <w:ind w:left="2880" w:hanging="360"/>
      </w:pPr>
    </w:lvl>
    <w:lvl w:ilvl="4" w:tplc="4D46D0B6" w:tentative="1">
      <w:start w:val="1"/>
      <w:numFmt w:val="decimal"/>
      <w:lvlText w:val="%5)"/>
      <w:lvlJc w:val="left"/>
      <w:pPr>
        <w:tabs>
          <w:tab w:val="num" w:pos="3600"/>
        </w:tabs>
        <w:ind w:left="3600" w:hanging="360"/>
      </w:pPr>
    </w:lvl>
    <w:lvl w:ilvl="5" w:tplc="72A6C18E" w:tentative="1">
      <w:start w:val="1"/>
      <w:numFmt w:val="decimal"/>
      <w:lvlText w:val="%6)"/>
      <w:lvlJc w:val="left"/>
      <w:pPr>
        <w:tabs>
          <w:tab w:val="num" w:pos="4320"/>
        </w:tabs>
        <w:ind w:left="4320" w:hanging="360"/>
      </w:pPr>
    </w:lvl>
    <w:lvl w:ilvl="6" w:tplc="03FE871A" w:tentative="1">
      <w:start w:val="1"/>
      <w:numFmt w:val="decimal"/>
      <w:lvlText w:val="%7)"/>
      <w:lvlJc w:val="left"/>
      <w:pPr>
        <w:tabs>
          <w:tab w:val="num" w:pos="5040"/>
        </w:tabs>
        <w:ind w:left="5040" w:hanging="360"/>
      </w:pPr>
    </w:lvl>
    <w:lvl w:ilvl="7" w:tplc="98568238" w:tentative="1">
      <w:start w:val="1"/>
      <w:numFmt w:val="decimal"/>
      <w:lvlText w:val="%8)"/>
      <w:lvlJc w:val="left"/>
      <w:pPr>
        <w:tabs>
          <w:tab w:val="num" w:pos="5760"/>
        </w:tabs>
        <w:ind w:left="5760" w:hanging="360"/>
      </w:pPr>
    </w:lvl>
    <w:lvl w:ilvl="8" w:tplc="0C8E283C" w:tentative="1">
      <w:start w:val="1"/>
      <w:numFmt w:val="decimal"/>
      <w:lvlText w:val="%9)"/>
      <w:lvlJc w:val="left"/>
      <w:pPr>
        <w:tabs>
          <w:tab w:val="num" w:pos="6480"/>
        </w:tabs>
        <w:ind w:left="6480" w:hanging="360"/>
      </w:pPr>
    </w:lvl>
  </w:abstractNum>
  <w:abstractNum w:abstractNumId="18" w15:restartNumberingAfterBreak="0">
    <w:nsid w:val="453C4762"/>
    <w:multiLevelType w:val="hybridMultilevel"/>
    <w:tmpl w:val="A2566632"/>
    <w:lvl w:ilvl="0" w:tplc="2CDC7F02">
      <w:start w:val="1"/>
      <w:numFmt w:val="bullet"/>
      <w:lvlText w:val="•"/>
      <w:lvlJc w:val="left"/>
      <w:pPr>
        <w:tabs>
          <w:tab w:val="num" w:pos="720"/>
        </w:tabs>
        <w:ind w:left="720" w:hanging="360"/>
      </w:pPr>
      <w:rPr>
        <w:rFonts w:ascii="Arial" w:hAnsi="Arial" w:hint="default"/>
      </w:rPr>
    </w:lvl>
    <w:lvl w:ilvl="1" w:tplc="D38A0E38">
      <w:start w:val="499"/>
      <w:numFmt w:val="bullet"/>
      <w:lvlText w:val="–"/>
      <w:lvlJc w:val="left"/>
      <w:pPr>
        <w:tabs>
          <w:tab w:val="num" w:pos="1440"/>
        </w:tabs>
        <w:ind w:left="1440" w:hanging="360"/>
      </w:pPr>
      <w:rPr>
        <w:rFonts w:ascii="Arial" w:hAnsi="Arial" w:hint="default"/>
      </w:rPr>
    </w:lvl>
    <w:lvl w:ilvl="2" w:tplc="FC98DEA6">
      <w:start w:val="499"/>
      <w:numFmt w:val="bullet"/>
      <w:lvlText w:val="•"/>
      <w:lvlJc w:val="left"/>
      <w:pPr>
        <w:tabs>
          <w:tab w:val="num" w:pos="2160"/>
        </w:tabs>
        <w:ind w:left="2160" w:hanging="360"/>
      </w:pPr>
      <w:rPr>
        <w:rFonts w:ascii="Arial" w:hAnsi="Arial" w:hint="default"/>
      </w:rPr>
    </w:lvl>
    <w:lvl w:ilvl="3" w:tplc="1F849294" w:tentative="1">
      <w:start w:val="1"/>
      <w:numFmt w:val="bullet"/>
      <w:lvlText w:val="•"/>
      <w:lvlJc w:val="left"/>
      <w:pPr>
        <w:tabs>
          <w:tab w:val="num" w:pos="2880"/>
        </w:tabs>
        <w:ind w:left="2880" w:hanging="360"/>
      </w:pPr>
      <w:rPr>
        <w:rFonts w:ascii="Arial" w:hAnsi="Arial" w:hint="default"/>
      </w:rPr>
    </w:lvl>
    <w:lvl w:ilvl="4" w:tplc="D1CAE386" w:tentative="1">
      <w:start w:val="1"/>
      <w:numFmt w:val="bullet"/>
      <w:lvlText w:val="•"/>
      <w:lvlJc w:val="left"/>
      <w:pPr>
        <w:tabs>
          <w:tab w:val="num" w:pos="3600"/>
        </w:tabs>
        <w:ind w:left="3600" w:hanging="360"/>
      </w:pPr>
      <w:rPr>
        <w:rFonts w:ascii="Arial" w:hAnsi="Arial" w:hint="default"/>
      </w:rPr>
    </w:lvl>
    <w:lvl w:ilvl="5" w:tplc="0DB8CB26" w:tentative="1">
      <w:start w:val="1"/>
      <w:numFmt w:val="bullet"/>
      <w:lvlText w:val="•"/>
      <w:lvlJc w:val="left"/>
      <w:pPr>
        <w:tabs>
          <w:tab w:val="num" w:pos="4320"/>
        </w:tabs>
        <w:ind w:left="4320" w:hanging="360"/>
      </w:pPr>
      <w:rPr>
        <w:rFonts w:ascii="Arial" w:hAnsi="Arial" w:hint="default"/>
      </w:rPr>
    </w:lvl>
    <w:lvl w:ilvl="6" w:tplc="26C24942" w:tentative="1">
      <w:start w:val="1"/>
      <w:numFmt w:val="bullet"/>
      <w:lvlText w:val="•"/>
      <w:lvlJc w:val="left"/>
      <w:pPr>
        <w:tabs>
          <w:tab w:val="num" w:pos="5040"/>
        </w:tabs>
        <w:ind w:left="5040" w:hanging="360"/>
      </w:pPr>
      <w:rPr>
        <w:rFonts w:ascii="Arial" w:hAnsi="Arial" w:hint="default"/>
      </w:rPr>
    </w:lvl>
    <w:lvl w:ilvl="7" w:tplc="D394631A" w:tentative="1">
      <w:start w:val="1"/>
      <w:numFmt w:val="bullet"/>
      <w:lvlText w:val="•"/>
      <w:lvlJc w:val="left"/>
      <w:pPr>
        <w:tabs>
          <w:tab w:val="num" w:pos="5760"/>
        </w:tabs>
        <w:ind w:left="5760" w:hanging="360"/>
      </w:pPr>
      <w:rPr>
        <w:rFonts w:ascii="Arial" w:hAnsi="Arial" w:hint="default"/>
      </w:rPr>
    </w:lvl>
    <w:lvl w:ilvl="8" w:tplc="5106C7E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6305414"/>
    <w:multiLevelType w:val="hybridMultilevel"/>
    <w:tmpl w:val="BDDC17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B23E67"/>
    <w:multiLevelType w:val="hybridMultilevel"/>
    <w:tmpl w:val="7220CD8A"/>
    <w:lvl w:ilvl="0" w:tplc="9FE81F52">
      <w:start w:val="1"/>
      <w:numFmt w:val="decimal"/>
      <w:lvlText w:val="%1)"/>
      <w:lvlJc w:val="left"/>
      <w:pPr>
        <w:tabs>
          <w:tab w:val="num" w:pos="720"/>
        </w:tabs>
        <w:ind w:left="720" w:hanging="360"/>
      </w:pPr>
    </w:lvl>
    <w:lvl w:ilvl="1" w:tplc="EA729BD2" w:tentative="1">
      <w:start w:val="1"/>
      <w:numFmt w:val="decimal"/>
      <w:lvlText w:val="%2)"/>
      <w:lvlJc w:val="left"/>
      <w:pPr>
        <w:tabs>
          <w:tab w:val="num" w:pos="1440"/>
        </w:tabs>
        <w:ind w:left="1440" w:hanging="360"/>
      </w:pPr>
    </w:lvl>
    <w:lvl w:ilvl="2" w:tplc="2E421BD4" w:tentative="1">
      <w:start w:val="1"/>
      <w:numFmt w:val="decimal"/>
      <w:lvlText w:val="%3)"/>
      <w:lvlJc w:val="left"/>
      <w:pPr>
        <w:tabs>
          <w:tab w:val="num" w:pos="2160"/>
        </w:tabs>
        <w:ind w:left="2160" w:hanging="360"/>
      </w:pPr>
    </w:lvl>
    <w:lvl w:ilvl="3" w:tplc="1B4A3B88" w:tentative="1">
      <w:start w:val="1"/>
      <w:numFmt w:val="decimal"/>
      <w:lvlText w:val="%4)"/>
      <w:lvlJc w:val="left"/>
      <w:pPr>
        <w:tabs>
          <w:tab w:val="num" w:pos="2880"/>
        </w:tabs>
        <w:ind w:left="2880" w:hanging="360"/>
      </w:pPr>
    </w:lvl>
    <w:lvl w:ilvl="4" w:tplc="44C84406" w:tentative="1">
      <w:start w:val="1"/>
      <w:numFmt w:val="decimal"/>
      <w:lvlText w:val="%5)"/>
      <w:lvlJc w:val="left"/>
      <w:pPr>
        <w:tabs>
          <w:tab w:val="num" w:pos="3600"/>
        </w:tabs>
        <w:ind w:left="3600" w:hanging="360"/>
      </w:pPr>
    </w:lvl>
    <w:lvl w:ilvl="5" w:tplc="E4B0FACC" w:tentative="1">
      <w:start w:val="1"/>
      <w:numFmt w:val="decimal"/>
      <w:lvlText w:val="%6)"/>
      <w:lvlJc w:val="left"/>
      <w:pPr>
        <w:tabs>
          <w:tab w:val="num" w:pos="4320"/>
        </w:tabs>
        <w:ind w:left="4320" w:hanging="360"/>
      </w:pPr>
    </w:lvl>
    <w:lvl w:ilvl="6" w:tplc="11A2B068" w:tentative="1">
      <w:start w:val="1"/>
      <w:numFmt w:val="decimal"/>
      <w:lvlText w:val="%7)"/>
      <w:lvlJc w:val="left"/>
      <w:pPr>
        <w:tabs>
          <w:tab w:val="num" w:pos="5040"/>
        </w:tabs>
        <w:ind w:left="5040" w:hanging="360"/>
      </w:pPr>
    </w:lvl>
    <w:lvl w:ilvl="7" w:tplc="146012AE" w:tentative="1">
      <w:start w:val="1"/>
      <w:numFmt w:val="decimal"/>
      <w:lvlText w:val="%8)"/>
      <w:lvlJc w:val="left"/>
      <w:pPr>
        <w:tabs>
          <w:tab w:val="num" w:pos="5760"/>
        </w:tabs>
        <w:ind w:left="5760" w:hanging="360"/>
      </w:pPr>
    </w:lvl>
    <w:lvl w:ilvl="8" w:tplc="F45AE6D8" w:tentative="1">
      <w:start w:val="1"/>
      <w:numFmt w:val="decimal"/>
      <w:lvlText w:val="%9)"/>
      <w:lvlJc w:val="left"/>
      <w:pPr>
        <w:tabs>
          <w:tab w:val="num" w:pos="6480"/>
        </w:tabs>
        <w:ind w:left="6480" w:hanging="360"/>
      </w:pPr>
    </w:lvl>
  </w:abstractNum>
  <w:abstractNum w:abstractNumId="21" w15:restartNumberingAfterBreak="0">
    <w:nsid w:val="56D57987"/>
    <w:multiLevelType w:val="hybridMultilevel"/>
    <w:tmpl w:val="E4EE16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7620BE"/>
    <w:multiLevelType w:val="hybridMultilevel"/>
    <w:tmpl w:val="AB0A193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6259443D"/>
    <w:multiLevelType w:val="hybridMultilevel"/>
    <w:tmpl w:val="D86C2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C05F4A"/>
    <w:multiLevelType w:val="hybridMultilevel"/>
    <w:tmpl w:val="395276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9800B7"/>
    <w:multiLevelType w:val="hybridMultilevel"/>
    <w:tmpl w:val="921831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557849"/>
    <w:multiLevelType w:val="hybridMultilevel"/>
    <w:tmpl w:val="D98E9F1A"/>
    <w:lvl w:ilvl="0" w:tplc="6A547BB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2FC74CC"/>
    <w:multiLevelType w:val="hybridMultilevel"/>
    <w:tmpl w:val="B882F7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1E3FB7"/>
    <w:multiLevelType w:val="hybridMultilevel"/>
    <w:tmpl w:val="53EC01BE"/>
    <w:lvl w:ilvl="0" w:tplc="9FE81F52">
      <w:start w:val="1"/>
      <w:numFmt w:val="decimal"/>
      <w:lvlText w:val="%1)"/>
      <w:lvlJc w:val="left"/>
      <w:pPr>
        <w:tabs>
          <w:tab w:val="num" w:pos="720"/>
        </w:tabs>
        <w:ind w:left="720" w:hanging="360"/>
      </w:pPr>
    </w:lvl>
    <w:lvl w:ilvl="1" w:tplc="715C67F0">
      <w:start w:val="10"/>
      <w:numFmt w:val="bullet"/>
      <w:lvlText w:val="-"/>
      <w:lvlJc w:val="left"/>
      <w:pPr>
        <w:tabs>
          <w:tab w:val="num" w:pos="1440"/>
        </w:tabs>
        <w:ind w:left="1440" w:hanging="360"/>
      </w:pPr>
      <w:rPr>
        <w:rFonts w:ascii="Times New Roman" w:eastAsiaTheme="minorHAnsi" w:hAnsi="Times New Roman" w:cs="Times New Roman" w:hint="default"/>
      </w:rPr>
    </w:lvl>
    <w:lvl w:ilvl="2" w:tplc="111A8B16">
      <w:start w:val="1"/>
      <w:numFmt w:val="bullet"/>
      <w:lvlText w:val=""/>
      <w:lvlJc w:val="left"/>
      <w:pPr>
        <w:ind w:left="2160" w:hanging="360"/>
      </w:pPr>
      <w:rPr>
        <w:rFonts w:ascii="Symbol" w:eastAsia="Times New Roman" w:hAnsi="Symbol" w:cs="Times New Roman" w:hint="default"/>
        <w:color w:val="000000"/>
      </w:rPr>
    </w:lvl>
    <w:lvl w:ilvl="3" w:tplc="1B4A3B88" w:tentative="1">
      <w:start w:val="1"/>
      <w:numFmt w:val="decimal"/>
      <w:lvlText w:val="%4)"/>
      <w:lvlJc w:val="left"/>
      <w:pPr>
        <w:tabs>
          <w:tab w:val="num" w:pos="2880"/>
        </w:tabs>
        <w:ind w:left="2880" w:hanging="360"/>
      </w:pPr>
    </w:lvl>
    <w:lvl w:ilvl="4" w:tplc="44C84406" w:tentative="1">
      <w:start w:val="1"/>
      <w:numFmt w:val="decimal"/>
      <w:lvlText w:val="%5)"/>
      <w:lvlJc w:val="left"/>
      <w:pPr>
        <w:tabs>
          <w:tab w:val="num" w:pos="3600"/>
        </w:tabs>
        <w:ind w:left="3600" w:hanging="360"/>
      </w:pPr>
    </w:lvl>
    <w:lvl w:ilvl="5" w:tplc="E4B0FACC" w:tentative="1">
      <w:start w:val="1"/>
      <w:numFmt w:val="decimal"/>
      <w:lvlText w:val="%6)"/>
      <w:lvlJc w:val="left"/>
      <w:pPr>
        <w:tabs>
          <w:tab w:val="num" w:pos="4320"/>
        </w:tabs>
        <w:ind w:left="4320" w:hanging="360"/>
      </w:pPr>
    </w:lvl>
    <w:lvl w:ilvl="6" w:tplc="11A2B068" w:tentative="1">
      <w:start w:val="1"/>
      <w:numFmt w:val="decimal"/>
      <w:lvlText w:val="%7)"/>
      <w:lvlJc w:val="left"/>
      <w:pPr>
        <w:tabs>
          <w:tab w:val="num" w:pos="5040"/>
        </w:tabs>
        <w:ind w:left="5040" w:hanging="360"/>
      </w:pPr>
    </w:lvl>
    <w:lvl w:ilvl="7" w:tplc="146012AE" w:tentative="1">
      <w:start w:val="1"/>
      <w:numFmt w:val="decimal"/>
      <w:lvlText w:val="%8)"/>
      <w:lvlJc w:val="left"/>
      <w:pPr>
        <w:tabs>
          <w:tab w:val="num" w:pos="5760"/>
        </w:tabs>
        <w:ind w:left="5760" w:hanging="360"/>
      </w:pPr>
    </w:lvl>
    <w:lvl w:ilvl="8" w:tplc="F45AE6D8" w:tentative="1">
      <w:start w:val="1"/>
      <w:numFmt w:val="decimal"/>
      <w:lvlText w:val="%9)"/>
      <w:lvlJc w:val="left"/>
      <w:pPr>
        <w:tabs>
          <w:tab w:val="num" w:pos="6480"/>
        </w:tabs>
        <w:ind w:left="6480" w:hanging="360"/>
      </w:pPr>
    </w:lvl>
  </w:abstractNum>
  <w:abstractNum w:abstractNumId="29" w15:restartNumberingAfterBreak="0">
    <w:nsid w:val="7CA47864"/>
    <w:multiLevelType w:val="hybridMultilevel"/>
    <w:tmpl w:val="B6927C28"/>
    <w:lvl w:ilvl="0" w:tplc="A686E748">
      <w:start w:val="1"/>
      <w:numFmt w:val="decimal"/>
      <w:lvlText w:val="%1)"/>
      <w:lvlJc w:val="left"/>
      <w:pPr>
        <w:tabs>
          <w:tab w:val="num" w:pos="540"/>
        </w:tabs>
        <w:ind w:left="540" w:hanging="360"/>
      </w:pPr>
    </w:lvl>
    <w:lvl w:ilvl="1" w:tplc="3B1E5EB8" w:tentative="1">
      <w:start w:val="1"/>
      <w:numFmt w:val="decimal"/>
      <w:lvlText w:val="%2)"/>
      <w:lvlJc w:val="left"/>
      <w:pPr>
        <w:tabs>
          <w:tab w:val="num" w:pos="1260"/>
        </w:tabs>
        <w:ind w:left="1260" w:hanging="360"/>
      </w:pPr>
    </w:lvl>
    <w:lvl w:ilvl="2" w:tplc="18969642" w:tentative="1">
      <w:start w:val="1"/>
      <w:numFmt w:val="decimal"/>
      <w:lvlText w:val="%3)"/>
      <w:lvlJc w:val="left"/>
      <w:pPr>
        <w:tabs>
          <w:tab w:val="num" w:pos="1980"/>
        </w:tabs>
        <w:ind w:left="1980" w:hanging="360"/>
      </w:pPr>
    </w:lvl>
    <w:lvl w:ilvl="3" w:tplc="F0B8665A" w:tentative="1">
      <w:start w:val="1"/>
      <w:numFmt w:val="decimal"/>
      <w:lvlText w:val="%4)"/>
      <w:lvlJc w:val="left"/>
      <w:pPr>
        <w:tabs>
          <w:tab w:val="num" w:pos="2700"/>
        </w:tabs>
        <w:ind w:left="2700" w:hanging="360"/>
      </w:pPr>
    </w:lvl>
    <w:lvl w:ilvl="4" w:tplc="049AD12C" w:tentative="1">
      <w:start w:val="1"/>
      <w:numFmt w:val="decimal"/>
      <w:lvlText w:val="%5)"/>
      <w:lvlJc w:val="left"/>
      <w:pPr>
        <w:tabs>
          <w:tab w:val="num" w:pos="3420"/>
        </w:tabs>
        <w:ind w:left="3420" w:hanging="360"/>
      </w:pPr>
    </w:lvl>
    <w:lvl w:ilvl="5" w:tplc="42D07E08" w:tentative="1">
      <w:start w:val="1"/>
      <w:numFmt w:val="decimal"/>
      <w:lvlText w:val="%6)"/>
      <w:lvlJc w:val="left"/>
      <w:pPr>
        <w:tabs>
          <w:tab w:val="num" w:pos="4140"/>
        </w:tabs>
        <w:ind w:left="4140" w:hanging="360"/>
      </w:pPr>
    </w:lvl>
    <w:lvl w:ilvl="6" w:tplc="9F3C3E9C" w:tentative="1">
      <w:start w:val="1"/>
      <w:numFmt w:val="decimal"/>
      <w:lvlText w:val="%7)"/>
      <w:lvlJc w:val="left"/>
      <w:pPr>
        <w:tabs>
          <w:tab w:val="num" w:pos="4860"/>
        </w:tabs>
        <w:ind w:left="4860" w:hanging="360"/>
      </w:pPr>
    </w:lvl>
    <w:lvl w:ilvl="7" w:tplc="78FA8840" w:tentative="1">
      <w:start w:val="1"/>
      <w:numFmt w:val="decimal"/>
      <w:lvlText w:val="%8)"/>
      <w:lvlJc w:val="left"/>
      <w:pPr>
        <w:tabs>
          <w:tab w:val="num" w:pos="5580"/>
        </w:tabs>
        <w:ind w:left="5580" w:hanging="360"/>
      </w:pPr>
    </w:lvl>
    <w:lvl w:ilvl="8" w:tplc="70EC7552" w:tentative="1">
      <w:start w:val="1"/>
      <w:numFmt w:val="decimal"/>
      <w:lvlText w:val="%9)"/>
      <w:lvlJc w:val="left"/>
      <w:pPr>
        <w:tabs>
          <w:tab w:val="num" w:pos="6300"/>
        </w:tabs>
        <w:ind w:left="6300" w:hanging="360"/>
      </w:pPr>
    </w:lvl>
  </w:abstractNum>
  <w:abstractNum w:abstractNumId="30" w15:restartNumberingAfterBreak="0">
    <w:nsid w:val="7D267D6D"/>
    <w:multiLevelType w:val="hybridMultilevel"/>
    <w:tmpl w:val="646C03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E274DA"/>
    <w:multiLevelType w:val="hybridMultilevel"/>
    <w:tmpl w:val="07EE7C90"/>
    <w:lvl w:ilvl="0" w:tplc="F62ED028">
      <w:start w:val="1"/>
      <w:numFmt w:val="decimal"/>
      <w:lvlText w:val="%1."/>
      <w:lvlJc w:val="left"/>
      <w:pPr>
        <w:ind w:left="720" w:hanging="360"/>
      </w:pPr>
      <w:rPr>
        <w:rFonts w:eastAsia="Times New Roman"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9"/>
  </w:num>
  <w:num w:numId="3">
    <w:abstractNumId w:val="13"/>
  </w:num>
  <w:num w:numId="4">
    <w:abstractNumId w:val="11"/>
  </w:num>
  <w:num w:numId="5">
    <w:abstractNumId w:val="17"/>
  </w:num>
  <w:num w:numId="6">
    <w:abstractNumId w:val="20"/>
  </w:num>
  <w:num w:numId="7">
    <w:abstractNumId w:val="21"/>
  </w:num>
  <w:num w:numId="8">
    <w:abstractNumId w:val="10"/>
  </w:num>
  <w:num w:numId="9">
    <w:abstractNumId w:val="5"/>
  </w:num>
  <w:num w:numId="10">
    <w:abstractNumId w:val="27"/>
  </w:num>
  <w:num w:numId="11">
    <w:abstractNumId w:val="3"/>
  </w:num>
  <w:num w:numId="12">
    <w:abstractNumId w:val="28"/>
  </w:num>
  <w:num w:numId="13">
    <w:abstractNumId w:val="6"/>
  </w:num>
  <w:num w:numId="14">
    <w:abstractNumId w:val="16"/>
  </w:num>
  <w:num w:numId="15">
    <w:abstractNumId w:val="7"/>
  </w:num>
  <w:num w:numId="16">
    <w:abstractNumId w:val="18"/>
  </w:num>
  <w:num w:numId="17">
    <w:abstractNumId w:val="1"/>
  </w:num>
  <w:num w:numId="18">
    <w:abstractNumId w:val="12"/>
  </w:num>
  <w:num w:numId="19">
    <w:abstractNumId w:val="19"/>
  </w:num>
  <w:num w:numId="20">
    <w:abstractNumId w:val="9"/>
  </w:num>
  <w:num w:numId="21">
    <w:abstractNumId w:val="0"/>
  </w:num>
  <w:num w:numId="22">
    <w:abstractNumId w:val="14"/>
  </w:num>
  <w:num w:numId="23">
    <w:abstractNumId w:val="4"/>
  </w:num>
  <w:num w:numId="24">
    <w:abstractNumId w:val="26"/>
  </w:num>
  <w:num w:numId="25">
    <w:abstractNumId w:val="31"/>
  </w:num>
  <w:num w:numId="26">
    <w:abstractNumId w:val="8"/>
  </w:num>
  <w:num w:numId="27">
    <w:abstractNumId w:val="15"/>
  </w:num>
  <w:num w:numId="28">
    <w:abstractNumId w:val="25"/>
  </w:num>
  <w:num w:numId="29">
    <w:abstractNumId w:val="24"/>
  </w:num>
  <w:num w:numId="30">
    <w:abstractNumId w:val="23"/>
  </w:num>
  <w:num w:numId="31">
    <w:abstractNumId w:val="2"/>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8B516F"/>
    <w:rsid w:val="00085A22"/>
    <w:rsid w:val="00204F8B"/>
    <w:rsid w:val="004133B1"/>
    <w:rsid w:val="0052528D"/>
    <w:rsid w:val="00727D3C"/>
    <w:rsid w:val="008B516F"/>
    <w:rsid w:val="00AE14F4"/>
    <w:rsid w:val="00B4478B"/>
    <w:rsid w:val="00E07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7EAF33-33D9-494F-8F61-FF2CC323D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516F"/>
    <w:pPr>
      <w:spacing w:after="200" w:line="276" w:lineRule="auto"/>
    </w:pPr>
    <w:rPr>
      <w:rFonts w:ascii="Calibri" w:eastAsia="Times New Roman" w:hAnsi="Calibri" w:cs="Times New Roman"/>
      <w:lang w:bidi="en-US"/>
    </w:rPr>
  </w:style>
  <w:style w:type="paragraph" w:styleId="Heading1">
    <w:name w:val="heading 1"/>
    <w:basedOn w:val="Normal"/>
    <w:next w:val="Normal"/>
    <w:link w:val="Heading1Char"/>
    <w:uiPriority w:val="9"/>
    <w:qFormat/>
    <w:rsid w:val="008B516F"/>
    <w:pPr>
      <w:keepNext/>
      <w:keepLines/>
      <w:spacing w:before="480" w:after="0"/>
      <w:outlineLvl w:val="0"/>
    </w:pPr>
    <w:rPr>
      <w:rFonts w:ascii="Cambria" w:eastAsia="MS Gothic" w:hAnsi="Cambria"/>
      <w:b/>
      <w:bCs/>
      <w:color w:val="365F91"/>
      <w:sz w:val="28"/>
      <w:szCs w:val="20"/>
      <w:lang w:val="x-none"/>
    </w:rPr>
  </w:style>
  <w:style w:type="paragraph" w:styleId="Heading2">
    <w:name w:val="heading 2"/>
    <w:basedOn w:val="Normal"/>
    <w:next w:val="Normal"/>
    <w:link w:val="Heading2Char"/>
    <w:qFormat/>
    <w:rsid w:val="008B516F"/>
    <w:pPr>
      <w:keepNext/>
      <w:keepLines/>
      <w:spacing w:before="200" w:after="0"/>
      <w:outlineLvl w:val="1"/>
    </w:pPr>
    <w:rPr>
      <w:rFonts w:ascii="Cambria" w:eastAsia="MS Gothic" w:hAnsi="Cambria"/>
      <w:b/>
      <w:bCs/>
      <w:color w:val="4F81BD"/>
      <w:sz w:val="26"/>
      <w:szCs w:val="20"/>
      <w:lang w:val="x-none"/>
    </w:rPr>
  </w:style>
  <w:style w:type="paragraph" w:styleId="Heading3">
    <w:name w:val="heading 3"/>
    <w:basedOn w:val="Normal"/>
    <w:next w:val="Normal"/>
    <w:link w:val="Heading3Char"/>
    <w:uiPriority w:val="9"/>
    <w:unhideWhenUsed/>
    <w:qFormat/>
    <w:rsid w:val="008B516F"/>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B516F"/>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16F"/>
    <w:rPr>
      <w:rFonts w:ascii="Cambria" w:eastAsia="MS Gothic" w:hAnsi="Cambria" w:cs="Times New Roman"/>
      <w:b/>
      <w:bCs/>
      <w:color w:val="365F91"/>
      <w:sz w:val="28"/>
      <w:szCs w:val="20"/>
      <w:lang w:val="x-none" w:bidi="en-US"/>
    </w:rPr>
  </w:style>
  <w:style w:type="character" w:customStyle="1" w:styleId="Heading2Char">
    <w:name w:val="Heading 2 Char"/>
    <w:basedOn w:val="DefaultParagraphFont"/>
    <w:link w:val="Heading2"/>
    <w:rsid w:val="008B516F"/>
    <w:rPr>
      <w:rFonts w:ascii="Cambria" w:eastAsia="MS Gothic" w:hAnsi="Cambria" w:cs="Times New Roman"/>
      <w:b/>
      <w:bCs/>
      <w:color w:val="4F81BD"/>
      <w:sz w:val="26"/>
      <w:szCs w:val="20"/>
      <w:lang w:val="x-none" w:bidi="en-US"/>
    </w:rPr>
  </w:style>
  <w:style w:type="character" w:customStyle="1" w:styleId="Heading3Char">
    <w:name w:val="Heading 3 Char"/>
    <w:basedOn w:val="DefaultParagraphFont"/>
    <w:link w:val="Heading3"/>
    <w:uiPriority w:val="9"/>
    <w:rsid w:val="008B516F"/>
    <w:rPr>
      <w:rFonts w:asciiTheme="majorHAnsi" w:eastAsiaTheme="majorEastAsia" w:hAnsiTheme="majorHAnsi" w:cstheme="majorBidi"/>
      <w:b/>
      <w:bCs/>
      <w:color w:val="5B9BD5" w:themeColor="accent1"/>
      <w:lang w:bidi="en-US"/>
    </w:rPr>
  </w:style>
  <w:style w:type="character" w:customStyle="1" w:styleId="Heading4Char">
    <w:name w:val="Heading 4 Char"/>
    <w:basedOn w:val="DefaultParagraphFont"/>
    <w:link w:val="Heading4"/>
    <w:uiPriority w:val="9"/>
    <w:rsid w:val="008B516F"/>
    <w:rPr>
      <w:rFonts w:asciiTheme="majorHAnsi" w:eastAsiaTheme="majorEastAsia" w:hAnsiTheme="majorHAnsi" w:cstheme="majorBidi"/>
      <w:b/>
      <w:bCs/>
      <w:i/>
      <w:iCs/>
      <w:color w:val="5B9BD5" w:themeColor="accent1"/>
      <w:lang w:bidi="en-US"/>
    </w:rPr>
  </w:style>
  <w:style w:type="paragraph" w:styleId="ListParagraph">
    <w:name w:val="List Paragraph"/>
    <w:basedOn w:val="Normal"/>
    <w:uiPriority w:val="34"/>
    <w:qFormat/>
    <w:rsid w:val="008B516F"/>
    <w:pPr>
      <w:ind w:left="720"/>
      <w:contextualSpacing/>
    </w:pPr>
  </w:style>
  <w:style w:type="paragraph" w:styleId="BalloonText">
    <w:name w:val="Balloon Text"/>
    <w:basedOn w:val="Normal"/>
    <w:link w:val="BalloonTextChar"/>
    <w:uiPriority w:val="99"/>
    <w:semiHidden/>
    <w:unhideWhenUsed/>
    <w:rsid w:val="008B516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16F"/>
    <w:rPr>
      <w:rFonts w:ascii="Lucida Grande" w:eastAsia="Times New Roman" w:hAnsi="Lucida Grande" w:cs="Lucida Grande"/>
      <w:sz w:val="18"/>
      <w:szCs w:val="18"/>
      <w:lang w:bidi="en-US"/>
    </w:rPr>
  </w:style>
  <w:style w:type="paragraph" w:styleId="Footer">
    <w:name w:val="footer"/>
    <w:basedOn w:val="Normal"/>
    <w:link w:val="FooterChar"/>
    <w:uiPriority w:val="99"/>
    <w:unhideWhenUsed/>
    <w:rsid w:val="008B516F"/>
    <w:pPr>
      <w:tabs>
        <w:tab w:val="center" w:pos="4320"/>
        <w:tab w:val="right" w:pos="8640"/>
      </w:tabs>
      <w:spacing w:after="0" w:line="240" w:lineRule="auto"/>
    </w:pPr>
  </w:style>
  <w:style w:type="character" w:customStyle="1" w:styleId="FooterChar">
    <w:name w:val="Footer Char"/>
    <w:basedOn w:val="DefaultParagraphFont"/>
    <w:link w:val="Footer"/>
    <w:uiPriority w:val="99"/>
    <w:rsid w:val="008B516F"/>
    <w:rPr>
      <w:rFonts w:ascii="Calibri" w:eastAsia="Times New Roman" w:hAnsi="Calibri" w:cs="Times New Roman"/>
      <w:lang w:bidi="en-US"/>
    </w:rPr>
  </w:style>
  <w:style w:type="character" w:styleId="PageNumber">
    <w:name w:val="page number"/>
    <w:basedOn w:val="DefaultParagraphFont"/>
    <w:uiPriority w:val="99"/>
    <w:semiHidden/>
    <w:unhideWhenUsed/>
    <w:rsid w:val="008B516F"/>
  </w:style>
  <w:style w:type="character" w:styleId="CommentReference">
    <w:name w:val="annotation reference"/>
    <w:basedOn w:val="DefaultParagraphFont"/>
    <w:uiPriority w:val="99"/>
    <w:semiHidden/>
    <w:unhideWhenUsed/>
    <w:rsid w:val="008B516F"/>
    <w:rPr>
      <w:sz w:val="16"/>
      <w:szCs w:val="16"/>
    </w:rPr>
  </w:style>
  <w:style w:type="paragraph" w:styleId="CommentText">
    <w:name w:val="annotation text"/>
    <w:basedOn w:val="Normal"/>
    <w:link w:val="CommentTextChar"/>
    <w:uiPriority w:val="99"/>
    <w:unhideWhenUsed/>
    <w:rsid w:val="008B516F"/>
    <w:pPr>
      <w:spacing w:line="240" w:lineRule="auto"/>
    </w:pPr>
    <w:rPr>
      <w:sz w:val="20"/>
      <w:szCs w:val="20"/>
    </w:rPr>
  </w:style>
  <w:style w:type="character" w:customStyle="1" w:styleId="CommentTextChar">
    <w:name w:val="Comment Text Char"/>
    <w:basedOn w:val="DefaultParagraphFont"/>
    <w:link w:val="CommentText"/>
    <w:uiPriority w:val="99"/>
    <w:rsid w:val="008B516F"/>
    <w:rPr>
      <w:rFonts w:ascii="Calibri" w:eastAsia="Times New Roman" w:hAnsi="Calibri"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8B516F"/>
    <w:rPr>
      <w:b/>
      <w:bCs/>
    </w:rPr>
  </w:style>
  <w:style w:type="character" w:customStyle="1" w:styleId="CommentSubjectChar">
    <w:name w:val="Comment Subject Char"/>
    <w:basedOn w:val="CommentTextChar"/>
    <w:link w:val="CommentSubject"/>
    <w:uiPriority w:val="99"/>
    <w:semiHidden/>
    <w:rsid w:val="008B516F"/>
    <w:rPr>
      <w:rFonts w:ascii="Calibri" w:eastAsia="Times New Roman" w:hAnsi="Calibri" w:cs="Times New Roman"/>
      <w:b/>
      <w:bCs/>
      <w:sz w:val="20"/>
      <w:szCs w:val="20"/>
      <w:lang w:bidi="en-US"/>
    </w:rPr>
  </w:style>
  <w:style w:type="table" w:customStyle="1" w:styleId="LightShading1">
    <w:name w:val="Light Shading1"/>
    <w:basedOn w:val="TableNormal"/>
    <w:next w:val="LightShading"/>
    <w:uiPriority w:val="60"/>
    <w:rsid w:val="008B516F"/>
    <w:pPr>
      <w:spacing w:after="0" w:line="240" w:lineRule="auto"/>
    </w:pPr>
    <w:rPr>
      <w:rFonts w:eastAsia="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FootnoteText">
    <w:name w:val="footnote text"/>
    <w:basedOn w:val="Normal"/>
    <w:link w:val="FootnoteTextChar"/>
    <w:uiPriority w:val="99"/>
    <w:unhideWhenUsed/>
    <w:rsid w:val="008B516F"/>
    <w:pPr>
      <w:spacing w:after="0" w:line="240" w:lineRule="auto"/>
    </w:pPr>
    <w:rPr>
      <w:rFonts w:eastAsia="Calibri"/>
      <w:sz w:val="20"/>
      <w:szCs w:val="20"/>
      <w:lang w:bidi="ar-SA"/>
    </w:rPr>
  </w:style>
  <w:style w:type="character" w:customStyle="1" w:styleId="FootnoteTextChar">
    <w:name w:val="Footnote Text Char"/>
    <w:basedOn w:val="DefaultParagraphFont"/>
    <w:link w:val="FootnoteText"/>
    <w:uiPriority w:val="99"/>
    <w:rsid w:val="008B516F"/>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8B516F"/>
    <w:rPr>
      <w:vertAlign w:val="superscript"/>
    </w:rPr>
  </w:style>
  <w:style w:type="table" w:styleId="LightShading">
    <w:name w:val="Light Shading"/>
    <w:basedOn w:val="TableNormal"/>
    <w:uiPriority w:val="60"/>
    <w:rsid w:val="008B516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8B516F"/>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8B516F"/>
    <w:rPr>
      <w:b/>
      <w:i w:val="0"/>
      <w:iCs/>
      <w:sz w:val="24"/>
    </w:rPr>
  </w:style>
  <w:style w:type="character" w:styleId="Strong">
    <w:name w:val="Strong"/>
    <w:basedOn w:val="DefaultParagraphFont"/>
    <w:uiPriority w:val="22"/>
    <w:qFormat/>
    <w:rsid w:val="008B516F"/>
    <w:rPr>
      <w:b/>
      <w:bCs/>
    </w:rPr>
  </w:style>
  <w:style w:type="character" w:styleId="Hyperlink">
    <w:name w:val="Hyperlink"/>
    <w:basedOn w:val="DefaultParagraphFont"/>
    <w:uiPriority w:val="99"/>
    <w:unhideWhenUsed/>
    <w:rsid w:val="008B516F"/>
    <w:rPr>
      <w:color w:val="0563C1" w:themeColor="hyperlink"/>
      <w:u w:val="single"/>
    </w:rPr>
  </w:style>
  <w:style w:type="character" w:styleId="FollowedHyperlink">
    <w:name w:val="FollowedHyperlink"/>
    <w:basedOn w:val="DefaultParagraphFont"/>
    <w:uiPriority w:val="99"/>
    <w:semiHidden/>
    <w:unhideWhenUsed/>
    <w:rsid w:val="008B516F"/>
    <w:rPr>
      <w:color w:val="954F72" w:themeColor="followedHyperlink"/>
      <w:u w:val="single"/>
    </w:rPr>
  </w:style>
  <w:style w:type="paragraph" w:styleId="EndnoteText">
    <w:name w:val="endnote text"/>
    <w:basedOn w:val="Normal"/>
    <w:link w:val="EndnoteTextChar"/>
    <w:uiPriority w:val="99"/>
    <w:semiHidden/>
    <w:unhideWhenUsed/>
    <w:rsid w:val="008B516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B516F"/>
    <w:rPr>
      <w:rFonts w:ascii="Calibri" w:eastAsia="Times New Roman" w:hAnsi="Calibri" w:cs="Times New Roman"/>
      <w:sz w:val="20"/>
      <w:szCs w:val="20"/>
      <w:lang w:bidi="en-US"/>
    </w:rPr>
  </w:style>
  <w:style w:type="character" w:styleId="EndnoteReference">
    <w:name w:val="endnote reference"/>
    <w:basedOn w:val="DefaultParagraphFont"/>
    <w:uiPriority w:val="99"/>
    <w:semiHidden/>
    <w:unhideWhenUsed/>
    <w:rsid w:val="008B516F"/>
    <w:rPr>
      <w:vertAlign w:val="superscript"/>
    </w:rPr>
  </w:style>
  <w:style w:type="character" w:styleId="PlaceholderText">
    <w:name w:val="Placeholder Text"/>
    <w:basedOn w:val="DefaultParagraphFont"/>
    <w:uiPriority w:val="99"/>
    <w:semiHidden/>
    <w:rsid w:val="008B516F"/>
    <w:rPr>
      <w:color w:val="808080"/>
    </w:rPr>
  </w:style>
  <w:style w:type="paragraph" w:styleId="Caption">
    <w:name w:val="caption"/>
    <w:basedOn w:val="Normal"/>
    <w:next w:val="Normal"/>
    <w:uiPriority w:val="35"/>
    <w:semiHidden/>
    <w:unhideWhenUsed/>
    <w:qFormat/>
    <w:rsid w:val="008B516F"/>
    <w:pPr>
      <w:spacing w:line="240" w:lineRule="auto"/>
    </w:pPr>
    <w:rPr>
      <w:b/>
      <w:bCs/>
      <w:color w:val="5B9BD5" w:themeColor="accent1"/>
      <w:sz w:val="18"/>
      <w:szCs w:val="18"/>
    </w:rPr>
  </w:style>
  <w:style w:type="paragraph" w:styleId="TOC1">
    <w:name w:val="toc 1"/>
    <w:basedOn w:val="Normal"/>
    <w:next w:val="Normal"/>
    <w:autoRedefine/>
    <w:uiPriority w:val="39"/>
    <w:unhideWhenUsed/>
    <w:rsid w:val="008B516F"/>
    <w:pPr>
      <w:spacing w:after="100"/>
    </w:pPr>
  </w:style>
  <w:style w:type="paragraph" w:styleId="TOC2">
    <w:name w:val="toc 2"/>
    <w:basedOn w:val="Normal"/>
    <w:next w:val="Normal"/>
    <w:autoRedefine/>
    <w:uiPriority w:val="39"/>
    <w:unhideWhenUsed/>
    <w:rsid w:val="008B516F"/>
    <w:pPr>
      <w:spacing w:after="100"/>
      <w:ind w:left="220"/>
    </w:pPr>
  </w:style>
  <w:style w:type="paragraph" w:styleId="TOC3">
    <w:name w:val="toc 3"/>
    <w:basedOn w:val="Normal"/>
    <w:next w:val="Normal"/>
    <w:autoRedefine/>
    <w:uiPriority w:val="39"/>
    <w:unhideWhenUsed/>
    <w:rsid w:val="008B516F"/>
    <w:pPr>
      <w:spacing w:after="100"/>
      <w:ind w:left="440"/>
    </w:pPr>
  </w:style>
  <w:style w:type="paragraph" w:styleId="Revision">
    <w:name w:val="Revision"/>
    <w:hidden/>
    <w:uiPriority w:val="99"/>
    <w:semiHidden/>
    <w:rsid w:val="008B516F"/>
    <w:pPr>
      <w:spacing w:after="0" w:line="240" w:lineRule="auto"/>
    </w:pPr>
    <w:rPr>
      <w:rFonts w:ascii="Calibri" w:eastAsia="Times New Roman" w:hAnsi="Calibri" w:cs="Times New Roman"/>
      <w:lang w:bidi="en-US"/>
    </w:rPr>
  </w:style>
  <w:style w:type="paragraph" w:customStyle="1" w:styleId="Default">
    <w:name w:val="Default"/>
    <w:rsid w:val="008B516F"/>
    <w:pPr>
      <w:autoSpaceDE w:val="0"/>
      <w:autoSpaceDN w:val="0"/>
      <w:adjustRightInd w:val="0"/>
      <w:spacing w:after="0" w:line="240" w:lineRule="auto"/>
    </w:pPr>
    <w:rPr>
      <w:rFonts w:ascii="Calibri" w:eastAsiaTheme="minorEastAsia" w:hAnsi="Calibri" w:cs="Calibri"/>
      <w:color w:val="000000"/>
      <w:sz w:val="24"/>
      <w:szCs w:val="24"/>
    </w:rPr>
  </w:style>
  <w:style w:type="paragraph" w:styleId="NormalWeb">
    <w:name w:val="Normal (Web)"/>
    <w:basedOn w:val="Normal"/>
    <w:uiPriority w:val="99"/>
    <w:semiHidden/>
    <w:unhideWhenUsed/>
    <w:rsid w:val="008B516F"/>
    <w:pPr>
      <w:spacing w:before="100" w:beforeAutospacing="1" w:after="100" w:afterAutospacing="1" w:line="240" w:lineRule="auto"/>
    </w:pPr>
    <w:rPr>
      <w:rFonts w:ascii="Times" w:eastAsiaTheme="minorEastAsia" w:hAnsi="Times"/>
      <w:sz w:val="20"/>
      <w:szCs w:val="20"/>
      <w:lang w:bidi="ar-SA"/>
    </w:rPr>
  </w:style>
  <w:style w:type="paragraph" w:styleId="Header">
    <w:name w:val="header"/>
    <w:basedOn w:val="Normal"/>
    <w:link w:val="HeaderChar"/>
    <w:uiPriority w:val="99"/>
    <w:unhideWhenUsed/>
    <w:rsid w:val="008B51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16F"/>
    <w:rPr>
      <w:rFonts w:ascii="Calibri" w:eastAsia="Times New Roman" w:hAnsi="Calibri" w:cs="Times New Roman"/>
      <w:lang w:bidi="en-US"/>
    </w:rPr>
  </w:style>
  <w:style w:type="character" w:customStyle="1" w:styleId="highlight">
    <w:name w:val="highlight"/>
    <w:basedOn w:val="DefaultParagraphFont"/>
    <w:rsid w:val="008B516F"/>
  </w:style>
  <w:style w:type="character" w:styleId="LineNumber">
    <w:name w:val="line number"/>
    <w:basedOn w:val="DefaultParagraphFont"/>
    <w:uiPriority w:val="99"/>
    <w:semiHidden/>
    <w:unhideWhenUsed/>
    <w:rsid w:val="008B516F"/>
  </w:style>
  <w:style w:type="paragraph" w:customStyle="1" w:styleId="EndNoteBibliographyTitle">
    <w:name w:val="EndNote Bibliography Title"/>
    <w:basedOn w:val="Normal"/>
    <w:link w:val="EndNoteBibliographyTitleChar"/>
    <w:rsid w:val="008B516F"/>
    <w:pPr>
      <w:spacing w:after="0"/>
      <w:jc w:val="center"/>
    </w:pPr>
    <w:rPr>
      <w:rFonts w:ascii="Times New Roman" w:hAnsi="Times New Roman"/>
      <w:noProof/>
      <w:sz w:val="24"/>
    </w:rPr>
  </w:style>
  <w:style w:type="character" w:customStyle="1" w:styleId="EndNoteBibliographyTitleChar">
    <w:name w:val="EndNote Bibliography Title Char"/>
    <w:basedOn w:val="DefaultParagraphFont"/>
    <w:link w:val="EndNoteBibliographyTitle"/>
    <w:rsid w:val="008B516F"/>
    <w:rPr>
      <w:rFonts w:ascii="Times New Roman" w:eastAsia="Times New Roman" w:hAnsi="Times New Roman" w:cs="Times New Roman"/>
      <w:noProof/>
      <w:sz w:val="24"/>
      <w:lang w:bidi="en-US"/>
    </w:rPr>
  </w:style>
  <w:style w:type="paragraph" w:customStyle="1" w:styleId="EndNoteBibliography">
    <w:name w:val="EndNote Bibliography"/>
    <w:basedOn w:val="Normal"/>
    <w:link w:val="EndNoteBibliographyChar"/>
    <w:rsid w:val="008B516F"/>
    <w:pPr>
      <w:spacing w:line="240" w:lineRule="auto"/>
    </w:pPr>
    <w:rPr>
      <w:rFonts w:ascii="Times New Roman" w:hAnsi="Times New Roman"/>
      <w:noProof/>
      <w:sz w:val="24"/>
    </w:rPr>
  </w:style>
  <w:style w:type="character" w:customStyle="1" w:styleId="EndNoteBibliographyChar">
    <w:name w:val="EndNote Bibliography Char"/>
    <w:basedOn w:val="DefaultParagraphFont"/>
    <w:link w:val="EndNoteBibliography"/>
    <w:rsid w:val="008B516F"/>
    <w:rPr>
      <w:rFonts w:ascii="Times New Roman" w:eastAsia="Times New Roman" w:hAnsi="Times New Roman" w:cs="Times New Roman"/>
      <w:noProof/>
      <w:sz w:val="24"/>
      <w:lang w:bidi="en-US"/>
    </w:rPr>
  </w:style>
  <w:style w:type="paragraph" w:customStyle="1" w:styleId="Pa2">
    <w:name w:val="Pa2"/>
    <w:basedOn w:val="Default"/>
    <w:next w:val="Default"/>
    <w:uiPriority w:val="99"/>
    <w:rsid w:val="008B516F"/>
    <w:pPr>
      <w:spacing w:line="217" w:lineRule="atLeast"/>
    </w:pPr>
    <w:rPr>
      <w:rFonts w:ascii="Shaker 2 Lancet Regular" w:hAnsi="Shaker 2 Lancet Regular" w:cstheme="minorBidi"/>
      <w:color w:val="auto"/>
    </w:rPr>
  </w:style>
  <w:style w:type="character" w:customStyle="1" w:styleId="A3">
    <w:name w:val="A3"/>
    <w:uiPriority w:val="99"/>
    <w:rsid w:val="008B516F"/>
    <w:rPr>
      <w:rFonts w:cs="Shaker 2 Lancet Regular"/>
      <w:b/>
      <w:bCs/>
      <w:color w:val="000000"/>
      <w:sz w:val="18"/>
      <w:szCs w:val="18"/>
    </w:rPr>
  </w:style>
  <w:style w:type="table" w:customStyle="1" w:styleId="TableGrid1">
    <w:name w:val="Table Grid1"/>
    <w:basedOn w:val="TableNormal"/>
    <w:next w:val="TableGrid"/>
    <w:uiPriority w:val="39"/>
    <w:rsid w:val="008B516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997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yperlink" Target="https://www.novavax.com/download/files/presentations/FIGO_7OCT2015_AA_P2_Data_10_14_15_FINAL_TO_USE.pdf"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74020D6-1B0B-4CCC-AEBF-4B72CD0FEFFC}" type="doc">
      <dgm:prSet loTypeId="urn:microsoft.com/office/officeart/2005/8/layout/hierarchy2" loCatId="hierarchy" qsTypeId="urn:microsoft.com/office/officeart/2005/8/quickstyle/simple1" qsCatId="simple" csTypeId="urn:microsoft.com/office/officeart/2005/8/colors/accent0_1" csCatId="mainScheme" phldr="1"/>
      <dgm:spPr/>
      <dgm:t>
        <a:bodyPr/>
        <a:lstStyle/>
        <a:p>
          <a:endParaRPr lang="en-US"/>
        </a:p>
      </dgm:t>
    </dgm:pt>
    <dgm:pt modelId="{6914D578-3931-451E-89E8-8A1D800E43D5}">
      <dgm:prSet phldrT="[Text]"/>
      <dgm:spPr/>
      <dgm:t>
        <a:bodyPr/>
        <a:lstStyle/>
        <a:p>
          <a:r>
            <a:rPr lang="en-US"/>
            <a:t>Within Season Birth Cohort</a:t>
          </a:r>
        </a:p>
      </dgm:t>
    </dgm:pt>
    <dgm:pt modelId="{D98744DA-368E-4589-984B-C298A05525C9}" type="parTrans" cxnId="{99CC6FB4-FE2C-441F-BCC5-F28CEF439FF3}">
      <dgm:prSet/>
      <dgm:spPr/>
      <dgm:t>
        <a:bodyPr/>
        <a:lstStyle/>
        <a:p>
          <a:endParaRPr lang="en-US"/>
        </a:p>
      </dgm:t>
    </dgm:pt>
    <dgm:pt modelId="{C2F2E2A5-9D01-46C0-AB60-FA0FF387196A}" type="sibTrans" cxnId="{99CC6FB4-FE2C-441F-BCC5-F28CEF439FF3}">
      <dgm:prSet/>
      <dgm:spPr/>
      <dgm:t>
        <a:bodyPr/>
        <a:lstStyle/>
        <a:p>
          <a:endParaRPr lang="en-US"/>
        </a:p>
      </dgm:t>
    </dgm:pt>
    <dgm:pt modelId="{7A5312AE-44FE-4659-81A4-FF18BBB117EA}">
      <dgm:prSet phldrT="[Text]"/>
      <dgm:spPr/>
      <dgm:t>
        <a:bodyPr/>
        <a:lstStyle/>
        <a:p>
          <a:r>
            <a:rPr lang="en-US"/>
            <a:t>"Low-risk" Newborn</a:t>
          </a:r>
        </a:p>
      </dgm:t>
    </dgm:pt>
    <dgm:pt modelId="{A5C43168-80CC-4DFE-BF31-3445B77B6CD8}" type="parTrans" cxnId="{492B393C-EAC5-4421-9F12-B37EDBFD8EA6}">
      <dgm:prSet/>
      <dgm:spPr/>
      <dgm:t>
        <a:bodyPr/>
        <a:lstStyle/>
        <a:p>
          <a:endParaRPr lang="en-US"/>
        </a:p>
      </dgm:t>
    </dgm:pt>
    <dgm:pt modelId="{9E5231E9-6972-4A92-8C93-A01E7502AC5A}" type="sibTrans" cxnId="{492B393C-EAC5-4421-9F12-B37EDBFD8EA6}">
      <dgm:prSet/>
      <dgm:spPr/>
      <dgm:t>
        <a:bodyPr/>
        <a:lstStyle/>
        <a:p>
          <a:endParaRPr lang="en-US"/>
        </a:p>
      </dgm:t>
    </dgm:pt>
    <dgm:pt modelId="{95E0A5C9-EC08-43F9-BBD4-D70705619AAF}">
      <dgm:prSet phldrT="[Text]"/>
      <dgm:spPr/>
      <dgm:t>
        <a:bodyPr/>
        <a:lstStyle/>
        <a:p>
          <a:r>
            <a:rPr lang="en-US"/>
            <a:t>Obtain antibody candidate</a:t>
          </a:r>
        </a:p>
      </dgm:t>
    </dgm:pt>
    <dgm:pt modelId="{14E7E0EC-FD6A-4B38-A38E-B38CE691F4A6}" type="parTrans" cxnId="{648C577E-5624-4D9D-948A-592AD31954FD}">
      <dgm:prSet/>
      <dgm:spPr/>
      <dgm:t>
        <a:bodyPr/>
        <a:lstStyle/>
        <a:p>
          <a:endParaRPr lang="en-US"/>
        </a:p>
      </dgm:t>
    </dgm:pt>
    <dgm:pt modelId="{EDD2A41D-E755-44C3-889E-037C8E4044B7}" type="sibTrans" cxnId="{648C577E-5624-4D9D-948A-592AD31954FD}">
      <dgm:prSet/>
      <dgm:spPr/>
      <dgm:t>
        <a:bodyPr/>
        <a:lstStyle/>
        <a:p>
          <a:endParaRPr lang="en-US"/>
        </a:p>
      </dgm:t>
    </dgm:pt>
    <dgm:pt modelId="{4827511E-F26C-4C9E-AD76-10B79F2C3461}">
      <dgm:prSet phldrT="[Text]"/>
      <dgm:spPr/>
      <dgm:t>
        <a:bodyPr/>
        <a:lstStyle/>
        <a:p>
          <a:r>
            <a:rPr lang="en-US"/>
            <a:t>"High-risk" Newborn</a:t>
          </a:r>
        </a:p>
      </dgm:t>
    </dgm:pt>
    <dgm:pt modelId="{A4D2A0EF-9253-44A1-8D56-EE73FF952613}" type="parTrans" cxnId="{F04AA22A-C550-4D23-977C-8D0FB7FCEE7A}">
      <dgm:prSet/>
      <dgm:spPr/>
      <dgm:t>
        <a:bodyPr/>
        <a:lstStyle/>
        <a:p>
          <a:endParaRPr lang="en-US"/>
        </a:p>
      </dgm:t>
    </dgm:pt>
    <dgm:pt modelId="{9369E558-5CF6-4809-B2CB-FE949ED60EA6}" type="sibTrans" cxnId="{F04AA22A-C550-4D23-977C-8D0FB7FCEE7A}">
      <dgm:prSet/>
      <dgm:spPr/>
      <dgm:t>
        <a:bodyPr/>
        <a:lstStyle/>
        <a:p>
          <a:endParaRPr lang="en-US"/>
        </a:p>
      </dgm:t>
    </dgm:pt>
    <dgm:pt modelId="{2927D317-D0B2-4A3D-9570-2E42938FB443}">
      <dgm:prSet phldrT="[Text]"/>
      <dgm:spPr/>
      <dgm:t>
        <a:bodyPr/>
        <a:lstStyle/>
        <a:p>
          <a:r>
            <a:rPr lang="en-US"/>
            <a:t>Obtain antibody candidate</a:t>
          </a:r>
        </a:p>
      </dgm:t>
    </dgm:pt>
    <dgm:pt modelId="{4F0F703D-7C98-4926-841F-FD0DB495FB54}" type="parTrans" cxnId="{593C8F3D-2C68-435C-8743-62F1744C451C}">
      <dgm:prSet/>
      <dgm:spPr/>
      <dgm:t>
        <a:bodyPr/>
        <a:lstStyle/>
        <a:p>
          <a:endParaRPr lang="en-US"/>
        </a:p>
      </dgm:t>
    </dgm:pt>
    <dgm:pt modelId="{9C61A57E-102C-4FD9-9473-BD277852657F}" type="sibTrans" cxnId="{593C8F3D-2C68-435C-8743-62F1744C451C}">
      <dgm:prSet/>
      <dgm:spPr/>
      <dgm:t>
        <a:bodyPr/>
        <a:lstStyle/>
        <a:p>
          <a:endParaRPr lang="en-US"/>
        </a:p>
      </dgm:t>
    </dgm:pt>
    <dgm:pt modelId="{D64009BE-02FC-4009-A204-AABE306EFBC2}">
      <dgm:prSet/>
      <dgm:spPr/>
      <dgm:t>
        <a:bodyPr/>
        <a:lstStyle/>
        <a:p>
          <a:r>
            <a:rPr lang="en-US"/>
            <a:t>Do not obtain antibody candidate</a:t>
          </a:r>
        </a:p>
      </dgm:t>
    </dgm:pt>
    <dgm:pt modelId="{86B6C90B-523F-4009-A56B-01303785F241}" type="parTrans" cxnId="{5BAAE672-91F5-4A5F-8EF3-39B3F6FAF286}">
      <dgm:prSet/>
      <dgm:spPr/>
      <dgm:t>
        <a:bodyPr/>
        <a:lstStyle/>
        <a:p>
          <a:endParaRPr lang="en-US"/>
        </a:p>
      </dgm:t>
    </dgm:pt>
    <dgm:pt modelId="{B5D0DCA2-2640-40CD-8DF3-2BF2750ADB34}" type="sibTrans" cxnId="{5BAAE672-91F5-4A5F-8EF3-39B3F6FAF286}">
      <dgm:prSet/>
      <dgm:spPr/>
      <dgm:t>
        <a:bodyPr/>
        <a:lstStyle/>
        <a:p>
          <a:endParaRPr lang="en-US"/>
        </a:p>
      </dgm:t>
    </dgm:pt>
    <dgm:pt modelId="{C09748D7-AD10-424E-8827-75419B1C9D1B}">
      <dgm:prSet/>
      <dgm:spPr/>
      <dgm:t>
        <a:bodyPr/>
        <a:lstStyle/>
        <a:p>
          <a:r>
            <a:rPr lang="en-US"/>
            <a:t>Do not obtain antibody candidate</a:t>
          </a:r>
        </a:p>
      </dgm:t>
    </dgm:pt>
    <dgm:pt modelId="{9114F52D-E3F8-45E3-B585-1C69F3F4E5BE}" type="parTrans" cxnId="{6B459F15-9EA0-4887-9E21-2D573658CE9D}">
      <dgm:prSet/>
      <dgm:spPr/>
      <dgm:t>
        <a:bodyPr/>
        <a:lstStyle/>
        <a:p>
          <a:endParaRPr lang="en-US"/>
        </a:p>
      </dgm:t>
    </dgm:pt>
    <dgm:pt modelId="{C9E8D44F-6F9B-4C07-AA83-A0D6EF3AAC9E}" type="sibTrans" cxnId="{6B459F15-9EA0-4887-9E21-2D573658CE9D}">
      <dgm:prSet/>
      <dgm:spPr/>
      <dgm:t>
        <a:bodyPr/>
        <a:lstStyle/>
        <a:p>
          <a:endParaRPr lang="en-US"/>
        </a:p>
      </dgm:t>
    </dgm:pt>
    <dgm:pt modelId="{9634325D-7534-45D3-B18C-D04D7A73A4B3}">
      <dgm:prSet/>
      <dgm:spPr/>
      <dgm:t>
        <a:bodyPr/>
        <a:lstStyle/>
        <a:p>
          <a:r>
            <a:rPr lang="en-US"/>
            <a:t>Ineffective Immunization</a:t>
          </a:r>
        </a:p>
      </dgm:t>
    </dgm:pt>
    <dgm:pt modelId="{EA463C90-C30C-4F8A-B28F-EFAE48225FC1}" type="parTrans" cxnId="{C6C7390B-9808-4A78-84E8-A61C7BACDD9C}">
      <dgm:prSet/>
      <dgm:spPr/>
      <dgm:t>
        <a:bodyPr/>
        <a:lstStyle/>
        <a:p>
          <a:endParaRPr lang="en-US"/>
        </a:p>
      </dgm:t>
    </dgm:pt>
    <dgm:pt modelId="{1C4F9D01-C6D6-4320-99EE-5C1D1E251CA5}" type="sibTrans" cxnId="{C6C7390B-9808-4A78-84E8-A61C7BACDD9C}">
      <dgm:prSet/>
      <dgm:spPr/>
      <dgm:t>
        <a:bodyPr/>
        <a:lstStyle/>
        <a:p>
          <a:endParaRPr lang="en-US"/>
        </a:p>
      </dgm:t>
    </dgm:pt>
    <dgm:pt modelId="{8E8CF43D-4D25-488B-8B7C-6CFBDFB80D27}">
      <dgm:prSet/>
      <dgm:spPr/>
      <dgm:t>
        <a:bodyPr/>
        <a:lstStyle/>
        <a:p>
          <a:r>
            <a:rPr lang="en-US"/>
            <a:t>Effective immunization</a:t>
          </a:r>
        </a:p>
      </dgm:t>
    </dgm:pt>
    <dgm:pt modelId="{0CC5CA5E-C310-4343-A33A-E93FFFC4E904}" type="parTrans" cxnId="{27CDEEBA-0C0C-454C-9089-047BAB10B746}">
      <dgm:prSet/>
      <dgm:spPr/>
      <dgm:t>
        <a:bodyPr/>
        <a:lstStyle/>
        <a:p>
          <a:endParaRPr lang="en-US"/>
        </a:p>
      </dgm:t>
    </dgm:pt>
    <dgm:pt modelId="{46CEE165-CD6C-4580-90E7-706ED82F5A89}" type="sibTrans" cxnId="{27CDEEBA-0C0C-454C-9089-047BAB10B746}">
      <dgm:prSet/>
      <dgm:spPr/>
      <dgm:t>
        <a:bodyPr/>
        <a:lstStyle/>
        <a:p>
          <a:endParaRPr lang="en-US"/>
        </a:p>
      </dgm:t>
    </dgm:pt>
    <dgm:pt modelId="{905F4F3F-925A-4AD7-878E-A4CA4A9E8AB9}">
      <dgm:prSet/>
      <dgm:spPr/>
      <dgm:t>
        <a:bodyPr/>
        <a:lstStyle/>
        <a:p>
          <a:r>
            <a:rPr lang="en-US"/>
            <a:t>Attended for RSVi</a:t>
          </a:r>
        </a:p>
      </dgm:t>
    </dgm:pt>
    <dgm:pt modelId="{96C84A09-6F1F-4DE1-8A6E-27437800307C}" type="parTrans" cxnId="{D145970D-7093-47F1-8701-19E69B457ACE}">
      <dgm:prSet/>
      <dgm:spPr/>
      <dgm:t>
        <a:bodyPr/>
        <a:lstStyle/>
        <a:p>
          <a:endParaRPr lang="en-US"/>
        </a:p>
      </dgm:t>
    </dgm:pt>
    <dgm:pt modelId="{730F36C0-017A-4F04-9C77-DD5A057AD476}" type="sibTrans" cxnId="{D145970D-7093-47F1-8701-19E69B457ACE}">
      <dgm:prSet/>
      <dgm:spPr/>
      <dgm:t>
        <a:bodyPr/>
        <a:lstStyle/>
        <a:p>
          <a:endParaRPr lang="en-US"/>
        </a:p>
      </dgm:t>
    </dgm:pt>
    <dgm:pt modelId="{760C0BEC-607A-4234-A426-3A1181ED6DEB}">
      <dgm:prSet/>
      <dgm:spPr/>
      <dgm:t>
        <a:bodyPr/>
        <a:lstStyle/>
        <a:p>
          <a:r>
            <a:rPr lang="en-US"/>
            <a:t>Not attended for RSVi (unknown)</a:t>
          </a:r>
        </a:p>
      </dgm:t>
    </dgm:pt>
    <dgm:pt modelId="{C205D907-F92B-451F-B455-798A02425413}" type="parTrans" cxnId="{523EDAE4-A065-4B08-AD6A-674187E59065}">
      <dgm:prSet/>
      <dgm:spPr/>
      <dgm:t>
        <a:bodyPr/>
        <a:lstStyle/>
        <a:p>
          <a:endParaRPr lang="en-US"/>
        </a:p>
      </dgm:t>
    </dgm:pt>
    <dgm:pt modelId="{387A326F-5D43-4A3D-A2E9-BBC867DC4933}" type="sibTrans" cxnId="{523EDAE4-A065-4B08-AD6A-674187E59065}">
      <dgm:prSet/>
      <dgm:spPr/>
      <dgm:t>
        <a:bodyPr/>
        <a:lstStyle/>
        <a:p>
          <a:endParaRPr lang="en-US"/>
        </a:p>
      </dgm:t>
    </dgm:pt>
    <dgm:pt modelId="{C2576AB8-069E-4EBE-BFA1-C7820DF17431}">
      <dgm:prSet/>
      <dgm:spPr/>
      <dgm:t>
        <a:bodyPr/>
        <a:lstStyle/>
        <a:p>
          <a:r>
            <a:rPr lang="en-US"/>
            <a:t>Attended for RSVi</a:t>
          </a:r>
        </a:p>
      </dgm:t>
    </dgm:pt>
    <dgm:pt modelId="{B3041DDB-9CA0-4C59-B522-EBF85A8903EA}" type="parTrans" cxnId="{8BBE992C-CCA0-4368-B145-8D997BE46DB1}">
      <dgm:prSet/>
      <dgm:spPr/>
      <dgm:t>
        <a:bodyPr/>
        <a:lstStyle/>
        <a:p>
          <a:endParaRPr lang="en-US"/>
        </a:p>
      </dgm:t>
    </dgm:pt>
    <dgm:pt modelId="{A0514011-A295-48D4-A154-745F52FAC44F}" type="sibTrans" cxnId="{8BBE992C-CCA0-4368-B145-8D997BE46DB1}">
      <dgm:prSet/>
      <dgm:spPr/>
      <dgm:t>
        <a:bodyPr/>
        <a:lstStyle/>
        <a:p>
          <a:endParaRPr lang="en-US"/>
        </a:p>
      </dgm:t>
    </dgm:pt>
    <dgm:pt modelId="{F30AFCFF-ABD5-4A64-B224-A49FD05908CC}">
      <dgm:prSet/>
      <dgm:spPr/>
      <dgm:t>
        <a:bodyPr/>
        <a:lstStyle/>
        <a:p>
          <a:r>
            <a:rPr lang="en-US"/>
            <a:t>Not attended for RSVi (unknown)</a:t>
          </a:r>
        </a:p>
      </dgm:t>
    </dgm:pt>
    <dgm:pt modelId="{548BC091-8741-4729-81C6-35B49B6CC40B}" type="parTrans" cxnId="{86C16B00-B198-4302-91CF-49ADA3BDAFE8}">
      <dgm:prSet/>
      <dgm:spPr/>
      <dgm:t>
        <a:bodyPr/>
        <a:lstStyle/>
        <a:p>
          <a:endParaRPr lang="en-US"/>
        </a:p>
      </dgm:t>
    </dgm:pt>
    <dgm:pt modelId="{0D8E51D7-1551-4D98-84B4-14FAE02E6EE4}" type="sibTrans" cxnId="{86C16B00-B198-4302-91CF-49ADA3BDAFE8}">
      <dgm:prSet/>
      <dgm:spPr/>
      <dgm:t>
        <a:bodyPr/>
        <a:lstStyle/>
        <a:p>
          <a:endParaRPr lang="en-US"/>
        </a:p>
      </dgm:t>
    </dgm:pt>
    <dgm:pt modelId="{DC35F9D1-97EA-492D-9DF3-9222136114B8}">
      <dgm:prSet/>
      <dgm:spPr/>
      <dgm:t>
        <a:bodyPr/>
        <a:lstStyle/>
        <a:p>
          <a:r>
            <a:rPr lang="en-US"/>
            <a:t>Ineffective Immunization</a:t>
          </a:r>
        </a:p>
      </dgm:t>
    </dgm:pt>
    <dgm:pt modelId="{91AC9A52-95B9-4C43-A9D7-39CAD709BB70}" type="parTrans" cxnId="{5EF13AE4-C53D-473C-9301-67E2C6E96214}">
      <dgm:prSet/>
      <dgm:spPr/>
      <dgm:t>
        <a:bodyPr/>
        <a:lstStyle/>
        <a:p>
          <a:endParaRPr lang="en-US"/>
        </a:p>
      </dgm:t>
    </dgm:pt>
    <dgm:pt modelId="{07920474-606C-4A7F-9DC4-9D9B7A398AC1}" type="sibTrans" cxnId="{5EF13AE4-C53D-473C-9301-67E2C6E96214}">
      <dgm:prSet/>
      <dgm:spPr/>
      <dgm:t>
        <a:bodyPr/>
        <a:lstStyle/>
        <a:p>
          <a:endParaRPr lang="en-US"/>
        </a:p>
      </dgm:t>
    </dgm:pt>
    <dgm:pt modelId="{25DE89D7-A3B8-4E10-BEBF-BD6FEED61D4F}">
      <dgm:prSet/>
      <dgm:spPr/>
      <dgm:t>
        <a:bodyPr/>
        <a:lstStyle/>
        <a:p>
          <a:r>
            <a:rPr lang="en-US"/>
            <a:t>Effective immunization</a:t>
          </a:r>
        </a:p>
      </dgm:t>
    </dgm:pt>
    <dgm:pt modelId="{C157CAAB-90F3-402E-97A2-4A6979BA2157}" type="parTrans" cxnId="{15241274-0502-428A-81F2-2420EC76AD20}">
      <dgm:prSet/>
      <dgm:spPr/>
      <dgm:t>
        <a:bodyPr/>
        <a:lstStyle/>
        <a:p>
          <a:endParaRPr lang="en-US"/>
        </a:p>
      </dgm:t>
    </dgm:pt>
    <dgm:pt modelId="{CA489387-1EFA-46FE-ACC3-8C0AC9734209}" type="sibTrans" cxnId="{15241274-0502-428A-81F2-2420EC76AD20}">
      <dgm:prSet/>
      <dgm:spPr/>
      <dgm:t>
        <a:bodyPr/>
        <a:lstStyle/>
        <a:p>
          <a:endParaRPr lang="en-US"/>
        </a:p>
      </dgm:t>
    </dgm:pt>
    <dgm:pt modelId="{4BF81B5F-2337-4A5B-905D-1F5FDBF27548}">
      <dgm:prSet/>
      <dgm:spPr/>
      <dgm:t>
        <a:bodyPr/>
        <a:lstStyle/>
        <a:p>
          <a:r>
            <a:rPr lang="en-US"/>
            <a:t>Attended for RSVi</a:t>
          </a:r>
        </a:p>
      </dgm:t>
    </dgm:pt>
    <dgm:pt modelId="{04A105A9-3017-4B8D-9508-E5DEFC00C088}" type="parTrans" cxnId="{220FA77B-A5B6-483F-9674-B46AFA17FD03}">
      <dgm:prSet/>
      <dgm:spPr/>
      <dgm:t>
        <a:bodyPr/>
        <a:lstStyle/>
        <a:p>
          <a:endParaRPr lang="en-US"/>
        </a:p>
      </dgm:t>
    </dgm:pt>
    <dgm:pt modelId="{2CE80876-5980-4A21-9726-C72CD9EFE182}" type="sibTrans" cxnId="{220FA77B-A5B6-483F-9674-B46AFA17FD03}">
      <dgm:prSet/>
      <dgm:spPr/>
      <dgm:t>
        <a:bodyPr/>
        <a:lstStyle/>
        <a:p>
          <a:endParaRPr lang="en-US"/>
        </a:p>
      </dgm:t>
    </dgm:pt>
    <dgm:pt modelId="{133FCF82-A0C7-476A-9A16-0E69F456FCA1}">
      <dgm:prSet/>
      <dgm:spPr/>
      <dgm:t>
        <a:bodyPr/>
        <a:lstStyle/>
        <a:p>
          <a:r>
            <a:rPr lang="en-US"/>
            <a:t>Not attended for RSVi (unknown)</a:t>
          </a:r>
        </a:p>
      </dgm:t>
    </dgm:pt>
    <dgm:pt modelId="{80B64253-15FA-4639-835C-7DC8AC8A6B1F}" type="sibTrans" cxnId="{98AC97AF-6778-4030-AA5A-5DF57DA058AF}">
      <dgm:prSet/>
      <dgm:spPr/>
      <dgm:t>
        <a:bodyPr/>
        <a:lstStyle/>
        <a:p>
          <a:endParaRPr lang="en-US"/>
        </a:p>
      </dgm:t>
    </dgm:pt>
    <dgm:pt modelId="{D8A56659-6D20-42C1-B6AD-59D93C320E50}" type="parTrans" cxnId="{98AC97AF-6778-4030-AA5A-5DF57DA058AF}">
      <dgm:prSet/>
      <dgm:spPr/>
      <dgm:t>
        <a:bodyPr/>
        <a:lstStyle/>
        <a:p>
          <a:endParaRPr lang="en-US"/>
        </a:p>
      </dgm:t>
    </dgm:pt>
    <dgm:pt modelId="{2F0C23F0-034E-47DE-9BD4-0017692BC656}">
      <dgm:prSet/>
      <dgm:spPr/>
      <dgm:t>
        <a:bodyPr/>
        <a:lstStyle/>
        <a:p>
          <a:r>
            <a:rPr lang="en-US"/>
            <a:t>Attended for RSVi</a:t>
          </a:r>
        </a:p>
      </dgm:t>
    </dgm:pt>
    <dgm:pt modelId="{E78C1670-1F60-4644-ADC5-68134567964F}" type="parTrans" cxnId="{82A8356F-53D3-4F8C-8B5C-B9743F742CF7}">
      <dgm:prSet/>
      <dgm:spPr/>
      <dgm:t>
        <a:bodyPr/>
        <a:lstStyle/>
        <a:p>
          <a:endParaRPr lang="en-US"/>
        </a:p>
      </dgm:t>
    </dgm:pt>
    <dgm:pt modelId="{C105ED00-0CEF-49BF-B900-F0DEBCAF0FB9}" type="sibTrans" cxnId="{82A8356F-53D3-4F8C-8B5C-B9743F742CF7}">
      <dgm:prSet/>
      <dgm:spPr/>
      <dgm:t>
        <a:bodyPr/>
        <a:lstStyle/>
        <a:p>
          <a:endParaRPr lang="en-US"/>
        </a:p>
      </dgm:t>
    </dgm:pt>
    <dgm:pt modelId="{A55A5135-4F4D-49A5-9097-6417036A723C}">
      <dgm:prSet/>
      <dgm:spPr/>
      <dgm:t>
        <a:bodyPr/>
        <a:lstStyle/>
        <a:p>
          <a:r>
            <a:rPr lang="en-US"/>
            <a:t>Not attended for RSVi (unknown)</a:t>
          </a:r>
        </a:p>
      </dgm:t>
    </dgm:pt>
    <dgm:pt modelId="{78ADC1B5-A07E-4CA7-9CE8-9BBE3AB571DE}" type="parTrans" cxnId="{8F62DD7E-294D-4798-A8E3-305ED066DDAA}">
      <dgm:prSet/>
      <dgm:spPr/>
      <dgm:t>
        <a:bodyPr/>
        <a:lstStyle/>
        <a:p>
          <a:endParaRPr lang="en-US"/>
        </a:p>
      </dgm:t>
    </dgm:pt>
    <dgm:pt modelId="{0C4CD1AB-64CE-4DAD-854E-E81ED277A5D7}" type="sibTrans" cxnId="{8F62DD7E-294D-4798-A8E3-305ED066DDAA}">
      <dgm:prSet/>
      <dgm:spPr/>
      <dgm:t>
        <a:bodyPr/>
        <a:lstStyle/>
        <a:p>
          <a:endParaRPr lang="en-US"/>
        </a:p>
      </dgm:t>
    </dgm:pt>
    <dgm:pt modelId="{4224531C-D367-41A8-8FF0-E3D7FF7958B3}" type="pres">
      <dgm:prSet presAssocID="{D74020D6-1B0B-4CCC-AEBF-4B72CD0FEFFC}" presName="diagram" presStyleCnt="0">
        <dgm:presLayoutVars>
          <dgm:chPref val="1"/>
          <dgm:dir/>
          <dgm:animOne val="branch"/>
          <dgm:animLvl val="lvl"/>
          <dgm:resizeHandles val="exact"/>
        </dgm:presLayoutVars>
      </dgm:prSet>
      <dgm:spPr/>
    </dgm:pt>
    <dgm:pt modelId="{4B7B08B0-A0D1-4900-9421-009EFE3AE00E}" type="pres">
      <dgm:prSet presAssocID="{6914D578-3931-451E-89E8-8A1D800E43D5}" presName="root1" presStyleCnt="0"/>
      <dgm:spPr/>
    </dgm:pt>
    <dgm:pt modelId="{1DF24FF4-65E9-4FD0-BBF7-535E23B86F51}" type="pres">
      <dgm:prSet presAssocID="{6914D578-3931-451E-89E8-8A1D800E43D5}" presName="LevelOneTextNode" presStyleLbl="node0" presStyleIdx="0" presStyleCnt="1">
        <dgm:presLayoutVars>
          <dgm:chPref val="3"/>
        </dgm:presLayoutVars>
      </dgm:prSet>
      <dgm:spPr/>
    </dgm:pt>
    <dgm:pt modelId="{8F43EDE8-18EB-46E8-843F-13FEA0F0A3BC}" type="pres">
      <dgm:prSet presAssocID="{6914D578-3931-451E-89E8-8A1D800E43D5}" presName="level2hierChild" presStyleCnt="0"/>
      <dgm:spPr/>
    </dgm:pt>
    <dgm:pt modelId="{46328FCF-7374-4CD6-898D-A4BB847D1019}" type="pres">
      <dgm:prSet presAssocID="{A5C43168-80CC-4DFE-BF31-3445B77B6CD8}" presName="conn2-1" presStyleLbl="parChTrans1D2" presStyleIdx="0" presStyleCnt="2"/>
      <dgm:spPr/>
    </dgm:pt>
    <dgm:pt modelId="{BAB5AD83-4318-4C8E-BE3B-ACF8CD088F49}" type="pres">
      <dgm:prSet presAssocID="{A5C43168-80CC-4DFE-BF31-3445B77B6CD8}" presName="connTx" presStyleLbl="parChTrans1D2" presStyleIdx="0" presStyleCnt="2"/>
      <dgm:spPr/>
    </dgm:pt>
    <dgm:pt modelId="{4EFE4116-42CC-4367-ABC3-4E54BD4CC8C9}" type="pres">
      <dgm:prSet presAssocID="{7A5312AE-44FE-4659-81A4-FF18BBB117EA}" presName="root2" presStyleCnt="0"/>
      <dgm:spPr/>
    </dgm:pt>
    <dgm:pt modelId="{5960C443-79EE-4C11-B575-C92B93F02E5F}" type="pres">
      <dgm:prSet presAssocID="{7A5312AE-44FE-4659-81A4-FF18BBB117EA}" presName="LevelTwoTextNode" presStyleLbl="node2" presStyleIdx="0" presStyleCnt="2">
        <dgm:presLayoutVars>
          <dgm:chPref val="3"/>
        </dgm:presLayoutVars>
      </dgm:prSet>
      <dgm:spPr/>
    </dgm:pt>
    <dgm:pt modelId="{87C8C7BF-FB66-4390-BD51-ED84BA124DB7}" type="pres">
      <dgm:prSet presAssocID="{7A5312AE-44FE-4659-81A4-FF18BBB117EA}" presName="level3hierChild" presStyleCnt="0"/>
      <dgm:spPr/>
    </dgm:pt>
    <dgm:pt modelId="{D199F58D-C821-475C-8540-5969BD740D23}" type="pres">
      <dgm:prSet presAssocID="{14E7E0EC-FD6A-4B38-A38E-B38CE691F4A6}" presName="conn2-1" presStyleLbl="parChTrans1D3" presStyleIdx="0" presStyleCnt="4"/>
      <dgm:spPr/>
    </dgm:pt>
    <dgm:pt modelId="{A6AFE826-6554-48D7-95CC-D1F938D64AA9}" type="pres">
      <dgm:prSet presAssocID="{14E7E0EC-FD6A-4B38-A38E-B38CE691F4A6}" presName="connTx" presStyleLbl="parChTrans1D3" presStyleIdx="0" presStyleCnt="4"/>
      <dgm:spPr/>
    </dgm:pt>
    <dgm:pt modelId="{2A42AEEC-8E65-41E8-979D-F99E3CB9B2A3}" type="pres">
      <dgm:prSet presAssocID="{95E0A5C9-EC08-43F9-BBD4-D70705619AAF}" presName="root2" presStyleCnt="0"/>
      <dgm:spPr/>
    </dgm:pt>
    <dgm:pt modelId="{74067E4F-88B5-4676-B9CB-9203B231B59A}" type="pres">
      <dgm:prSet presAssocID="{95E0A5C9-EC08-43F9-BBD4-D70705619AAF}" presName="LevelTwoTextNode" presStyleLbl="node3" presStyleIdx="0" presStyleCnt="4">
        <dgm:presLayoutVars>
          <dgm:chPref val="3"/>
        </dgm:presLayoutVars>
      </dgm:prSet>
      <dgm:spPr/>
    </dgm:pt>
    <dgm:pt modelId="{EE9CBBF5-F375-48CF-8B51-4D4A64AE2864}" type="pres">
      <dgm:prSet presAssocID="{95E0A5C9-EC08-43F9-BBD4-D70705619AAF}" presName="level3hierChild" presStyleCnt="0"/>
      <dgm:spPr/>
    </dgm:pt>
    <dgm:pt modelId="{2CD95D4A-6B3C-4EDE-A5AB-75AAAEEA5623}" type="pres">
      <dgm:prSet presAssocID="{EA463C90-C30C-4F8A-B28F-EFAE48225FC1}" presName="conn2-1" presStyleLbl="parChTrans1D4" presStyleIdx="0" presStyleCnt="12"/>
      <dgm:spPr/>
    </dgm:pt>
    <dgm:pt modelId="{A408B730-7592-4E74-A5D7-FF85459C9521}" type="pres">
      <dgm:prSet presAssocID="{EA463C90-C30C-4F8A-B28F-EFAE48225FC1}" presName="connTx" presStyleLbl="parChTrans1D4" presStyleIdx="0" presStyleCnt="12"/>
      <dgm:spPr/>
    </dgm:pt>
    <dgm:pt modelId="{CA4F0D53-9715-454B-926D-EA1F0F8893CC}" type="pres">
      <dgm:prSet presAssocID="{9634325D-7534-45D3-B18C-D04D7A73A4B3}" presName="root2" presStyleCnt="0"/>
      <dgm:spPr/>
    </dgm:pt>
    <dgm:pt modelId="{3E345B89-7871-4461-867C-753F94C717CF}" type="pres">
      <dgm:prSet presAssocID="{9634325D-7534-45D3-B18C-D04D7A73A4B3}" presName="LevelTwoTextNode" presStyleLbl="node4" presStyleIdx="0" presStyleCnt="12">
        <dgm:presLayoutVars>
          <dgm:chPref val="3"/>
        </dgm:presLayoutVars>
      </dgm:prSet>
      <dgm:spPr/>
    </dgm:pt>
    <dgm:pt modelId="{124D451F-D56E-466C-971B-3A490CB69B42}" type="pres">
      <dgm:prSet presAssocID="{9634325D-7534-45D3-B18C-D04D7A73A4B3}" presName="level3hierChild" presStyleCnt="0"/>
      <dgm:spPr/>
    </dgm:pt>
    <dgm:pt modelId="{B948208A-4E7F-4748-83EF-CDDBCB0279A7}" type="pres">
      <dgm:prSet presAssocID="{B3041DDB-9CA0-4C59-B522-EBF85A8903EA}" presName="conn2-1" presStyleLbl="parChTrans1D4" presStyleIdx="1" presStyleCnt="12"/>
      <dgm:spPr/>
    </dgm:pt>
    <dgm:pt modelId="{B7D6AE24-67BB-4044-9BB5-9E7395B2AFDB}" type="pres">
      <dgm:prSet presAssocID="{B3041DDB-9CA0-4C59-B522-EBF85A8903EA}" presName="connTx" presStyleLbl="parChTrans1D4" presStyleIdx="1" presStyleCnt="12"/>
      <dgm:spPr/>
    </dgm:pt>
    <dgm:pt modelId="{AFB76B1F-BBDF-4BA7-8E0D-666F2780AAAF}" type="pres">
      <dgm:prSet presAssocID="{C2576AB8-069E-4EBE-BFA1-C7820DF17431}" presName="root2" presStyleCnt="0"/>
      <dgm:spPr/>
    </dgm:pt>
    <dgm:pt modelId="{21FF5062-4C10-4032-8F9A-468B33F65D4B}" type="pres">
      <dgm:prSet presAssocID="{C2576AB8-069E-4EBE-BFA1-C7820DF17431}" presName="LevelTwoTextNode" presStyleLbl="node4" presStyleIdx="1" presStyleCnt="12">
        <dgm:presLayoutVars>
          <dgm:chPref val="3"/>
        </dgm:presLayoutVars>
      </dgm:prSet>
      <dgm:spPr/>
    </dgm:pt>
    <dgm:pt modelId="{90C9FA07-D979-433E-BB43-7D61D58E7B70}" type="pres">
      <dgm:prSet presAssocID="{C2576AB8-069E-4EBE-BFA1-C7820DF17431}" presName="level3hierChild" presStyleCnt="0"/>
      <dgm:spPr/>
    </dgm:pt>
    <dgm:pt modelId="{3B1E477B-8F54-4462-BDEB-52200DC6C9CD}" type="pres">
      <dgm:prSet presAssocID="{548BC091-8741-4729-81C6-35B49B6CC40B}" presName="conn2-1" presStyleLbl="parChTrans1D4" presStyleIdx="2" presStyleCnt="12"/>
      <dgm:spPr/>
    </dgm:pt>
    <dgm:pt modelId="{01DB1E1C-8BC2-4A94-9E2E-9822FF477F3D}" type="pres">
      <dgm:prSet presAssocID="{548BC091-8741-4729-81C6-35B49B6CC40B}" presName="connTx" presStyleLbl="parChTrans1D4" presStyleIdx="2" presStyleCnt="12"/>
      <dgm:spPr/>
    </dgm:pt>
    <dgm:pt modelId="{3CDD3CF3-B117-46B3-8236-A72A463BE006}" type="pres">
      <dgm:prSet presAssocID="{F30AFCFF-ABD5-4A64-B224-A49FD05908CC}" presName="root2" presStyleCnt="0"/>
      <dgm:spPr/>
    </dgm:pt>
    <dgm:pt modelId="{F05A5B4C-F589-4F65-8049-A4D4782BB765}" type="pres">
      <dgm:prSet presAssocID="{F30AFCFF-ABD5-4A64-B224-A49FD05908CC}" presName="LevelTwoTextNode" presStyleLbl="node4" presStyleIdx="2" presStyleCnt="12">
        <dgm:presLayoutVars>
          <dgm:chPref val="3"/>
        </dgm:presLayoutVars>
      </dgm:prSet>
      <dgm:spPr/>
    </dgm:pt>
    <dgm:pt modelId="{8963E6CD-9ECD-4D0D-BD11-EE12D4E41926}" type="pres">
      <dgm:prSet presAssocID="{F30AFCFF-ABD5-4A64-B224-A49FD05908CC}" presName="level3hierChild" presStyleCnt="0"/>
      <dgm:spPr/>
    </dgm:pt>
    <dgm:pt modelId="{303FF90A-3BD1-44C3-8051-5E9AF647B0D0}" type="pres">
      <dgm:prSet presAssocID="{0CC5CA5E-C310-4343-A33A-E93FFFC4E904}" presName="conn2-1" presStyleLbl="parChTrans1D4" presStyleIdx="3" presStyleCnt="12"/>
      <dgm:spPr/>
    </dgm:pt>
    <dgm:pt modelId="{A42696F1-4696-4948-BC6F-FF7155E9BD98}" type="pres">
      <dgm:prSet presAssocID="{0CC5CA5E-C310-4343-A33A-E93FFFC4E904}" presName="connTx" presStyleLbl="parChTrans1D4" presStyleIdx="3" presStyleCnt="12"/>
      <dgm:spPr/>
    </dgm:pt>
    <dgm:pt modelId="{BA65D77E-8845-4F8C-BD02-45E7AAA12A1E}" type="pres">
      <dgm:prSet presAssocID="{8E8CF43D-4D25-488B-8B7C-6CFBDFB80D27}" presName="root2" presStyleCnt="0"/>
      <dgm:spPr/>
    </dgm:pt>
    <dgm:pt modelId="{35F01F20-9520-4993-B204-DF8650924D5C}" type="pres">
      <dgm:prSet presAssocID="{8E8CF43D-4D25-488B-8B7C-6CFBDFB80D27}" presName="LevelTwoTextNode" presStyleLbl="node4" presStyleIdx="3" presStyleCnt="12">
        <dgm:presLayoutVars>
          <dgm:chPref val="3"/>
        </dgm:presLayoutVars>
      </dgm:prSet>
      <dgm:spPr/>
    </dgm:pt>
    <dgm:pt modelId="{18BADD64-C107-4E48-89CE-0D2367A8CD88}" type="pres">
      <dgm:prSet presAssocID="{8E8CF43D-4D25-488B-8B7C-6CFBDFB80D27}" presName="level3hierChild" presStyleCnt="0"/>
      <dgm:spPr/>
    </dgm:pt>
    <dgm:pt modelId="{313EEE47-0C55-437E-A459-955CB1274A60}" type="pres">
      <dgm:prSet presAssocID="{86B6C90B-523F-4009-A56B-01303785F241}" presName="conn2-1" presStyleLbl="parChTrans1D3" presStyleIdx="1" presStyleCnt="4"/>
      <dgm:spPr/>
    </dgm:pt>
    <dgm:pt modelId="{6C22EB6F-476C-4287-AA6B-6EC17BB682E5}" type="pres">
      <dgm:prSet presAssocID="{86B6C90B-523F-4009-A56B-01303785F241}" presName="connTx" presStyleLbl="parChTrans1D3" presStyleIdx="1" presStyleCnt="4"/>
      <dgm:spPr/>
    </dgm:pt>
    <dgm:pt modelId="{2459186B-AD01-459C-8629-43D6CA5D40B2}" type="pres">
      <dgm:prSet presAssocID="{D64009BE-02FC-4009-A204-AABE306EFBC2}" presName="root2" presStyleCnt="0"/>
      <dgm:spPr/>
    </dgm:pt>
    <dgm:pt modelId="{C90C1898-B0F1-45FF-B194-483AB7CA7899}" type="pres">
      <dgm:prSet presAssocID="{D64009BE-02FC-4009-A204-AABE306EFBC2}" presName="LevelTwoTextNode" presStyleLbl="node3" presStyleIdx="1" presStyleCnt="4">
        <dgm:presLayoutVars>
          <dgm:chPref val="3"/>
        </dgm:presLayoutVars>
      </dgm:prSet>
      <dgm:spPr/>
    </dgm:pt>
    <dgm:pt modelId="{EFB39A3D-9C3D-4395-94FA-F6FCB43A033C}" type="pres">
      <dgm:prSet presAssocID="{D64009BE-02FC-4009-A204-AABE306EFBC2}" presName="level3hierChild" presStyleCnt="0"/>
      <dgm:spPr/>
    </dgm:pt>
    <dgm:pt modelId="{3061E304-D57A-4D34-AC24-653EFB945DEC}" type="pres">
      <dgm:prSet presAssocID="{96C84A09-6F1F-4DE1-8A6E-27437800307C}" presName="conn2-1" presStyleLbl="parChTrans1D4" presStyleIdx="4" presStyleCnt="12"/>
      <dgm:spPr/>
    </dgm:pt>
    <dgm:pt modelId="{D0770635-FA68-4A0A-A604-4E208AEAEE8E}" type="pres">
      <dgm:prSet presAssocID="{96C84A09-6F1F-4DE1-8A6E-27437800307C}" presName="connTx" presStyleLbl="parChTrans1D4" presStyleIdx="4" presStyleCnt="12"/>
      <dgm:spPr/>
    </dgm:pt>
    <dgm:pt modelId="{2E2D24E4-CC23-42C4-85AD-30A22A765596}" type="pres">
      <dgm:prSet presAssocID="{905F4F3F-925A-4AD7-878E-A4CA4A9E8AB9}" presName="root2" presStyleCnt="0"/>
      <dgm:spPr/>
    </dgm:pt>
    <dgm:pt modelId="{4CB7EB8A-F87D-4173-93E3-A13199C579FF}" type="pres">
      <dgm:prSet presAssocID="{905F4F3F-925A-4AD7-878E-A4CA4A9E8AB9}" presName="LevelTwoTextNode" presStyleLbl="node4" presStyleIdx="4" presStyleCnt="12">
        <dgm:presLayoutVars>
          <dgm:chPref val="3"/>
        </dgm:presLayoutVars>
      </dgm:prSet>
      <dgm:spPr/>
    </dgm:pt>
    <dgm:pt modelId="{D859B00B-EAC2-4CCF-A427-EBA4CF6793A4}" type="pres">
      <dgm:prSet presAssocID="{905F4F3F-925A-4AD7-878E-A4CA4A9E8AB9}" presName="level3hierChild" presStyleCnt="0"/>
      <dgm:spPr/>
    </dgm:pt>
    <dgm:pt modelId="{018C0ED1-DC97-4CF5-A34F-FD4CED25B509}" type="pres">
      <dgm:prSet presAssocID="{C205D907-F92B-451F-B455-798A02425413}" presName="conn2-1" presStyleLbl="parChTrans1D4" presStyleIdx="5" presStyleCnt="12"/>
      <dgm:spPr/>
    </dgm:pt>
    <dgm:pt modelId="{C863E2C3-5B35-4432-90F7-5AADD4139AEA}" type="pres">
      <dgm:prSet presAssocID="{C205D907-F92B-451F-B455-798A02425413}" presName="connTx" presStyleLbl="parChTrans1D4" presStyleIdx="5" presStyleCnt="12"/>
      <dgm:spPr/>
    </dgm:pt>
    <dgm:pt modelId="{A2882756-291E-4D6B-AA29-FBFF193B0AC4}" type="pres">
      <dgm:prSet presAssocID="{760C0BEC-607A-4234-A426-3A1181ED6DEB}" presName="root2" presStyleCnt="0"/>
      <dgm:spPr/>
    </dgm:pt>
    <dgm:pt modelId="{B8017BAD-EBEB-4148-864A-96BF5C1D1B7F}" type="pres">
      <dgm:prSet presAssocID="{760C0BEC-607A-4234-A426-3A1181ED6DEB}" presName="LevelTwoTextNode" presStyleLbl="node4" presStyleIdx="5" presStyleCnt="12">
        <dgm:presLayoutVars>
          <dgm:chPref val="3"/>
        </dgm:presLayoutVars>
      </dgm:prSet>
      <dgm:spPr/>
    </dgm:pt>
    <dgm:pt modelId="{41D63F7F-2A1A-4C3E-97A8-3C9D40FFB14C}" type="pres">
      <dgm:prSet presAssocID="{760C0BEC-607A-4234-A426-3A1181ED6DEB}" presName="level3hierChild" presStyleCnt="0"/>
      <dgm:spPr/>
    </dgm:pt>
    <dgm:pt modelId="{F8C38CA0-C7BF-4981-B46D-FF9F55745EDC}" type="pres">
      <dgm:prSet presAssocID="{A4D2A0EF-9253-44A1-8D56-EE73FF952613}" presName="conn2-1" presStyleLbl="parChTrans1D2" presStyleIdx="1" presStyleCnt="2"/>
      <dgm:spPr/>
    </dgm:pt>
    <dgm:pt modelId="{C75DB8B5-7EB8-4C98-AC77-D336A321113B}" type="pres">
      <dgm:prSet presAssocID="{A4D2A0EF-9253-44A1-8D56-EE73FF952613}" presName="connTx" presStyleLbl="parChTrans1D2" presStyleIdx="1" presStyleCnt="2"/>
      <dgm:spPr/>
    </dgm:pt>
    <dgm:pt modelId="{DDAF7AED-35E3-4D40-8C9B-003FA918517C}" type="pres">
      <dgm:prSet presAssocID="{4827511E-F26C-4C9E-AD76-10B79F2C3461}" presName="root2" presStyleCnt="0"/>
      <dgm:spPr/>
    </dgm:pt>
    <dgm:pt modelId="{A0E0016B-F32D-4968-9570-D11C7D46C3B3}" type="pres">
      <dgm:prSet presAssocID="{4827511E-F26C-4C9E-AD76-10B79F2C3461}" presName="LevelTwoTextNode" presStyleLbl="node2" presStyleIdx="1" presStyleCnt="2">
        <dgm:presLayoutVars>
          <dgm:chPref val="3"/>
        </dgm:presLayoutVars>
      </dgm:prSet>
      <dgm:spPr/>
    </dgm:pt>
    <dgm:pt modelId="{C845DE89-9C20-4900-BB0C-E06721A4D3E3}" type="pres">
      <dgm:prSet presAssocID="{4827511E-F26C-4C9E-AD76-10B79F2C3461}" presName="level3hierChild" presStyleCnt="0"/>
      <dgm:spPr/>
    </dgm:pt>
    <dgm:pt modelId="{2252990B-B8D6-4C68-A4C9-D984679027FF}" type="pres">
      <dgm:prSet presAssocID="{4F0F703D-7C98-4926-841F-FD0DB495FB54}" presName="conn2-1" presStyleLbl="parChTrans1D3" presStyleIdx="2" presStyleCnt="4"/>
      <dgm:spPr/>
    </dgm:pt>
    <dgm:pt modelId="{211ECF60-45A8-4042-BE12-A38659FF5DF4}" type="pres">
      <dgm:prSet presAssocID="{4F0F703D-7C98-4926-841F-FD0DB495FB54}" presName="connTx" presStyleLbl="parChTrans1D3" presStyleIdx="2" presStyleCnt="4"/>
      <dgm:spPr/>
    </dgm:pt>
    <dgm:pt modelId="{3A68A11E-AB01-40BC-A8E8-8B348E53BECF}" type="pres">
      <dgm:prSet presAssocID="{2927D317-D0B2-4A3D-9570-2E42938FB443}" presName="root2" presStyleCnt="0"/>
      <dgm:spPr/>
    </dgm:pt>
    <dgm:pt modelId="{B214ECC6-E7EF-4C95-8CEC-9DBA2EEEEF48}" type="pres">
      <dgm:prSet presAssocID="{2927D317-D0B2-4A3D-9570-2E42938FB443}" presName="LevelTwoTextNode" presStyleLbl="node3" presStyleIdx="2" presStyleCnt="4">
        <dgm:presLayoutVars>
          <dgm:chPref val="3"/>
        </dgm:presLayoutVars>
      </dgm:prSet>
      <dgm:spPr/>
    </dgm:pt>
    <dgm:pt modelId="{160EB47E-24EC-4091-BF92-748419F47503}" type="pres">
      <dgm:prSet presAssocID="{2927D317-D0B2-4A3D-9570-2E42938FB443}" presName="level3hierChild" presStyleCnt="0"/>
      <dgm:spPr/>
    </dgm:pt>
    <dgm:pt modelId="{D1E42627-9ACC-44BF-9431-B63966AE184F}" type="pres">
      <dgm:prSet presAssocID="{91AC9A52-95B9-4C43-A9D7-39CAD709BB70}" presName="conn2-1" presStyleLbl="parChTrans1D4" presStyleIdx="6" presStyleCnt="12"/>
      <dgm:spPr/>
    </dgm:pt>
    <dgm:pt modelId="{FC2D065B-1430-42A5-9F3C-2CC2C50AC5D0}" type="pres">
      <dgm:prSet presAssocID="{91AC9A52-95B9-4C43-A9D7-39CAD709BB70}" presName="connTx" presStyleLbl="parChTrans1D4" presStyleIdx="6" presStyleCnt="12"/>
      <dgm:spPr/>
    </dgm:pt>
    <dgm:pt modelId="{186F954A-533C-4232-B703-D4F9E1FC15FE}" type="pres">
      <dgm:prSet presAssocID="{DC35F9D1-97EA-492D-9DF3-9222136114B8}" presName="root2" presStyleCnt="0"/>
      <dgm:spPr/>
    </dgm:pt>
    <dgm:pt modelId="{17B55029-04C4-4A3F-83B8-7217ED1A4AF0}" type="pres">
      <dgm:prSet presAssocID="{DC35F9D1-97EA-492D-9DF3-9222136114B8}" presName="LevelTwoTextNode" presStyleLbl="node4" presStyleIdx="6" presStyleCnt="12">
        <dgm:presLayoutVars>
          <dgm:chPref val="3"/>
        </dgm:presLayoutVars>
      </dgm:prSet>
      <dgm:spPr/>
    </dgm:pt>
    <dgm:pt modelId="{4826D421-0228-4346-B40E-F76782DA95AF}" type="pres">
      <dgm:prSet presAssocID="{DC35F9D1-97EA-492D-9DF3-9222136114B8}" presName="level3hierChild" presStyleCnt="0"/>
      <dgm:spPr/>
    </dgm:pt>
    <dgm:pt modelId="{8383F27E-0134-4796-BDE2-96EC041B30E1}" type="pres">
      <dgm:prSet presAssocID="{E78C1670-1F60-4644-ADC5-68134567964F}" presName="conn2-1" presStyleLbl="parChTrans1D4" presStyleIdx="7" presStyleCnt="12"/>
      <dgm:spPr/>
    </dgm:pt>
    <dgm:pt modelId="{F3EFC570-0A41-4545-97E3-E9996B6C2122}" type="pres">
      <dgm:prSet presAssocID="{E78C1670-1F60-4644-ADC5-68134567964F}" presName="connTx" presStyleLbl="parChTrans1D4" presStyleIdx="7" presStyleCnt="12"/>
      <dgm:spPr/>
    </dgm:pt>
    <dgm:pt modelId="{EBD78552-D9AC-4CA9-A9E9-30CDF0E7A1A4}" type="pres">
      <dgm:prSet presAssocID="{2F0C23F0-034E-47DE-9BD4-0017692BC656}" presName="root2" presStyleCnt="0"/>
      <dgm:spPr/>
    </dgm:pt>
    <dgm:pt modelId="{BC222C3D-74D6-4ADE-A286-A5999028E690}" type="pres">
      <dgm:prSet presAssocID="{2F0C23F0-034E-47DE-9BD4-0017692BC656}" presName="LevelTwoTextNode" presStyleLbl="node4" presStyleIdx="7" presStyleCnt="12">
        <dgm:presLayoutVars>
          <dgm:chPref val="3"/>
        </dgm:presLayoutVars>
      </dgm:prSet>
      <dgm:spPr/>
    </dgm:pt>
    <dgm:pt modelId="{3C8E42D4-F23F-4E8F-9054-C6CDD0FC3946}" type="pres">
      <dgm:prSet presAssocID="{2F0C23F0-034E-47DE-9BD4-0017692BC656}" presName="level3hierChild" presStyleCnt="0"/>
      <dgm:spPr/>
    </dgm:pt>
    <dgm:pt modelId="{A35B3DC6-DCE5-4922-87C1-DBB0FB6DEC65}" type="pres">
      <dgm:prSet presAssocID="{78ADC1B5-A07E-4CA7-9CE8-9BBE3AB571DE}" presName="conn2-1" presStyleLbl="parChTrans1D4" presStyleIdx="8" presStyleCnt="12"/>
      <dgm:spPr/>
    </dgm:pt>
    <dgm:pt modelId="{36F6C788-4926-4864-A2F1-6556BB6107EA}" type="pres">
      <dgm:prSet presAssocID="{78ADC1B5-A07E-4CA7-9CE8-9BBE3AB571DE}" presName="connTx" presStyleLbl="parChTrans1D4" presStyleIdx="8" presStyleCnt="12"/>
      <dgm:spPr/>
    </dgm:pt>
    <dgm:pt modelId="{EC31C81B-17A8-4313-8C56-8CB9FBD20667}" type="pres">
      <dgm:prSet presAssocID="{A55A5135-4F4D-49A5-9097-6417036A723C}" presName="root2" presStyleCnt="0"/>
      <dgm:spPr/>
    </dgm:pt>
    <dgm:pt modelId="{BDA3EFCC-DCB9-49A3-A4E9-CE1D79436675}" type="pres">
      <dgm:prSet presAssocID="{A55A5135-4F4D-49A5-9097-6417036A723C}" presName="LevelTwoTextNode" presStyleLbl="node4" presStyleIdx="8" presStyleCnt="12">
        <dgm:presLayoutVars>
          <dgm:chPref val="3"/>
        </dgm:presLayoutVars>
      </dgm:prSet>
      <dgm:spPr/>
    </dgm:pt>
    <dgm:pt modelId="{DFFDEA51-AFFA-48B0-9794-910166274721}" type="pres">
      <dgm:prSet presAssocID="{A55A5135-4F4D-49A5-9097-6417036A723C}" presName="level3hierChild" presStyleCnt="0"/>
      <dgm:spPr/>
    </dgm:pt>
    <dgm:pt modelId="{D44ADDC7-25F5-434B-B608-B4578BE8FB56}" type="pres">
      <dgm:prSet presAssocID="{C157CAAB-90F3-402E-97A2-4A6979BA2157}" presName="conn2-1" presStyleLbl="parChTrans1D4" presStyleIdx="9" presStyleCnt="12"/>
      <dgm:spPr/>
    </dgm:pt>
    <dgm:pt modelId="{6EBE1347-46BE-4AA6-8562-7B53A0771BEF}" type="pres">
      <dgm:prSet presAssocID="{C157CAAB-90F3-402E-97A2-4A6979BA2157}" presName="connTx" presStyleLbl="parChTrans1D4" presStyleIdx="9" presStyleCnt="12"/>
      <dgm:spPr/>
    </dgm:pt>
    <dgm:pt modelId="{52E0A128-FF28-448F-9D48-53DF96D755E0}" type="pres">
      <dgm:prSet presAssocID="{25DE89D7-A3B8-4E10-BEBF-BD6FEED61D4F}" presName="root2" presStyleCnt="0"/>
      <dgm:spPr/>
    </dgm:pt>
    <dgm:pt modelId="{5FE23F72-EC65-4DFF-B316-81A6F10DEBBF}" type="pres">
      <dgm:prSet presAssocID="{25DE89D7-A3B8-4E10-BEBF-BD6FEED61D4F}" presName="LevelTwoTextNode" presStyleLbl="node4" presStyleIdx="9" presStyleCnt="12">
        <dgm:presLayoutVars>
          <dgm:chPref val="3"/>
        </dgm:presLayoutVars>
      </dgm:prSet>
      <dgm:spPr/>
    </dgm:pt>
    <dgm:pt modelId="{9410192A-19AB-4352-8602-F89B863A2BDE}" type="pres">
      <dgm:prSet presAssocID="{25DE89D7-A3B8-4E10-BEBF-BD6FEED61D4F}" presName="level3hierChild" presStyleCnt="0"/>
      <dgm:spPr/>
    </dgm:pt>
    <dgm:pt modelId="{44658828-D7CD-4F70-836D-8C3C078402F8}" type="pres">
      <dgm:prSet presAssocID="{9114F52D-E3F8-45E3-B585-1C69F3F4E5BE}" presName="conn2-1" presStyleLbl="parChTrans1D3" presStyleIdx="3" presStyleCnt="4"/>
      <dgm:spPr/>
    </dgm:pt>
    <dgm:pt modelId="{44A6C031-26FD-4263-B365-8D4A990AEA3A}" type="pres">
      <dgm:prSet presAssocID="{9114F52D-E3F8-45E3-B585-1C69F3F4E5BE}" presName="connTx" presStyleLbl="parChTrans1D3" presStyleIdx="3" presStyleCnt="4"/>
      <dgm:spPr/>
    </dgm:pt>
    <dgm:pt modelId="{EDCFF2BC-CBCD-4674-9ACF-8BC9B8E15D58}" type="pres">
      <dgm:prSet presAssocID="{C09748D7-AD10-424E-8827-75419B1C9D1B}" presName="root2" presStyleCnt="0"/>
      <dgm:spPr/>
    </dgm:pt>
    <dgm:pt modelId="{4AEDC120-C860-48E0-B8D9-F608997C7356}" type="pres">
      <dgm:prSet presAssocID="{C09748D7-AD10-424E-8827-75419B1C9D1B}" presName="LevelTwoTextNode" presStyleLbl="node3" presStyleIdx="3" presStyleCnt="4">
        <dgm:presLayoutVars>
          <dgm:chPref val="3"/>
        </dgm:presLayoutVars>
      </dgm:prSet>
      <dgm:spPr/>
    </dgm:pt>
    <dgm:pt modelId="{12FB21C8-AAAB-4FE8-A8CB-37AF92CB8406}" type="pres">
      <dgm:prSet presAssocID="{C09748D7-AD10-424E-8827-75419B1C9D1B}" presName="level3hierChild" presStyleCnt="0"/>
      <dgm:spPr/>
    </dgm:pt>
    <dgm:pt modelId="{AD29CF92-BB00-4C55-B00B-580CC47455BD}" type="pres">
      <dgm:prSet presAssocID="{D8A56659-6D20-42C1-B6AD-59D93C320E50}" presName="conn2-1" presStyleLbl="parChTrans1D4" presStyleIdx="10" presStyleCnt="12"/>
      <dgm:spPr/>
    </dgm:pt>
    <dgm:pt modelId="{30BC44E3-B42A-4415-A828-AD1D23A80496}" type="pres">
      <dgm:prSet presAssocID="{D8A56659-6D20-42C1-B6AD-59D93C320E50}" presName="connTx" presStyleLbl="parChTrans1D4" presStyleIdx="10" presStyleCnt="12"/>
      <dgm:spPr/>
    </dgm:pt>
    <dgm:pt modelId="{02F64006-5B7E-45F0-AA14-412D0E5B7158}" type="pres">
      <dgm:prSet presAssocID="{133FCF82-A0C7-476A-9A16-0E69F456FCA1}" presName="root2" presStyleCnt="0"/>
      <dgm:spPr/>
    </dgm:pt>
    <dgm:pt modelId="{A2C68364-FC6D-4386-B9B9-F893B21B75A9}" type="pres">
      <dgm:prSet presAssocID="{133FCF82-A0C7-476A-9A16-0E69F456FCA1}" presName="LevelTwoTextNode" presStyleLbl="node4" presStyleIdx="10" presStyleCnt="12">
        <dgm:presLayoutVars>
          <dgm:chPref val="3"/>
        </dgm:presLayoutVars>
      </dgm:prSet>
      <dgm:spPr/>
    </dgm:pt>
    <dgm:pt modelId="{0D719BBE-5FBE-48C2-B751-34DBF526B682}" type="pres">
      <dgm:prSet presAssocID="{133FCF82-A0C7-476A-9A16-0E69F456FCA1}" presName="level3hierChild" presStyleCnt="0"/>
      <dgm:spPr/>
    </dgm:pt>
    <dgm:pt modelId="{86ADCC65-59BD-442D-A508-D2EA4100AEAE}" type="pres">
      <dgm:prSet presAssocID="{04A105A9-3017-4B8D-9508-E5DEFC00C088}" presName="conn2-1" presStyleLbl="parChTrans1D4" presStyleIdx="11" presStyleCnt="12"/>
      <dgm:spPr/>
    </dgm:pt>
    <dgm:pt modelId="{70A1CE07-76E8-427B-9092-BAF9B4904C80}" type="pres">
      <dgm:prSet presAssocID="{04A105A9-3017-4B8D-9508-E5DEFC00C088}" presName="connTx" presStyleLbl="parChTrans1D4" presStyleIdx="11" presStyleCnt="12"/>
      <dgm:spPr/>
    </dgm:pt>
    <dgm:pt modelId="{E4E96A7E-A12C-4DAE-B026-BF5E2C42CB64}" type="pres">
      <dgm:prSet presAssocID="{4BF81B5F-2337-4A5B-905D-1F5FDBF27548}" presName="root2" presStyleCnt="0"/>
      <dgm:spPr/>
    </dgm:pt>
    <dgm:pt modelId="{5FEDFFDC-1B64-41A4-B9ED-F2DD326AD3E3}" type="pres">
      <dgm:prSet presAssocID="{4BF81B5F-2337-4A5B-905D-1F5FDBF27548}" presName="LevelTwoTextNode" presStyleLbl="node4" presStyleIdx="11" presStyleCnt="12">
        <dgm:presLayoutVars>
          <dgm:chPref val="3"/>
        </dgm:presLayoutVars>
      </dgm:prSet>
      <dgm:spPr/>
    </dgm:pt>
    <dgm:pt modelId="{E4B7706E-9C1C-46A4-BDDD-125F514568D7}" type="pres">
      <dgm:prSet presAssocID="{4BF81B5F-2337-4A5B-905D-1F5FDBF27548}" presName="level3hierChild" presStyleCnt="0"/>
      <dgm:spPr/>
    </dgm:pt>
  </dgm:ptLst>
  <dgm:cxnLst>
    <dgm:cxn modelId="{86C16B00-B198-4302-91CF-49ADA3BDAFE8}" srcId="{9634325D-7534-45D3-B18C-D04D7A73A4B3}" destId="{F30AFCFF-ABD5-4A64-B224-A49FD05908CC}" srcOrd="1" destOrd="0" parTransId="{548BC091-8741-4729-81C6-35B49B6CC40B}" sibTransId="{0D8E51D7-1551-4D98-84B4-14FAE02E6EE4}"/>
    <dgm:cxn modelId="{13176205-13AC-451F-B598-EC453E11A16E}" type="presOf" srcId="{A5C43168-80CC-4DFE-BF31-3445B77B6CD8}" destId="{46328FCF-7374-4CD6-898D-A4BB847D1019}" srcOrd="0" destOrd="0" presId="urn:microsoft.com/office/officeart/2005/8/layout/hierarchy2"/>
    <dgm:cxn modelId="{873B4207-FF31-4DB7-8DB9-4CF2F068BAD4}" type="presOf" srcId="{4827511E-F26C-4C9E-AD76-10B79F2C3461}" destId="{A0E0016B-F32D-4968-9570-D11C7D46C3B3}" srcOrd="0" destOrd="0" presId="urn:microsoft.com/office/officeart/2005/8/layout/hierarchy2"/>
    <dgm:cxn modelId="{AD21240A-A5B1-40C3-9774-9C822AE6CC2F}" type="presOf" srcId="{A55A5135-4F4D-49A5-9097-6417036A723C}" destId="{BDA3EFCC-DCB9-49A3-A4E9-CE1D79436675}" srcOrd="0" destOrd="0" presId="urn:microsoft.com/office/officeart/2005/8/layout/hierarchy2"/>
    <dgm:cxn modelId="{C6C7390B-9808-4A78-84E8-A61C7BACDD9C}" srcId="{95E0A5C9-EC08-43F9-BBD4-D70705619AAF}" destId="{9634325D-7534-45D3-B18C-D04D7A73A4B3}" srcOrd="0" destOrd="0" parTransId="{EA463C90-C30C-4F8A-B28F-EFAE48225FC1}" sibTransId="{1C4F9D01-C6D6-4320-99EE-5C1D1E251CA5}"/>
    <dgm:cxn modelId="{8051E60B-F819-4F54-AE1F-67993EAA01A8}" type="presOf" srcId="{25DE89D7-A3B8-4E10-BEBF-BD6FEED61D4F}" destId="{5FE23F72-EC65-4DFF-B316-81A6F10DEBBF}" srcOrd="0" destOrd="0" presId="urn:microsoft.com/office/officeart/2005/8/layout/hierarchy2"/>
    <dgm:cxn modelId="{D145970D-7093-47F1-8701-19E69B457ACE}" srcId="{D64009BE-02FC-4009-A204-AABE306EFBC2}" destId="{905F4F3F-925A-4AD7-878E-A4CA4A9E8AB9}" srcOrd="0" destOrd="0" parTransId="{96C84A09-6F1F-4DE1-8A6E-27437800307C}" sibTransId="{730F36C0-017A-4F04-9C77-DD5A057AD476}"/>
    <dgm:cxn modelId="{4E89D00D-52F4-4E89-B619-E675D23C7ED0}" type="presOf" srcId="{78ADC1B5-A07E-4CA7-9CE8-9BBE3AB571DE}" destId="{A35B3DC6-DCE5-4922-87C1-DBB0FB6DEC65}" srcOrd="0" destOrd="0" presId="urn:microsoft.com/office/officeart/2005/8/layout/hierarchy2"/>
    <dgm:cxn modelId="{6B459F15-9EA0-4887-9E21-2D573658CE9D}" srcId="{4827511E-F26C-4C9E-AD76-10B79F2C3461}" destId="{C09748D7-AD10-424E-8827-75419B1C9D1B}" srcOrd="1" destOrd="0" parTransId="{9114F52D-E3F8-45E3-B585-1C69F3F4E5BE}" sibTransId="{C9E8D44F-6F9B-4C07-AA83-A0D6EF3AAC9E}"/>
    <dgm:cxn modelId="{04256E1A-0C9E-41CB-966F-2EFDC1D481C1}" type="presOf" srcId="{D64009BE-02FC-4009-A204-AABE306EFBC2}" destId="{C90C1898-B0F1-45FF-B194-483AB7CA7899}" srcOrd="0" destOrd="0" presId="urn:microsoft.com/office/officeart/2005/8/layout/hierarchy2"/>
    <dgm:cxn modelId="{85E1A81E-84B4-4862-80DA-51BA22D720D7}" type="presOf" srcId="{F30AFCFF-ABD5-4A64-B224-A49FD05908CC}" destId="{F05A5B4C-F589-4F65-8049-A4D4782BB765}" srcOrd="0" destOrd="0" presId="urn:microsoft.com/office/officeart/2005/8/layout/hierarchy2"/>
    <dgm:cxn modelId="{2D37BD25-0977-440F-9A5F-E261B72054AD}" type="presOf" srcId="{9114F52D-E3F8-45E3-B585-1C69F3F4E5BE}" destId="{44658828-D7CD-4F70-836D-8C3C078402F8}" srcOrd="0" destOrd="0" presId="urn:microsoft.com/office/officeart/2005/8/layout/hierarchy2"/>
    <dgm:cxn modelId="{4C2C2B29-DE17-490C-949E-A457B6D4512A}" type="presOf" srcId="{86B6C90B-523F-4009-A56B-01303785F241}" destId="{313EEE47-0C55-437E-A459-955CB1274A60}" srcOrd="0" destOrd="0" presId="urn:microsoft.com/office/officeart/2005/8/layout/hierarchy2"/>
    <dgm:cxn modelId="{F04AA22A-C550-4D23-977C-8D0FB7FCEE7A}" srcId="{6914D578-3931-451E-89E8-8A1D800E43D5}" destId="{4827511E-F26C-4C9E-AD76-10B79F2C3461}" srcOrd="1" destOrd="0" parTransId="{A4D2A0EF-9253-44A1-8D56-EE73FF952613}" sibTransId="{9369E558-5CF6-4809-B2CB-FE949ED60EA6}"/>
    <dgm:cxn modelId="{8BBE992C-CCA0-4368-B145-8D997BE46DB1}" srcId="{9634325D-7534-45D3-B18C-D04D7A73A4B3}" destId="{C2576AB8-069E-4EBE-BFA1-C7820DF17431}" srcOrd="0" destOrd="0" parTransId="{B3041DDB-9CA0-4C59-B522-EBF85A8903EA}" sibTransId="{A0514011-A295-48D4-A154-745F52FAC44F}"/>
    <dgm:cxn modelId="{F00D8832-027F-4CFA-8B7B-C39BE7EC7315}" type="presOf" srcId="{C09748D7-AD10-424E-8827-75419B1C9D1B}" destId="{4AEDC120-C860-48E0-B8D9-F608997C7356}" srcOrd="0" destOrd="0" presId="urn:microsoft.com/office/officeart/2005/8/layout/hierarchy2"/>
    <dgm:cxn modelId="{E3C56D35-80C5-4D15-B242-3BF3E88473DE}" type="presOf" srcId="{C157CAAB-90F3-402E-97A2-4A6979BA2157}" destId="{6EBE1347-46BE-4AA6-8562-7B53A0771BEF}" srcOrd="1" destOrd="0" presId="urn:microsoft.com/office/officeart/2005/8/layout/hierarchy2"/>
    <dgm:cxn modelId="{492B393C-EAC5-4421-9F12-B37EDBFD8EA6}" srcId="{6914D578-3931-451E-89E8-8A1D800E43D5}" destId="{7A5312AE-44FE-4659-81A4-FF18BBB117EA}" srcOrd="0" destOrd="0" parTransId="{A5C43168-80CC-4DFE-BF31-3445B77B6CD8}" sibTransId="{9E5231E9-6972-4A92-8C93-A01E7502AC5A}"/>
    <dgm:cxn modelId="{593C8F3D-2C68-435C-8743-62F1744C451C}" srcId="{4827511E-F26C-4C9E-AD76-10B79F2C3461}" destId="{2927D317-D0B2-4A3D-9570-2E42938FB443}" srcOrd="0" destOrd="0" parTransId="{4F0F703D-7C98-4926-841F-FD0DB495FB54}" sibTransId="{9C61A57E-102C-4FD9-9473-BD277852657F}"/>
    <dgm:cxn modelId="{08CEF55B-9F26-4DD3-812F-F7C060E052B1}" type="presOf" srcId="{96C84A09-6F1F-4DE1-8A6E-27437800307C}" destId="{D0770635-FA68-4A0A-A604-4E208AEAEE8E}" srcOrd="1" destOrd="0" presId="urn:microsoft.com/office/officeart/2005/8/layout/hierarchy2"/>
    <dgm:cxn modelId="{4EF57B5D-F178-438D-A1CF-E678D6DE5415}" type="presOf" srcId="{B3041DDB-9CA0-4C59-B522-EBF85A8903EA}" destId="{B948208A-4E7F-4748-83EF-CDDBCB0279A7}" srcOrd="0" destOrd="0" presId="urn:microsoft.com/office/officeart/2005/8/layout/hierarchy2"/>
    <dgm:cxn modelId="{9B74655E-E52F-477E-AEB0-6751BB4CA50B}" type="presOf" srcId="{9634325D-7534-45D3-B18C-D04D7A73A4B3}" destId="{3E345B89-7871-4461-867C-753F94C717CF}" srcOrd="0" destOrd="0" presId="urn:microsoft.com/office/officeart/2005/8/layout/hierarchy2"/>
    <dgm:cxn modelId="{B1257644-EF8D-433A-A7ED-8945BA4F90AF}" type="presOf" srcId="{14E7E0EC-FD6A-4B38-A38E-B38CE691F4A6}" destId="{A6AFE826-6554-48D7-95CC-D1F938D64AA9}" srcOrd="1" destOrd="0" presId="urn:microsoft.com/office/officeart/2005/8/layout/hierarchy2"/>
    <dgm:cxn modelId="{DCB8C664-D526-488B-BC5F-045F545ED92B}" type="presOf" srcId="{9114F52D-E3F8-45E3-B585-1C69F3F4E5BE}" destId="{44A6C031-26FD-4263-B365-8D4A990AEA3A}" srcOrd="1" destOrd="0" presId="urn:microsoft.com/office/officeart/2005/8/layout/hierarchy2"/>
    <dgm:cxn modelId="{EFE0DA44-A4AC-4749-B536-3440368DD00B}" type="presOf" srcId="{7A5312AE-44FE-4659-81A4-FF18BBB117EA}" destId="{5960C443-79EE-4C11-B575-C92B93F02E5F}" srcOrd="0" destOrd="0" presId="urn:microsoft.com/office/officeart/2005/8/layout/hierarchy2"/>
    <dgm:cxn modelId="{81C59A47-F023-4AD1-9C81-5477AEFF4C8A}" type="presOf" srcId="{91AC9A52-95B9-4C43-A9D7-39CAD709BB70}" destId="{D1E42627-9ACC-44BF-9431-B63966AE184F}" srcOrd="0" destOrd="0" presId="urn:microsoft.com/office/officeart/2005/8/layout/hierarchy2"/>
    <dgm:cxn modelId="{F8562549-B566-4504-AC4C-2473BB9D570F}" type="presOf" srcId="{78ADC1B5-A07E-4CA7-9CE8-9BBE3AB571DE}" destId="{36F6C788-4926-4864-A2F1-6556BB6107EA}" srcOrd="1" destOrd="0" presId="urn:microsoft.com/office/officeart/2005/8/layout/hierarchy2"/>
    <dgm:cxn modelId="{4B962B69-A24E-4697-9D23-40F2AC47D1ED}" type="presOf" srcId="{EA463C90-C30C-4F8A-B28F-EFAE48225FC1}" destId="{2CD95D4A-6B3C-4EDE-A5AB-75AAAEEA5623}" srcOrd="0" destOrd="0" presId="urn:microsoft.com/office/officeart/2005/8/layout/hierarchy2"/>
    <dgm:cxn modelId="{DB6F2F69-D47A-47A8-AFE2-7FD3544A182C}" type="presOf" srcId="{D74020D6-1B0B-4CCC-AEBF-4B72CD0FEFFC}" destId="{4224531C-D367-41A8-8FF0-E3D7FF7958B3}" srcOrd="0" destOrd="0" presId="urn:microsoft.com/office/officeart/2005/8/layout/hierarchy2"/>
    <dgm:cxn modelId="{0607454C-EDD7-4D97-979F-1C6384E79A56}" type="presOf" srcId="{EA463C90-C30C-4F8A-B28F-EFAE48225FC1}" destId="{A408B730-7592-4E74-A5D7-FF85459C9521}" srcOrd="1" destOrd="0" presId="urn:microsoft.com/office/officeart/2005/8/layout/hierarchy2"/>
    <dgm:cxn modelId="{95C7AB6C-FE4C-4483-9620-10B48508CAE8}" type="presOf" srcId="{B3041DDB-9CA0-4C59-B522-EBF85A8903EA}" destId="{B7D6AE24-67BB-4044-9BB5-9E7395B2AFDB}" srcOrd="1" destOrd="0" presId="urn:microsoft.com/office/officeart/2005/8/layout/hierarchy2"/>
    <dgm:cxn modelId="{42C2036D-AD8A-4253-AFF7-A8E10675DF5F}" type="presOf" srcId="{D8A56659-6D20-42C1-B6AD-59D93C320E50}" destId="{AD29CF92-BB00-4C55-B00B-580CC47455BD}" srcOrd="0" destOrd="0" presId="urn:microsoft.com/office/officeart/2005/8/layout/hierarchy2"/>
    <dgm:cxn modelId="{82A8356F-53D3-4F8C-8B5C-B9743F742CF7}" srcId="{DC35F9D1-97EA-492D-9DF3-9222136114B8}" destId="{2F0C23F0-034E-47DE-9BD4-0017692BC656}" srcOrd="0" destOrd="0" parTransId="{E78C1670-1F60-4644-ADC5-68134567964F}" sibTransId="{C105ED00-0CEF-49BF-B900-F0DEBCAF0FB9}"/>
    <dgm:cxn modelId="{47B8354F-7152-4994-AFEC-1E08ECD88B18}" type="presOf" srcId="{760C0BEC-607A-4234-A426-3A1181ED6DEB}" destId="{B8017BAD-EBEB-4148-864A-96BF5C1D1B7F}" srcOrd="0" destOrd="0" presId="urn:microsoft.com/office/officeart/2005/8/layout/hierarchy2"/>
    <dgm:cxn modelId="{FE138152-2E3B-4439-9835-FE179C664141}" type="presOf" srcId="{D8A56659-6D20-42C1-B6AD-59D93C320E50}" destId="{30BC44E3-B42A-4415-A828-AD1D23A80496}" srcOrd="1" destOrd="0" presId="urn:microsoft.com/office/officeart/2005/8/layout/hierarchy2"/>
    <dgm:cxn modelId="{5BAAE672-91F5-4A5F-8EF3-39B3F6FAF286}" srcId="{7A5312AE-44FE-4659-81A4-FF18BBB117EA}" destId="{D64009BE-02FC-4009-A204-AABE306EFBC2}" srcOrd="1" destOrd="0" parTransId="{86B6C90B-523F-4009-A56B-01303785F241}" sibTransId="{B5D0DCA2-2640-40CD-8DF3-2BF2750ADB34}"/>
    <dgm:cxn modelId="{F367F552-BCED-4658-901A-9CB5296A47D0}" type="presOf" srcId="{DC35F9D1-97EA-492D-9DF3-9222136114B8}" destId="{17B55029-04C4-4A3F-83B8-7217ED1A4AF0}" srcOrd="0" destOrd="0" presId="urn:microsoft.com/office/officeart/2005/8/layout/hierarchy2"/>
    <dgm:cxn modelId="{15241274-0502-428A-81F2-2420EC76AD20}" srcId="{2927D317-D0B2-4A3D-9570-2E42938FB443}" destId="{25DE89D7-A3B8-4E10-BEBF-BD6FEED61D4F}" srcOrd="1" destOrd="0" parTransId="{C157CAAB-90F3-402E-97A2-4A6979BA2157}" sibTransId="{CA489387-1EFA-46FE-ACC3-8C0AC9734209}"/>
    <dgm:cxn modelId="{220FA77B-A5B6-483F-9674-B46AFA17FD03}" srcId="{C09748D7-AD10-424E-8827-75419B1C9D1B}" destId="{4BF81B5F-2337-4A5B-905D-1F5FDBF27548}" srcOrd="1" destOrd="0" parTransId="{04A105A9-3017-4B8D-9508-E5DEFC00C088}" sibTransId="{2CE80876-5980-4A21-9726-C72CD9EFE182}"/>
    <dgm:cxn modelId="{862B787C-E202-4537-B7C5-5657224007A9}" type="presOf" srcId="{0CC5CA5E-C310-4343-A33A-E93FFFC4E904}" destId="{303FF90A-3BD1-44C3-8051-5E9AF647B0D0}" srcOrd="0" destOrd="0" presId="urn:microsoft.com/office/officeart/2005/8/layout/hierarchy2"/>
    <dgm:cxn modelId="{5BBD737D-C8A8-4E11-89BE-3A916C5E2E8B}" type="presOf" srcId="{C205D907-F92B-451F-B455-798A02425413}" destId="{018C0ED1-DC97-4CF5-A34F-FD4CED25B509}" srcOrd="0" destOrd="0" presId="urn:microsoft.com/office/officeart/2005/8/layout/hierarchy2"/>
    <dgm:cxn modelId="{648C577E-5624-4D9D-948A-592AD31954FD}" srcId="{7A5312AE-44FE-4659-81A4-FF18BBB117EA}" destId="{95E0A5C9-EC08-43F9-BBD4-D70705619AAF}" srcOrd="0" destOrd="0" parTransId="{14E7E0EC-FD6A-4B38-A38E-B38CE691F4A6}" sibTransId="{EDD2A41D-E755-44C3-889E-037C8E4044B7}"/>
    <dgm:cxn modelId="{8F62DD7E-294D-4798-A8E3-305ED066DDAA}" srcId="{DC35F9D1-97EA-492D-9DF3-9222136114B8}" destId="{A55A5135-4F4D-49A5-9097-6417036A723C}" srcOrd="1" destOrd="0" parTransId="{78ADC1B5-A07E-4CA7-9CE8-9BBE3AB571DE}" sibTransId="{0C4CD1AB-64CE-4DAD-854E-E81ED277A5D7}"/>
    <dgm:cxn modelId="{F1E34780-1345-457F-9950-8A476C3F0DBF}" type="presOf" srcId="{E78C1670-1F60-4644-ADC5-68134567964F}" destId="{F3EFC570-0A41-4545-97E3-E9996B6C2122}" srcOrd="1" destOrd="0" presId="urn:microsoft.com/office/officeart/2005/8/layout/hierarchy2"/>
    <dgm:cxn modelId="{F9CF9980-4AB5-487F-82D2-E55BF8AE0465}" type="presOf" srcId="{14E7E0EC-FD6A-4B38-A38E-B38CE691F4A6}" destId="{D199F58D-C821-475C-8540-5969BD740D23}" srcOrd="0" destOrd="0" presId="urn:microsoft.com/office/officeart/2005/8/layout/hierarchy2"/>
    <dgm:cxn modelId="{741E6082-BCF5-4EE3-BFF1-44636E5B780B}" type="presOf" srcId="{6914D578-3931-451E-89E8-8A1D800E43D5}" destId="{1DF24FF4-65E9-4FD0-BBF7-535E23B86F51}" srcOrd="0" destOrd="0" presId="urn:microsoft.com/office/officeart/2005/8/layout/hierarchy2"/>
    <dgm:cxn modelId="{AD75C383-A8E9-444F-BE0D-A847B99CFDA5}" type="presOf" srcId="{548BC091-8741-4729-81C6-35B49B6CC40B}" destId="{01DB1E1C-8BC2-4A94-9E2E-9822FF477F3D}" srcOrd="1" destOrd="0" presId="urn:microsoft.com/office/officeart/2005/8/layout/hierarchy2"/>
    <dgm:cxn modelId="{A23FEF87-5A26-4DCC-9948-160FAAD5FBF6}" type="presOf" srcId="{A5C43168-80CC-4DFE-BF31-3445B77B6CD8}" destId="{BAB5AD83-4318-4C8E-BE3B-ACF8CD088F49}" srcOrd="1" destOrd="0" presId="urn:microsoft.com/office/officeart/2005/8/layout/hierarchy2"/>
    <dgm:cxn modelId="{1B460793-2E79-47C6-88B5-124678C653F3}" type="presOf" srcId="{A4D2A0EF-9253-44A1-8D56-EE73FF952613}" destId="{C75DB8B5-7EB8-4C98-AC77-D336A321113B}" srcOrd="1" destOrd="0" presId="urn:microsoft.com/office/officeart/2005/8/layout/hierarchy2"/>
    <dgm:cxn modelId="{BD55D794-43CC-40F7-AF89-09A060BAA409}" type="presOf" srcId="{133FCF82-A0C7-476A-9A16-0E69F456FCA1}" destId="{A2C68364-FC6D-4386-B9B9-F893B21B75A9}" srcOrd="0" destOrd="0" presId="urn:microsoft.com/office/officeart/2005/8/layout/hierarchy2"/>
    <dgm:cxn modelId="{131C7696-B2FB-4E58-8C66-1574241F3E42}" type="presOf" srcId="{4BF81B5F-2337-4A5B-905D-1F5FDBF27548}" destId="{5FEDFFDC-1B64-41A4-B9ED-F2DD326AD3E3}" srcOrd="0" destOrd="0" presId="urn:microsoft.com/office/officeart/2005/8/layout/hierarchy2"/>
    <dgm:cxn modelId="{58920197-BE84-45D7-9016-3FA60D9C4AD8}" type="presOf" srcId="{A4D2A0EF-9253-44A1-8D56-EE73FF952613}" destId="{F8C38CA0-C7BF-4981-B46D-FF9F55745EDC}" srcOrd="0" destOrd="0" presId="urn:microsoft.com/office/officeart/2005/8/layout/hierarchy2"/>
    <dgm:cxn modelId="{AC0F9AA8-71BC-404F-B18A-EFC09D0FF899}" type="presOf" srcId="{96C84A09-6F1F-4DE1-8A6E-27437800307C}" destId="{3061E304-D57A-4D34-AC24-653EFB945DEC}" srcOrd="0" destOrd="0" presId="urn:microsoft.com/office/officeart/2005/8/layout/hierarchy2"/>
    <dgm:cxn modelId="{98AC97AF-6778-4030-AA5A-5DF57DA058AF}" srcId="{C09748D7-AD10-424E-8827-75419B1C9D1B}" destId="{133FCF82-A0C7-476A-9A16-0E69F456FCA1}" srcOrd="0" destOrd="0" parTransId="{D8A56659-6D20-42C1-B6AD-59D93C320E50}" sibTransId="{80B64253-15FA-4639-835C-7DC8AC8A6B1F}"/>
    <dgm:cxn modelId="{44BB0CB1-17AA-44F8-89B2-C2E25480429F}" type="presOf" srcId="{04A105A9-3017-4B8D-9508-E5DEFC00C088}" destId="{70A1CE07-76E8-427B-9092-BAF9B4904C80}" srcOrd="1" destOrd="0" presId="urn:microsoft.com/office/officeart/2005/8/layout/hierarchy2"/>
    <dgm:cxn modelId="{99CC6FB4-FE2C-441F-BCC5-F28CEF439FF3}" srcId="{D74020D6-1B0B-4CCC-AEBF-4B72CD0FEFFC}" destId="{6914D578-3931-451E-89E8-8A1D800E43D5}" srcOrd="0" destOrd="0" parTransId="{D98744DA-368E-4589-984B-C298A05525C9}" sibTransId="{C2F2E2A5-9D01-46C0-AB60-FA0FF387196A}"/>
    <dgm:cxn modelId="{27CDEEBA-0C0C-454C-9089-047BAB10B746}" srcId="{95E0A5C9-EC08-43F9-BBD4-D70705619AAF}" destId="{8E8CF43D-4D25-488B-8B7C-6CFBDFB80D27}" srcOrd="1" destOrd="0" parTransId="{0CC5CA5E-C310-4343-A33A-E93FFFC4E904}" sibTransId="{46CEE165-CD6C-4580-90E7-706ED82F5A89}"/>
    <dgm:cxn modelId="{37ECA3C3-6EC2-4978-945E-7A654C9D99E7}" type="presOf" srcId="{4F0F703D-7C98-4926-841F-FD0DB495FB54}" destId="{211ECF60-45A8-4042-BE12-A38659FF5DF4}" srcOrd="1" destOrd="0" presId="urn:microsoft.com/office/officeart/2005/8/layout/hierarchy2"/>
    <dgm:cxn modelId="{7E15E7C3-7594-4B13-BA56-AF1BD324F939}" type="presOf" srcId="{86B6C90B-523F-4009-A56B-01303785F241}" destId="{6C22EB6F-476C-4287-AA6B-6EC17BB682E5}" srcOrd="1" destOrd="0" presId="urn:microsoft.com/office/officeart/2005/8/layout/hierarchy2"/>
    <dgm:cxn modelId="{E3B9D6C9-B752-4412-9382-C1692C7B91D2}" type="presOf" srcId="{905F4F3F-925A-4AD7-878E-A4CA4A9E8AB9}" destId="{4CB7EB8A-F87D-4173-93E3-A13199C579FF}" srcOrd="0" destOrd="0" presId="urn:microsoft.com/office/officeart/2005/8/layout/hierarchy2"/>
    <dgm:cxn modelId="{E701A1CD-AC3E-41CF-AA68-E4EAD8C48E9A}" type="presOf" srcId="{0CC5CA5E-C310-4343-A33A-E93FFFC4E904}" destId="{A42696F1-4696-4948-BC6F-FF7155E9BD98}" srcOrd="1" destOrd="0" presId="urn:microsoft.com/office/officeart/2005/8/layout/hierarchy2"/>
    <dgm:cxn modelId="{B31095CE-8882-45EA-BDEE-18046AEA7B5F}" type="presOf" srcId="{2927D317-D0B2-4A3D-9570-2E42938FB443}" destId="{B214ECC6-E7EF-4C95-8CEC-9DBA2EEEEF48}" srcOrd="0" destOrd="0" presId="urn:microsoft.com/office/officeart/2005/8/layout/hierarchy2"/>
    <dgm:cxn modelId="{CEE4C3DB-233E-42C8-8465-E9C95D45039C}" type="presOf" srcId="{548BC091-8741-4729-81C6-35B49B6CC40B}" destId="{3B1E477B-8F54-4462-BDEB-52200DC6C9CD}" srcOrd="0" destOrd="0" presId="urn:microsoft.com/office/officeart/2005/8/layout/hierarchy2"/>
    <dgm:cxn modelId="{CBDFA3DF-F534-4371-B65D-6076CAACF6B3}" type="presOf" srcId="{95E0A5C9-EC08-43F9-BBD4-D70705619AAF}" destId="{74067E4F-88B5-4676-B9CB-9203B231B59A}" srcOrd="0" destOrd="0" presId="urn:microsoft.com/office/officeart/2005/8/layout/hierarchy2"/>
    <dgm:cxn modelId="{80C243E0-CAC5-4634-9190-744AF2BC7400}" type="presOf" srcId="{C157CAAB-90F3-402E-97A2-4A6979BA2157}" destId="{D44ADDC7-25F5-434B-B608-B4578BE8FB56}" srcOrd="0" destOrd="0" presId="urn:microsoft.com/office/officeart/2005/8/layout/hierarchy2"/>
    <dgm:cxn modelId="{36F554E0-B7BE-4BD6-9E88-C89D13A4F396}" type="presOf" srcId="{E78C1670-1F60-4644-ADC5-68134567964F}" destId="{8383F27E-0134-4796-BDE2-96EC041B30E1}" srcOrd="0" destOrd="0" presId="urn:microsoft.com/office/officeart/2005/8/layout/hierarchy2"/>
    <dgm:cxn modelId="{5EF13AE4-C53D-473C-9301-67E2C6E96214}" srcId="{2927D317-D0B2-4A3D-9570-2E42938FB443}" destId="{DC35F9D1-97EA-492D-9DF3-9222136114B8}" srcOrd="0" destOrd="0" parTransId="{91AC9A52-95B9-4C43-A9D7-39CAD709BB70}" sibTransId="{07920474-606C-4A7F-9DC4-9D9B7A398AC1}"/>
    <dgm:cxn modelId="{523EDAE4-A065-4B08-AD6A-674187E59065}" srcId="{D64009BE-02FC-4009-A204-AABE306EFBC2}" destId="{760C0BEC-607A-4234-A426-3A1181ED6DEB}" srcOrd="1" destOrd="0" parTransId="{C205D907-F92B-451F-B455-798A02425413}" sibTransId="{387A326F-5D43-4A3D-A2E9-BBC867DC4933}"/>
    <dgm:cxn modelId="{8DE6C5EB-769A-4B7A-9B0F-CEA8491FEE4D}" type="presOf" srcId="{4F0F703D-7C98-4926-841F-FD0DB495FB54}" destId="{2252990B-B8D6-4C68-A4C9-D984679027FF}" srcOrd="0" destOrd="0" presId="urn:microsoft.com/office/officeart/2005/8/layout/hierarchy2"/>
    <dgm:cxn modelId="{3BF444EF-28E0-41E6-858A-770A0D43E240}" type="presOf" srcId="{2F0C23F0-034E-47DE-9BD4-0017692BC656}" destId="{BC222C3D-74D6-4ADE-A286-A5999028E690}" srcOrd="0" destOrd="0" presId="urn:microsoft.com/office/officeart/2005/8/layout/hierarchy2"/>
    <dgm:cxn modelId="{A8E1D4F3-EEBB-4CBE-B67B-941096CE9CAB}" type="presOf" srcId="{8E8CF43D-4D25-488B-8B7C-6CFBDFB80D27}" destId="{35F01F20-9520-4993-B204-DF8650924D5C}" srcOrd="0" destOrd="0" presId="urn:microsoft.com/office/officeart/2005/8/layout/hierarchy2"/>
    <dgm:cxn modelId="{BA8351F4-6A66-40CD-A478-1CD4DD769508}" type="presOf" srcId="{C205D907-F92B-451F-B455-798A02425413}" destId="{C863E2C3-5B35-4432-90F7-5AADD4139AEA}" srcOrd="1" destOrd="0" presId="urn:microsoft.com/office/officeart/2005/8/layout/hierarchy2"/>
    <dgm:cxn modelId="{A60C65F7-A002-4325-8670-164280347E2E}" type="presOf" srcId="{91AC9A52-95B9-4C43-A9D7-39CAD709BB70}" destId="{FC2D065B-1430-42A5-9F3C-2CC2C50AC5D0}" srcOrd="1" destOrd="0" presId="urn:microsoft.com/office/officeart/2005/8/layout/hierarchy2"/>
    <dgm:cxn modelId="{6E23F4F8-BA0C-4E8E-B306-6F74E2914DD1}" type="presOf" srcId="{C2576AB8-069E-4EBE-BFA1-C7820DF17431}" destId="{21FF5062-4C10-4032-8F9A-468B33F65D4B}" srcOrd="0" destOrd="0" presId="urn:microsoft.com/office/officeart/2005/8/layout/hierarchy2"/>
    <dgm:cxn modelId="{B7F557FD-A88A-4957-8AFF-6B2159558175}" type="presOf" srcId="{04A105A9-3017-4B8D-9508-E5DEFC00C088}" destId="{86ADCC65-59BD-442D-A508-D2EA4100AEAE}" srcOrd="0" destOrd="0" presId="urn:microsoft.com/office/officeart/2005/8/layout/hierarchy2"/>
    <dgm:cxn modelId="{51B13155-48FB-4861-8538-9F1DC88FD7E1}" type="presParOf" srcId="{4224531C-D367-41A8-8FF0-E3D7FF7958B3}" destId="{4B7B08B0-A0D1-4900-9421-009EFE3AE00E}" srcOrd="0" destOrd="0" presId="urn:microsoft.com/office/officeart/2005/8/layout/hierarchy2"/>
    <dgm:cxn modelId="{351E83D9-1923-47B5-8B59-8F06129CF0F6}" type="presParOf" srcId="{4B7B08B0-A0D1-4900-9421-009EFE3AE00E}" destId="{1DF24FF4-65E9-4FD0-BBF7-535E23B86F51}" srcOrd="0" destOrd="0" presId="urn:microsoft.com/office/officeart/2005/8/layout/hierarchy2"/>
    <dgm:cxn modelId="{00729339-2743-4D95-9CD1-88E950A0077C}" type="presParOf" srcId="{4B7B08B0-A0D1-4900-9421-009EFE3AE00E}" destId="{8F43EDE8-18EB-46E8-843F-13FEA0F0A3BC}" srcOrd="1" destOrd="0" presId="urn:microsoft.com/office/officeart/2005/8/layout/hierarchy2"/>
    <dgm:cxn modelId="{3E42A344-F272-470E-9C7F-BB0466CC9262}" type="presParOf" srcId="{8F43EDE8-18EB-46E8-843F-13FEA0F0A3BC}" destId="{46328FCF-7374-4CD6-898D-A4BB847D1019}" srcOrd="0" destOrd="0" presId="urn:microsoft.com/office/officeart/2005/8/layout/hierarchy2"/>
    <dgm:cxn modelId="{92E95A17-B242-45E9-8D8B-D6CA65FEA9C1}" type="presParOf" srcId="{46328FCF-7374-4CD6-898D-A4BB847D1019}" destId="{BAB5AD83-4318-4C8E-BE3B-ACF8CD088F49}" srcOrd="0" destOrd="0" presId="urn:microsoft.com/office/officeart/2005/8/layout/hierarchy2"/>
    <dgm:cxn modelId="{1000AC6C-A95E-4289-B413-CAC26EA9407A}" type="presParOf" srcId="{8F43EDE8-18EB-46E8-843F-13FEA0F0A3BC}" destId="{4EFE4116-42CC-4367-ABC3-4E54BD4CC8C9}" srcOrd="1" destOrd="0" presId="urn:microsoft.com/office/officeart/2005/8/layout/hierarchy2"/>
    <dgm:cxn modelId="{26845751-32D6-420E-97C7-144534C43192}" type="presParOf" srcId="{4EFE4116-42CC-4367-ABC3-4E54BD4CC8C9}" destId="{5960C443-79EE-4C11-B575-C92B93F02E5F}" srcOrd="0" destOrd="0" presId="urn:microsoft.com/office/officeart/2005/8/layout/hierarchy2"/>
    <dgm:cxn modelId="{BD980747-71E9-4267-8F21-42FCDBFE338F}" type="presParOf" srcId="{4EFE4116-42CC-4367-ABC3-4E54BD4CC8C9}" destId="{87C8C7BF-FB66-4390-BD51-ED84BA124DB7}" srcOrd="1" destOrd="0" presId="urn:microsoft.com/office/officeart/2005/8/layout/hierarchy2"/>
    <dgm:cxn modelId="{842B67DD-173F-4655-AE4C-DC276AE5F575}" type="presParOf" srcId="{87C8C7BF-FB66-4390-BD51-ED84BA124DB7}" destId="{D199F58D-C821-475C-8540-5969BD740D23}" srcOrd="0" destOrd="0" presId="urn:microsoft.com/office/officeart/2005/8/layout/hierarchy2"/>
    <dgm:cxn modelId="{167A174D-230B-444F-82C9-767BC605BFC5}" type="presParOf" srcId="{D199F58D-C821-475C-8540-5969BD740D23}" destId="{A6AFE826-6554-48D7-95CC-D1F938D64AA9}" srcOrd="0" destOrd="0" presId="urn:microsoft.com/office/officeart/2005/8/layout/hierarchy2"/>
    <dgm:cxn modelId="{DA83F286-E969-4403-940F-ABC27AA8A812}" type="presParOf" srcId="{87C8C7BF-FB66-4390-BD51-ED84BA124DB7}" destId="{2A42AEEC-8E65-41E8-979D-F99E3CB9B2A3}" srcOrd="1" destOrd="0" presId="urn:microsoft.com/office/officeart/2005/8/layout/hierarchy2"/>
    <dgm:cxn modelId="{1D28C737-AAD2-460F-811B-59346755835B}" type="presParOf" srcId="{2A42AEEC-8E65-41E8-979D-F99E3CB9B2A3}" destId="{74067E4F-88B5-4676-B9CB-9203B231B59A}" srcOrd="0" destOrd="0" presId="urn:microsoft.com/office/officeart/2005/8/layout/hierarchy2"/>
    <dgm:cxn modelId="{4B5BC4FD-AB29-4E01-B129-9A0B59A2B437}" type="presParOf" srcId="{2A42AEEC-8E65-41E8-979D-F99E3CB9B2A3}" destId="{EE9CBBF5-F375-48CF-8B51-4D4A64AE2864}" srcOrd="1" destOrd="0" presId="urn:microsoft.com/office/officeart/2005/8/layout/hierarchy2"/>
    <dgm:cxn modelId="{B4F5865A-82C8-4218-A52E-DAABFFF394EC}" type="presParOf" srcId="{EE9CBBF5-F375-48CF-8B51-4D4A64AE2864}" destId="{2CD95D4A-6B3C-4EDE-A5AB-75AAAEEA5623}" srcOrd="0" destOrd="0" presId="urn:microsoft.com/office/officeart/2005/8/layout/hierarchy2"/>
    <dgm:cxn modelId="{A305ECE2-6374-416E-8C00-0CFAC04306C6}" type="presParOf" srcId="{2CD95D4A-6B3C-4EDE-A5AB-75AAAEEA5623}" destId="{A408B730-7592-4E74-A5D7-FF85459C9521}" srcOrd="0" destOrd="0" presId="urn:microsoft.com/office/officeart/2005/8/layout/hierarchy2"/>
    <dgm:cxn modelId="{DF199527-61B6-4781-A7A4-25B1E0B6F892}" type="presParOf" srcId="{EE9CBBF5-F375-48CF-8B51-4D4A64AE2864}" destId="{CA4F0D53-9715-454B-926D-EA1F0F8893CC}" srcOrd="1" destOrd="0" presId="urn:microsoft.com/office/officeart/2005/8/layout/hierarchy2"/>
    <dgm:cxn modelId="{0E1CF4E1-E341-424C-AE5A-4A3969FAE344}" type="presParOf" srcId="{CA4F0D53-9715-454B-926D-EA1F0F8893CC}" destId="{3E345B89-7871-4461-867C-753F94C717CF}" srcOrd="0" destOrd="0" presId="urn:microsoft.com/office/officeart/2005/8/layout/hierarchy2"/>
    <dgm:cxn modelId="{3EACAF1B-7B9F-4F1E-A5A3-DB742E0EFB70}" type="presParOf" srcId="{CA4F0D53-9715-454B-926D-EA1F0F8893CC}" destId="{124D451F-D56E-466C-971B-3A490CB69B42}" srcOrd="1" destOrd="0" presId="urn:microsoft.com/office/officeart/2005/8/layout/hierarchy2"/>
    <dgm:cxn modelId="{D486BCA6-9D49-459A-B4A6-FE016E0A70A8}" type="presParOf" srcId="{124D451F-D56E-466C-971B-3A490CB69B42}" destId="{B948208A-4E7F-4748-83EF-CDDBCB0279A7}" srcOrd="0" destOrd="0" presId="urn:microsoft.com/office/officeart/2005/8/layout/hierarchy2"/>
    <dgm:cxn modelId="{93D6F509-80CB-4431-B7E6-425E5B41E862}" type="presParOf" srcId="{B948208A-4E7F-4748-83EF-CDDBCB0279A7}" destId="{B7D6AE24-67BB-4044-9BB5-9E7395B2AFDB}" srcOrd="0" destOrd="0" presId="urn:microsoft.com/office/officeart/2005/8/layout/hierarchy2"/>
    <dgm:cxn modelId="{17699FD6-7ECC-4446-AA0F-9979FD0632F9}" type="presParOf" srcId="{124D451F-D56E-466C-971B-3A490CB69B42}" destId="{AFB76B1F-BBDF-4BA7-8E0D-666F2780AAAF}" srcOrd="1" destOrd="0" presId="urn:microsoft.com/office/officeart/2005/8/layout/hierarchy2"/>
    <dgm:cxn modelId="{6D131D86-6C74-45A2-91E9-9CC210BC229B}" type="presParOf" srcId="{AFB76B1F-BBDF-4BA7-8E0D-666F2780AAAF}" destId="{21FF5062-4C10-4032-8F9A-468B33F65D4B}" srcOrd="0" destOrd="0" presId="urn:microsoft.com/office/officeart/2005/8/layout/hierarchy2"/>
    <dgm:cxn modelId="{C07B5010-2565-4B4F-9448-D48011FDD70C}" type="presParOf" srcId="{AFB76B1F-BBDF-4BA7-8E0D-666F2780AAAF}" destId="{90C9FA07-D979-433E-BB43-7D61D58E7B70}" srcOrd="1" destOrd="0" presId="urn:microsoft.com/office/officeart/2005/8/layout/hierarchy2"/>
    <dgm:cxn modelId="{4643A008-8392-4F0C-979E-3E9002DE8CB9}" type="presParOf" srcId="{124D451F-D56E-466C-971B-3A490CB69B42}" destId="{3B1E477B-8F54-4462-BDEB-52200DC6C9CD}" srcOrd="2" destOrd="0" presId="urn:microsoft.com/office/officeart/2005/8/layout/hierarchy2"/>
    <dgm:cxn modelId="{E0E445B9-7C38-4FF5-AD53-EE943A0A3FE4}" type="presParOf" srcId="{3B1E477B-8F54-4462-BDEB-52200DC6C9CD}" destId="{01DB1E1C-8BC2-4A94-9E2E-9822FF477F3D}" srcOrd="0" destOrd="0" presId="urn:microsoft.com/office/officeart/2005/8/layout/hierarchy2"/>
    <dgm:cxn modelId="{37C678B5-BC0D-428B-93B5-E11C1DB704D7}" type="presParOf" srcId="{124D451F-D56E-466C-971B-3A490CB69B42}" destId="{3CDD3CF3-B117-46B3-8236-A72A463BE006}" srcOrd="3" destOrd="0" presId="urn:microsoft.com/office/officeart/2005/8/layout/hierarchy2"/>
    <dgm:cxn modelId="{0F9FC3A8-845D-41F3-AACE-1B6822F71C96}" type="presParOf" srcId="{3CDD3CF3-B117-46B3-8236-A72A463BE006}" destId="{F05A5B4C-F589-4F65-8049-A4D4782BB765}" srcOrd="0" destOrd="0" presId="urn:microsoft.com/office/officeart/2005/8/layout/hierarchy2"/>
    <dgm:cxn modelId="{37CE725B-04FB-4B51-8679-DAC593807D0E}" type="presParOf" srcId="{3CDD3CF3-B117-46B3-8236-A72A463BE006}" destId="{8963E6CD-9ECD-4D0D-BD11-EE12D4E41926}" srcOrd="1" destOrd="0" presId="urn:microsoft.com/office/officeart/2005/8/layout/hierarchy2"/>
    <dgm:cxn modelId="{A781AB15-DF0B-4A9C-A201-E7A716689EBD}" type="presParOf" srcId="{EE9CBBF5-F375-48CF-8B51-4D4A64AE2864}" destId="{303FF90A-3BD1-44C3-8051-5E9AF647B0D0}" srcOrd="2" destOrd="0" presId="urn:microsoft.com/office/officeart/2005/8/layout/hierarchy2"/>
    <dgm:cxn modelId="{8F7213CA-5813-4AC0-ACF9-E4E1251DBDC7}" type="presParOf" srcId="{303FF90A-3BD1-44C3-8051-5E9AF647B0D0}" destId="{A42696F1-4696-4948-BC6F-FF7155E9BD98}" srcOrd="0" destOrd="0" presId="urn:microsoft.com/office/officeart/2005/8/layout/hierarchy2"/>
    <dgm:cxn modelId="{78D24B71-22EC-439A-AAE9-2FF924B6723B}" type="presParOf" srcId="{EE9CBBF5-F375-48CF-8B51-4D4A64AE2864}" destId="{BA65D77E-8845-4F8C-BD02-45E7AAA12A1E}" srcOrd="3" destOrd="0" presId="urn:microsoft.com/office/officeart/2005/8/layout/hierarchy2"/>
    <dgm:cxn modelId="{612C1784-552A-4DD3-99B6-B4981C8CA006}" type="presParOf" srcId="{BA65D77E-8845-4F8C-BD02-45E7AAA12A1E}" destId="{35F01F20-9520-4993-B204-DF8650924D5C}" srcOrd="0" destOrd="0" presId="urn:microsoft.com/office/officeart/2005/8/layout/hierarchy2"/>
    <dgm:cxn modelId="{BA2D3A46-251F-4C4B-9C54-DCF76A263009}" type="presParOf" srcId="{BA65D77E-8845-4F8C-BD02-45E7AAA12A1E}" destId="{18BADD64-C107-4E48-89CE-0D2367A8CD88}" srcOrd="1" destOrd="0" presId="urn:microsoft.com/office/officeart/2005/8/layout/hierarchy2"/>
    <dgm:cxn modelId="{C5D46682-D761-483F-A148-FF644AE6DB08}" type="presParOf" srcId="{87C8C7BF-FB66-4390-BD51-ED84BA124DB7}" destId="{313EEE47-0C55-437E-A459-955CB1274A60}" srcOrd="2" destOrd="0" presId="urn:microsoft.com/office/officeart/2005/8/layout/hierarchy2"/>
    <dgm:cxn modelId="{3F54B072-BA63-4F8E-B76E-35F246AD4364}" type="presParOf" srcId="{313EEE47-0C55-437E-A459-955CB1274A60}" destId="{6C22EB6F-476C-4287-AA6B-6EC17BB682E5}" srcOrd="0" destOrd="0" presId="urn:microsoft.com/office/officeart/2005/8/layout/hierarchy2"/>
    <dgm:cxn modelId="{7B173213-FBC3-497C-9DAD-915BA8DD1E90}" type="presParOf" srcId="{87C8C7BF-FB66-4390-BD51-ED84BA124DB7}" destId="{2459186B-AD01-459C-8629-43D6CA5D40B2}" srcOrd="3" destOrd="0" presId="urn:microsoft.com/office/officeart/2005/8/layout/hierarchy2"/>
    <dgm:cxn modelId="{B158F82E-BDF4-4E2D-BAA9-CFC4BEC0C035}" type="presParOf" srcId="{2459186B-AD01-459C-8629-43D6CA5D40B2}" destId="{C90C1898-B0F1-45FF-B194-483AB7CA7899}" srcOrd="0" destOrd="0" presId="urn:microsoft.com/office/officeart/2005/8/layout/hierarchy2"/>
    <dgm:cxn modelId="{0431CCA5-331D-4F19-AA2B-BA149A7914A8}" type="presParOf" srcId="{2459186B-AD01-459C-8629-43D6CA5D40B2}" destId="{EFB39A3D-9C3D-4395-94FA-F6FCB43A033C}" srcOrd="1" destOrd="0" presId="urn:microsoft.com/office/officeart/2005/8/layout/hierarchy2"/>
    <dgm:cxn modelId="{5991A159-6C78-4918-B8EE-A4535F82AE90}" type="presParOf" srcId="{EFB39A3D-9C3D-4395-94FA-F6FCB43A033C}" destId="{3061E304-D57A-4D34-AC24-653EFB945DEC}" srcOrd="0" destOrd="0" presId="urn:microsoft.com/office/officeart/2005/8/layout/hierarchy2"/>
    <dgm:cxn modelId="{6923C975-4863-4B43-8CB8-C2C2088EBA34}" type="presParOf" srcId="{3061E304-D57A-4D34-AC24-653EFB945DEC}" destId="{D0770635-FA68-4A0A-A604-4E208AEAEE8E}" srcOrd="0" destOrd="0" presId="urn:microsoft.com/office/officeart/2005/8/layout/hierarchy2"/>
    <dgm:cxn modelId="{B2527D0C-BEDE-44A7-88F3-54BFFF7B5CD3}" type="presParOf" srcId="{EFB39A3D-9C3D-4395-94FA-F6FCB43A033C}" destId="{2E2D24E4-CC23-42C4-85AD-30A22A765596}" srcOrd="1" destOrd="0" presId="urn:microsoft.com/office/officeart/2005/8/layout/hierarchy2"/>
    <dgm:cxn modelId="{E2AF6D88-1B43-400D-A2A5-E42B4B9D490F}" type="presParOf" srcId="{2E2D24E4-CC23-42C4-85AD-30A22A765596}" destId="{4CB7EB8A-F87D-4173-93E3-A13199C579FF}" srcOrd="0" destOrd="0" presId="urn:microsoft.com/office/officeart/2005/8/layout/hierarchy2"/>
    <dgm:cxn modelId="{29F2DF62-C819-4BAB-93B7-14C8620D3E43}" type="presParOf" srcId="{2E2D24E4-CC23-42C4-85AD-30A22A765596}" destId="{D859B00B-EAC2-4CCF-A427-EBA4CF6793A4}" srcOrd="1" destOrd="0" presId="urn:microsoft.com/office/officeart/2005/8/layout/hierarchy2"/>
    <dgm:cxn modelId="{4818DEC0-3F77-4122-BD61-80F860F584B8}" type="presParOf" srcId="{EFB39A3D-9C3D-4395-94FA-F6FCB43A033C}" destId="{018C0ED1-DC97-4CF5-A34F-FD4CED25B509}" srcOrd="2" destOrd="0" presId="urn:microsoft.com/office/officeart/2005/8/layout/hierarchy2"/>
    <dgm:cxn modelId="{18AF4D0E-CE20-4A2A-9ACC-6E8A2D98B9AE}" type="presParOf" srcId="{018C0ED1-DC97-4CF5-A34F-FD4CED25B509}" destId="{C863E2C3-5B35-4432-90F7-5AADD4139AEA}" srcOrd="0" destOrd="0" presId="urn:microsoft.com/office/officeart/2005/8/layout/hierarchy2"/>
    <dgm:cxn modelId="{66DED42B-3BAA-487B-99A0-90206DA37DB3}" type="presParOf" srcId="{EFB39A3D-9C3D-4395-94FA-F6FCB43A033C}" destId="{A2882756-291E-4D6B-AA29-FBFF193B0AC4}" srcOrd="3" destOrd="0" presId="urn:microsoft.com/office/officeart/2005/8/layout/hierarchy2"/>
    <dgm:cxn modelId="{B6384E91-38AA-41AF-B81A-9A01C5A6077D}" type="presParOf" srcId="{A2882756-291E-4D6B-AA29-FBFF193B0AC4}" destId="{B8017BAD-EBEB-4148-864A-96BF5C1D1B7F}" srcOrd="0" destOrd="0" presId="urn:microsoft.com/office/officeart/2005/8/layout/hierarchy2"/>
    <dgm:cxn modelId="{07E67CE9-DE2E-4EE9-9E0D-E9257D78DAB1}" type="presParOf" srcId="{A2882756-291E-4D6B-AA29-FBFF193B0AC4}" destId="{41D63F7F-2A1A-4C3E-97A8-3C9D40FFB14C}" srcOrd="1" destOrd="0" presId="urn:microsoft.com/office/officeart/2005/8/layout/hierarchy2"/>
    <dgm:cxn modelId="{541E47C9-250B-4027-8A68-3D588C47BCDA}" type="presParOf" srcId="{8F43EDE8-18EB-46E8-843F-13FEA0F0A3BC}" destId="{F8C38CA0-C7BF-4981-B46D-FF9F55745EDC}" srcOrd="2" destOrd="0" presId="urn:microsoft.com/office/officeart/2005/8/layout/hierarchy2"/>
    <dgm:cxn modelId="{69E79F85-4A39-4898-9723-FC539D916BC9}" type="presParOf" srcId="{F8C38CA0-C7BF-4981-B46D-FF9F55745EDC}" destId="{C75DB8B5-7EB8-4C98-AC77-D336A321113B}" srcOrd="0" destOrd="0" presId="urn:microsoft.com/office/officeart/2005/8/layout/hierarchy2"/>
    <dgm:cxn modelId="{4AAE6027-794E-4FA7-9A95-49687CB03326}" type="presParOf" srcId="{8F43EDE8-18EB-46E8-843F-13FEA0F0A3BC}" destId="{DDAF7AED-35E3-4D40-8C9B-003FA918517C}" srcOrd="3" destOrd="0" presId="urn:microsoft.com/office/officeart/2005/8/layout/hierarchy2"/>
    <dgm:cxn modelId="{F0EFC96B-5B66-47D0-ADD3-99C19C18BB6E}" type="presParOf" srcId="{DDAF7AED-35E3-4D40-8C9B-003FA918517C}" destId="{A0E0016B-F32D-4968-9570-D11C7D46C3B3}" srcOrd="0" destOrd="0" presId="urn:microsoft.com/office/officeart/2005/8/layout/hierarchy2"/>
    <dgm:cxn modelId="{806A516D-B173-4424-9BC3-5B8BE3DA3278}" type="presParOf" srcId="{DDAF7AED-35E3-4D40-8C9B-003FA918517C}" destId="{C845DE89-9C20-4900-BB0C-E06721A4D3E3}" srcOrd="1" destOrd="0" presId="urn:microsoft.com/office/officeart/2005/8/layout/hierarchy2"/>
    <dgm:cxn modelId="{A6C8C6BB-358A-404F-A2AF-DC3027FA0B8B}" type="presParOf" srcId="{C845DE89-9C20-4900-BB0C-E06721A4D3E3}" destId="{2252990B-B8D6-4C68-A4C9-D984679027FF}" srcOrd="0" destOrd="0" presId="urn:microsoft.com/office/officeart/2005/8/layout/hierarchy2"/>
    <dgm:cxn modelId="{2DEF9102-F7D5-4448-8C68-9FC52D1464D0}" type="presParOf" srcId="{2252990B-B8D6-4C68-A4C9-D984679027FF}" destId="{211ECF60-45A8-4042-BE12-A38659FF5DF4}" srcOrd="0" destOrd="0" presId="urn:microsoft.com/office/officeart/2005/8/layout/hierarchy2"/>
    <dgm:cxn modelId="{271CC988-DCA9-4CBF-AA5C-E9F6F9E701D1}" type="presParOf" srcId="{C845DE89-9C20-4900-BB0C-E06721A4D3E3}" destId="{3A68A11E-AB01-40BC-A8E8-8B348E53BECF}" srcOrd="1" destOrd="0" presId="urn:microsoft.com/office/officeart/2005/8/layout/hierarchy2"/>
    <dgm:cxn modelId="{564D24FB-899A-4233-8321-D70EE5728C9C}" type="presParOf" srcId="{3A68A11E-AB01-40BC-A8E8-8B348E53BECF}" destId="{B214ECC6-E7EF-4C95-8CEC-9DBA2EEEEF48}" srcOrd="0" destOrd="0" presId="urn:microsoft.com/office/officeart/2005/8/layout/hierarchy2"/>
    <dgm:cxn modelId="{D9D0D60B-35B2-42DC-BF72-7889E728492C}" type="presParOf" srcId="{3A68A11E-AB01-40BC-A8E8-8B348E53BECF}" destId="{160EB47E-24EC-4091-BF92-748419F47503}" srcOrd="1" destOrd="0" presId="urn:microsoft.com/office/officeart/2005/8/layout/hierarchy2"/>
    <dgm:cxn modelId="{AECF1987-3D66-4263-BFB6-20D7FFB53DBB}" type="presParOf" srcId="{160EB47E-24EC-4091-BF92-748419F47503}" destId="{D1E42627-9ACC-44BF-9431-B63966AE184F}" srcOrd="0" destOrd="0" presId="urn:microsoft.com/office/officeart/2005/8/layout/hierarchy2"/>
    <dgm:cxn modelId="{3872C713-228E-4059-82FF-3480F9A6B7FB}" type="presParOf" srcId="{D1E42627-9ACC-44BF-9431-B63966AE184F}" destId="{FC2D065B-1430-42A5-9F3C-2CC2C50AC5D0}" srcOrd="0" destOrd="0" presId="urn:microsoft.com/office/officeart/2005/8/layout/hierarchy2"/>
    <dgm:cxn modelId="{6D42CA31-29CE-4B4A-9745-4127595693D9}" type="presParOf" srcId="{160EB47E-24EC-4091-BF92-748419F47503}" destId="{186F954A-533C-4232-B703-D4F9E1FC15FE}" srcOrd="1" destOrd="0" presId="urn:microsoft.com/office/officeart/2005/8/layout/hierarchy2"/>
    <dgm:cxn modelId="{6A3D169F-379B-457F-859D-8C2101C50C1B}" type="presParOf" srcId="{186F954A-533C-4232-B703-D4F9E1FC15FE}" destId="{17B55029-04C4-4A3F-83B8-7217ED1A4AF0}" srcOrd="0" destOrd="0" presId="urn:microsoft.com/office/officeart/2005/8/layout/hierarchy2"/>
    <dgm:cxn modelId="{E4E842F1-E980-43E3-A97D-46D225AEB425}" type="presParOf" srcId="{186F954A-533C-4232-B703-D4F9E1FC15FE}" destId="{4826D421-0228-4346-B40E-F76782DA95AF}" srcOrd="1" destOrd="0" presId="urn:microsoft.com/office/officeart/2005/8/layout/hierarchy2"/>
    <dgm:cxn modelId="{43CAA423-A414-4372-84B5-2D11FFA875E1}" type="presParOf" srcId="{4826D421-0228-4346-B40E-F76782DA95AF}" destId="{8383F27E-0134-4796-BDE2-96EC041B30E1}" srcOrd="0" destOrd="0" presId="urn:microsoft.com/office/officeart/2005/8/layout/hierarchy2"/>
    <dgm:cxn modelId="{EC518CFD-432D-4C61-9985-420F53E5303D}" type="presParOf" srcId="{8383F27E-0134-4796-BDE2-96EC041B30E1}" destId="{F3EFC570-0A41-4545-97E3-E9996B6C2122}" srcOrd="0" destOrd="0" presId="urn:microsoft.com/office/officeart/2005/8/layout/hierarchy2"/>
    <dgm:cxn modelId="{82A341ED-C453-41CF-9FDA-239AC4B2734C}" type="presParOf" srcId="{4826D421-0228-4346-B40E-F76782DA95AF}" destId="{EBD78552-D9AC-4CA9-A9E9-30CDF0E7A1A4}" srcOrd="1" destOrd="0" presId="urn:microsoft.com/office/officeart/2005/8/layout/hierarchy2"/>
    <dgm:cxn modelId="{B93CED7E-F8DC-4E0F-99AF-F09EA699784D}" type="presParOf" srcId="{EBD78552-D9AC-4CA9-A9E9-30CDF0E7A1A4}" destId="{BC222C3D-74D6-4ADE-A286-A5999028E690}" srcOrd="0" destOrd="0" presId="urn:microsoft.com/office/officeart/2005/8/layout/hierarchy2"/>
    <dgm:cxn modelId="{19BD6F98-4A53-436B-B1A5-13C42BE1A1D9}" type="presParOf" srcId="{EBD78552-D9AC-4CA9-A9E9-30CDF0E7A1A4}" destId="{3C8E42D4-F23F-4E8F-9054-C6CDD0FC3946}" srcOrd="1" destOrd="0" presId="urn:microsoft.com/office/officeart/2005/8/layout/hierarchy2"/>
    <dgm:cxn modelId="{887F3C6B-BCA2-4CA5-B383-D7DDE11DBB1B}" type="presParOf" srcId="{4826D421-0228-4346-B40E-F76782DA95AF}" destId="{A35B3DC6-DCE5-4922-87C1-DBB0FB6DEC65}" srcOrd="2" destOrd="0" presId="urn:microsoft.com/office/officeart/2005/8/layout/hierarchy2"/>
    <dgm:cxn modelId="{61AB55A3-1503-45E7-AA47-4B2A5F008637}" type="presParOf" srcId="{A35B3DC6-DCE5-4922-87C1-DBB0FB6DEC65}" destId="{36F6C788-4926-4864-A2F1-6556BB6107EA}" srcOrd="0" destOrd="0" presId="urn:microsoft.com/office/officeart/2005/8/layout/hierarchy2"/>
    <dgm:cxn modelId="{AA28872B-28D8-4147-B35B-A60052A461BB}" type="presParOf" srcId="{4826D421-0228-4346-B40E-F76782DA95AF}" destId="{EC31C81B-17A8-4313-8C56-8CB9FBD20667}" srcOrd="3" destOrd="0" presId="urn:microsoft.com/office/officeart/2005/8/layout/hierarchy2"/>
    <dgm:cxn modelId="{CC870B79-D50F-4AE9-BDEC-D406A1F8C7A7}" type="presParOf" srcId="{EC31C81B-17A8-4313-8C56-8CB9FBD20667}" destId="{BDA3EFCC-DCB9-49A3-A4E9-CE1D79436675}" srcOrd="0" destOrd="0" presId="urn:microsoft.com/office/officeart/2005/8/layout/hierarchy2"/>
    <dgm:cxn modelId="{80F698AF-7F5E-47AA-A1F0-821822202EF4}" type="presParOf" srcId="{EC31C81B-17A8-4313-8C56-8CB9FBD20667}" destId="{DFFDEA51-AFFA-48B0-9794-910166274721}" srcOrd="1" destOrd="0" presId="urn:microsoft.com/office/officeart/2005/8/layout/hierarchy2"/>
    <dgm:cxn modelId="{86B6601A-D482-4E81-BF1D-BBE82095490B}" type="presParOf" srcId="{160EB47E-24EC-4091-BF92-748419F47503}" destId="{D44ADDC7-25F5-434B-B608-B4578BE8FB56}" srcOrd="2" destOrd="0" presId="urn:microsoft.com/office/officeart/2005/8/layout/hierarchy2"/>
    <dgm:cxn modelId="{F475A04D-6602-4315-A240-7B5524624472}" type="presParOf" srcId="{D44ADDC7-25F5-434B-B608-B4578BE8FB56}" destId="{6EBE1347-46BE-4AA6-8562-7B53A0771BEF}" srcOrd="0" destOrd="0" presId="urn:microsoft.com/office/officeart/2005/8/layout/hierarchy2"/>
    <dgm:cxn modelId="{1933DB07-5973-4375-A0D7-9FEEE7A4D4B6}" type="presParOf" srcId="{160EB47E-24EC-4091-BF92-748419F47503}" destId="{52E0A128-FF28-448F-9D48-53DF96D755E0}" srcOrd="3" destOrd="0" presId="urn:microsoft.com/office/officeart/2005/8/layout/hierarchy2"/>
    <dgm:cxn modelId="{FF9AC0C1-AAB9-43DE-B6C2-55C698299857}" type="presParOf" srcId="{52E0A128-FF28-448F-9D48-53DF96D755E0}" destId="{5FE23F72-EC65-4DFF-B316-81A6F10DEBBF}" srcOrd="0" destOrd="0" presId="urn:microsoft.com/office/officeart/2005/8/layout/hierarchy2"/>
    <dgm:cxn modelId="{4E2E211A-8EFC-4D2B-A1FF-F3DDDBCCE12D}" type="presParOf" srcId="{52E0A128-FF28-448F-9D48-53DF96D755E0}" destId="{9410192A-19AB-4352-8602-F89B863A2BDE}" srcOrd="1" destOrd="0" presId="urn:microsoft.com/office/officeart/2005/8/layout/hierarchy2"/>
    <dgm:cxn modelId="{CCC4FA3E-F36A-4623-98B4-CFCBF1069185}" type="presParOf" srcId="{C845DE89-9C20-4900-BB0C-E06721A4D3E3}" destId="{44658828-D7CD-4F70-836D-8C3C078402F8}" srcOrd="2" destOrd="0" presId="urn:microsoft.com/office/officeart/2005/8/layout/hierarchy2"/>
    <dgm:cxn modelId="{BA3126B9-F1F5-4DE4-8E7D-5D1558329F64}" type="presParOf" srcId="{44658828-D7CD-4F70-836D-8C3C078402F8}" destId="{44A6C031-26FD-4263-B365-8D4A990AEA3A}" srcOrd="0" destOrd="0" presId="urn:microsoft.com/office/officeart/2005/8/layout/hierarchy2"/>
    <dgm:cxn modelId="{B58869ED-3C8E-45A5-A81B-340E6C68C2F5}" type="presParOf" srcId="{C845DE89-9C20-4900-BB0C-E06721A4D3E3}" destId="{EDCFF2BC-CBCD-4674-9ACF-8BC9B8E15D58}" srcOrd="3" destOrd="0" presId="urn:microsoft.com/office/officeart/2005/8/layout/hierarchy2"/>
    <dgm:cxn modelId="{C4736702-4B6E-40EE-9186-1BB20EC9FBB7}" type="presParOf" srcId="{EDCFF2BC-CBCD-4674-9ACF-8BC9B8E15D58}" destId="{4AEDC120-C860-48E0-B8D9-F608997C7356}" srcOrd="0" destOrd="0" presId="urn:microsoft.com/office/officeart/2005/8/layout/hierarchy2"/>
    <dgm:cxn modelId="{7E9FEA9E-5613-4503-A67E-9005BEFF0373}" type="presParOf" srcId="{EDCFF2BC-CBCD-4674-9ACF-8BC9B8E15D58}" destId="{12FB21C8-AAAB-4FE8-A8CB-37AF92CB8406}" srcOrd="1" destOrd="0" presId="urn:microsoft.com/office/officeart/2005/8/layout/hierarchy2"/>
    <dgm:cxn modelId="{6E6C180B-4E36-4D05-9E7E-9F076C3EF1C7}" type="presParOf" srcId="{12FB21C8-AAAB-4FE8-A8CB-37AF92CB8406}" destId="{AD29CF92-BB00-4C55-B00B-580CC47455BD}" srcOrd="0" destOrd="0" presId="urn:microsoft.com/office/officeart/2005/8/layout/hierarchy2"/>
    <dgm:cxn modelId="{C1FDDD44-7D53-425B-9004-5D6879791AC8}" type="presParOf" srcId="{AD29CF92-BB00-4C55-B00B-580CC47455BD}" destId="{30BC44E3-B42A-4415-A828-AD1D23A80496}" srcOrd="0" destOrd="0" presId="urn:microsoft.com/office/officeart/2005/8/layout/hierarchy2"/>
    <dgm:cxn modelId="{D96844E7-9F9E-440F-9101-8C26223A42C2}" type="presParOf" srcId="{12FB21C8-AAAB-4FE8-A8CB-37AF92CB8406}" destId="{02F64006-5B7E-45F0-AA14-412D0E5B7158}" srcOrd="1" destOrd="0" presId="urn:microsoft.com/office/officeart/2005/8/layout/hierarchy2"/>
    <dgm:cxn modelId="{ADF3C59B-FA33-4BCC-A40A-F2F4BD57BB95}" type="presParOf" srcId="{02F64006-5B7E-45F0-AA14-412D0E5B7158}" destId="{A2C68364-FC6D-4386-B9B9-F893B21B75A9}" srcOrd="0" destOrd="0" presId="urn:microsoft.com/office/officeart/2005/8/layout/hierarchy2"/>
    <dgm:cxn modelId="{A4E7EE57-DD37-4477-9334-CD891C38C826}" type="presParOf" srcId="{02F64006-5B7E-45F0-AA14-412D0E5B7158}" destId="{0D719BBE-5FBE-48C2-B751-34DBF526B682}" srcOrd="1" destOrd="0" presId="urn:microsoft.com/office/officeart/2005/8/layout/hierarchy2"/>
    <dgm:cxn modelId="{AF658916-0C89-4404-8696-05C6009F91FB}" type="presParOf" srcId="{12FB21C8-AAAB-4FE8-A8CB-37AF92CB8406}" destId="{86ADCC65-59BD-442D-A508-D2EA4100AEAE}" srcOrd="2" destOrd="0" presId="urn:microsoft.com/office/officeart/2005/8/layout/hierarchy2"/>
    <dgm:cxn modelId="{32CA4DF4-F5AD-460E-86E5-D67052545085}" type="presParOf" srcId="{86ADCC65-59BD-442D-A508-D2EA4100AEAE}" destId="{70A1CE07-76E8-427B-9092-BAF9B4904C80}" srcOrd="0" destOrd="0" presId="urn:microsoft.com/office/officeart/2005/8/layout/hierarchy2"/>
    <dgm:cxn modelId="{7C2E4472-D5F2-4B50-8A97-C0962DFCE6A8}" type="presParOf" srcId="{12FB21C8-AAAB-4FE8-A8CB-37AF92CB8406}" destId="{E4E96A7E-A12C-4DAE-B026-BF5E2C42CB64}" srcOrd="3" destOrd="0" presId="urn:microsoft.com/office/officeart/2005/8/layout/hierarchy2"/>
    <dgm:cxn modelId="{AF2100CB-9774-4C0A-BBBF-A5A4DD50E9AA}" type="presParOf" srcId="{E4E96A7E-A12C-4DAE-B026-BF5E2C42CB64}" destId="{5FEDFFDC-1B64-41A4-B9ED-F2DD326AD3E3}" srcOrd="0" destOrd="0" presId="urn:microsoft.com/office/officeart/2005/8/layout/hierarchy2"/>
    <dgm:cxn modelId="{B09545F0-659E-47A2-9904-6B8015574A9F}" type="presParOf" srcId="{E4E96A7E-A12C-4DAE-B026-BF5E2C42CB64}" destId="{E4B7706E-9C1C-46A4-BDDD-125F514568D7}"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F24FF4-65E9-4FD0-BBF7-535E23B86F51}">
      <dsp:nvSpPr>
        <dsp:cNvPr id="0" name=""/>
        <dsp:cNvSpPr/>
      </dsp:nvSpPr>
      <dsp:spPr>
        <a:xfrm>
          <a:off x="672706" y="1533536"/>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Within Season Birth Cohort</a:t>
          </a:r>
        </a:p>
      </dsp:txBody>
      <dsp:txXfrm>
        <a:off x="681894" y="1542724"/>
        <a:ext cx="609046" cy="295335"/>
      </dsp:txXfrm>
    </dsp:sp>
    <dsp:sp modelId="{46328FCF-7374-4CD6-898D-A4BB847D1019}">
      <dsp:nvSpPr>
        <dsp:cNvPr id="0" name=""/>
        <dsp:cNvSpPr/>
      </dsp:nvSpPr>
      <dsp:spPr>
        <a:xfrm rot="17230830">
          <a:off x="1000793" y="1275706"/>
          <a:ext cx="849639" cy="17644"/>
        </a:xfrm>
        <a:custGeom>
          <a:avLst/>
          <a:gdLst/>
          <a:ahLst/>
          <a:cxnLst/>
          <a:rect l="0" t="0" r="0" b="0"/>
          <a:pathLst>
            <a:path>
              <a:moveTo>
                <a:pt x="0" y="8822"/>
              </a:moveTo>
              <a:lnTo>
                <a:pt x="849639" y="882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404372" y="1263287"/>
        <a:ext cx="42481" cy="42481"/>
      </dsp:txXfrm>
    </dsp:sp>
    <dsp:sp modelId="{5960C443-79EE-4C11-B575-C92B93F02E5F}">
      <dsp:nvSpPr>
        <dsp:cNvPr id="0" name=""/>
        <dsp:cNvSpPr/>
      </dsp:nvSpPr>
      <dsp:spPr>
        <a:xfrm>
          <a:off x="1551097" y="721808"/>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"Low-risk" Newborn</a:t>
          </a:r>
        </a:p>
      </dsp:txBody>
      <dsp:txXfrm>
        <a:off x="1560285" y="730996"/>
        <a:ext cx="609046" cy="295335"/>
      </dsp:txXfrm>
    </dsp:sp>
    <dsp:sp modelId="{D199F58D-C821-475C-8540-5969BD740D23}">
      <dsp:nvSpPr>
        <dsp:cNvPr id="0" name=""/>
        <dsp:cNvSpPr/>
      </dsp:nvSpPr>
      <dsp:spPr>
        <a:xfrm rot="18289469">
          <a:off x="2084266" y="689458"/>
          <a:ext cx="439475" cy="17644"/>
        </a:xfrm>
        <a:custGeom>
          <a:avLst/>
          <a:gdLst/>
          <a:ahLst/>
          <a:cxnLst/>
          <a:rect l="0" t="0" r="0" b="0"/>
          <a:pathLst>
            <a:path>
              <a:moveTo>
                <a:pt x="0" y="8822"/>
              </a:moveTo>
              <a:lnTo>
                <a:pt x="439475"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293017" y="687293"/>
        <a:ext cx="21973" cy="21973"/>
      </dsp:txXfrm>
    </dsp:sp>
    <dsp:sp modelId="{74067E4F-88B5-4676-B9CB-9203B231B59A}">
      <dsp:nvSpPr>
        <dsp:cNvPr id="0" name=""/>
        <dsp:cNvSpPr/>
      </dsp:nvSpPr>
      <dsp:spPr>
        <a:xfrm>
          <a:off x="2429488" y="361041"/>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Obtain antibody candidate</a:t>
          </a:r>
        </a:p>
      </dsp:txBody>
      <dsp:txXfrm>
        <a:off x="2438676" y="370229"/>
        <a:ext cx="609046" cy="295335"/>
      </dsp:txXfrm>
    </dsp:sp>
    <dsp:sp modelId="{2CD95D4A-6B3C-4EDE-A5AB-75AAAEEA5623}">
      <dsp:nvSpPr>
        <dsp:cNvPr id="0" name=""/>
        <dsp:cNvSpPr/>
      </dsp:nvSpPr>
      <dsp:spPr>
        <a:xfrm rot="19457599">
          <a:off x="3027860" y="418882"/>
          <a:ext cx="309069" cy="17644"/>
        </a:xfrm>
        <a:custGeom>
          <a:avLst/>
          <a:gdLst/>
          <a:ahLst/>
          <a:cxnLst/>
          <a:rect l="0" t="0" r="0" b="0"/>
          <a:pathLst>
            <a:path>
              <a:moveTo>
                <a:pt x="0" y="8822"/>
              </a:moveTo>
              <a:lnTo>
                <a:pt x="309069"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174668" y="419978"/>
        <a:ext cx="15453" cy="15453"/>
      </dsp:txXfrm>
    </dsp:sp>
    <dsp:sp modelId="{3E345B89-7871-4461-867C-753F94C717CF}">
      <dsp:nvSpPr>
        <dsp:cNvPr id="0" name=""/>
        <dsp:cNvSpPr/>
      </dsp:nvSpPr>
      <dsp:spPr>
        <a:xfrm>
          <a:off x="3307879" y="180657"/>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Ineffective Immunization</a:t>
          </a:r>
        </a:p>
      </dsp:txBody>
      <dsp:txXfrm>
        <a:off x="3317067" y="189845"/>
        <a:ext cx="609046" cy="295335"/>
      </dsp:txXfrm>
    </dsp:sp>
    <dsp:sp modelId="{B948208A-4E7F-4748-83EF-CDDBCB0279A7}">
      <dsp:nvSpPr>
        <dsp:cNvPr id="0" name=""/>
        <dsp:cNvSpPr/>
      </dsp:nvSpPr>
      <dsp:spPr>
        <a:xfrm rot="19457599">
          <a:off x="3906251" y="238498"/>
          <a:ext cx="309069" cy="17644"/>
        </a:xfrm>
        <a:custGeom>
          <a:avLst/>
          <a:gdLst/>
          <a:ahLst/>
          <a:cxnLst/>
          <a:rect l="0" t="0" r="0" b="0"/>
          <a:pathLst>
            <a:path>
              <a:moveTo>
                <a:pt x="0" y="8822"/>
              </a:moveTo>
              <a:lnTo>
                <a:pt x="309069"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4053059" y="239594"/>
        <a:ext cx="15453" cy="15453"/>
      </dsp:txXfrm>
    </dsp:sp>
    <dsp:sp modelId="{21FF5062-4C10-4032-8F9A-468B33F65D4B}">
      <dsp:nvSpPr>
        <dsp:cNvPr id="0" name=""/>
        <dsp:cNvSpPr/>
      </dsp:nvSpPr>
      <dsp:spPr>
        <a:xfrm>
          <a:off x="4186270" y="273"/>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Attended for RSVi</a:t>
          </a:r>
        </a:p>
      </dsp:txBody>
      <dsp:txXfrm>
        <a:off x="4195458" y="9461"/>
        <a:ext cx="609046" cy="295335"/>
      </dsp:txXfrm>
    </dsp:sp>
    <dsp:sp modelId="{3B1E477B-8F54-4462-BDEB-52200DC6C9CD}">
      <dsp:nvSpPr>
        <dsp:cNvPr id="0" name=""/>
        <dsp:cNvSpPr/>
      </dsp:nvSpPr>
      <dsp:spPr>
        <a:xfrm rot="2142401">
          <a:off x="3906251" y="418882"/>
          <a:ext cx="309069" cy="17644"/>
        </a:xfrm>
        <a:custGeom>
          <a:avLst/>
          <a:gdLst/>
          <a:ahLst/>
          <a:cxnLst/>
          <a:rect l="0" t="0" r="0" b="0"/>
          <a:pathLst>
            <a:path>
              <a:moveTo>
                <a:pt x="0" y="8822"/>
              </a:moveTo>
              <a:lnTo>
                <a:pt x="309069"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4053059" y="419978"/>
        <a:ext cx="15453" cy="15453"/>
      </dsp:txXfrm>
    </dsp:sp>
    <dsp:sp modelId="{F05A5B4C-F589-4F65-8049-A4D4782BB765}">
      <dsp:nvSpPr>
        <dsp:cNvPr id="0" name=""/>
        <dsp:cNvSpPr/>
      </dsp:nvSpPr>
      <dsp:spPr>
        <a:xfrm>
          <a:off x="4186270" y="361041"/>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Not attended for RSVi (unknown)</a:t>
          </a:r>
        </a:p>
      </dsp:txBody>
      <dsp:txXfrm>
        <a:off x="4195458" y="370229"/>
        <a:ext cx="609046" cy="295335"/>
      </dsp:txXfrm>
    </dsp:sp>
    <dsp:sp modelId="{303FF90A-3BD1-44C3-8051-5E9AF647B0D0}">
      <dsp:nvSpPr>
        <dsp:cNvPr id="0" name=""/>
        <dsp:cNvSpPr/>
      </dsp:nvSpPr>
      <dsp:spPr>
        <a:xfrm rot="2142401">
          <a:off x="3027860" y="599266"/>
          <a:ext cx="309069" cy="17644"/>
        </a:xfrm>
        <a:custGeom>
          <a:avLst/>
          <a:gdLst/>
          <a:ahLst/>
          <a:cxnLst/>
          <a:rect l="0" t="0" r="0" b="0"/>
          <a:pathLst>
            <a:path>
              <a:moveTo>
                <a:pt x="0" y="8822"/>
              </a:moveTo>
              <a:lnTo>
                <a:pt x="309069"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174668" y="600361"/>
        <a:ext cx="15453" cy="15453"/>
      </dsp:txXfrm>
    </dsp:sp>
    <dsp:sp modelId="{35F01F20-9520-4993-B204-DF8650924D5C}">
      <dsp:nvSpPr>
        <dsp:cNvPr id="0" name=""/>
        <dsp:cNvSpPr/>
      </dsp:nvSpPr>
      <dsp:spPr>
        <a:xfrm>
          <a:off x="3307879" y="541425"/>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Effective immunization</a:t>
          </a:r>
        </a:p>
      </dsp:txBody>
      <dsp:txXfrm>
        <a:off x="3317067" y="550613"/>
        <a:ext cx="609046" cy="295335"/>
      </dsp:txXfrm>
    </dsp:sp>
    <dsp:sp modelId="{313EEE47-0C55-437E-A459-955CB1274A60}">
      <dsp:nvSpPr>
        <dsp:cNvPr id="0" name=""/>
        <dsp:cNvSpPr/>
      </dsp:nvSpPr>
      <dsp:spPr>
        <a:xfrm rot="3310531">
          <a:off x="2084266" y="1050226"/>
          <a:ext cx="439475" cy="17644"/>
        </a:xfrm>
        <a:custGeom>
          <a:avLst/>
          <a:gdLst/>
          <a:ahLst/>
          <a:cxnLst/>
          <a:rect l="0" t="0" r="0" b="0"/>
          <a:pathLst>
            <a:path>
              <a:moveTo>
                <a:pt x="0" y="8822"/>
              </a:moveTo>
              <a:lnTo>
                <a:pt x="439475"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293017" y="1048061"/>
        <a:ext cx="21973" cy="21973"/>
      </dsp:txXfrm>
    </dsp:sp>
    <dsp:sp modelId="{C90C1898-B0F1-45FF-B194-483AB7CA7899}">
      <dsp:nvSpPr>
        <dsp:cNvPr id="0" name=""/>
        <dsp:cNvSpPr/>
      </dsp:nvSpPr>
      <dsp:spPr>
        <a:xfrm>
          <a:off x="2429488" y="1082576"/>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Do not obtain antibody candidate</a:t>
          </a:r>
        </a:p>
      </dsp:txBody>
      <dsp:txXfrm>
        <a:off x="2438676" y="1091764"/>
        <a:ext cx="609046" cy="295335"/>
      </dsp:txXfrm>
    </dsp:sp>
    <dsp:sp modelId="{3061E304-D57A-4D34-AC24-653EFB945DEC}">
      <dsp:nvSpPr>
        <dsp:cNvPr id="0" name=""/>
        <dsp:cNvSpPr/>
      </dsp:nvSpPr>
      <dsp:spPr>
        <a:xfrm rot="19457599">
          <a:off x="3027860" y="1140418"/>
          <a:ext cx="309069" cy="17644"/>
        </a:xfrm>
        <a:custGeom>
          <a:avLst/>
          <a:gdLst/>
          <a:ahLst/>
          <a:cxnLst/>
          <a:rect l="0" t="0" r="0" b="0"/>
          <a:pathLst>
            <a:path>
              <a:moveTo>
                <a:pt x="0" y="8822"/>
              </a:moveTo>
              <a:lnTo>
                <a:pt x="309069"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174668" y="1141513"/>
        <a:ext cx="15453" cy="15453"/>
      </dsp:txXfrm>
    </dsp:sp>
    <dsp:sp modelId="{4CB7EB8A-F87D-4173-93E3-A13199C579FF}">
      <dsp:nvSpPr>
        <dsp:cNvPr id="0" name=""/>
        <dsp:cNvSpPr/>
      </dsp:nvSpPr>
      <dsp:spPr>
        <a:xfrm>
          <a:off x="3307879" y="902192"/>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Attended for RSVi</a:t>
          </a:r>
        </a:p>
      </dsp:txBody>
      <dsp:txXfrm>
        <a:off x="3317067" y="911380"/>
        <a:ext cx="609046" cy="295335"/>
      </dsp:txXfrm>
    </dsp:sp>
    <dsp:sp modelId="{018C0ED1-DC97-4CF5-A34F-FD4CED25B509}">
      <dsp:nvSpPr>
        <dsp:cNvPr id="0" name=""/>
        <dsp:cNvSpPr/>
      </dsp:nvSpPr>
      <dsp:spPr>
        <a:xfrm rot="2142401">
          <a:off x="3027860" y="1320802"/>
          <a:ext cx="309069" cy="17644"/>
        </a:xfrm>
        <a:custGeom>
          <a:avLst/>
          <a:gdLst/>
          <a:ahLst/>
          <a:cxnLst/>
          <a:rect l="0" t="0" r="0" b="0"/>
          <a:pathLst>
            <a:path>
              <a:moveTo>
                <a:pt x="0" y="8822"/>
              </a:moveTo>
              <a:lnTo>
                <a:pt x="309069"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174668" y="1321897"/>
        <a:ext cx="15453" cy="15453"/>
      </dsp:txXfrm>
    </dsp:sp>
    <dsp:sp modelId="{B8017BAD-EBEB-4148-864A-96BF5C1D1B7F}">
      <dsp:nvSpPr>
        <dsp:cNvPr id="0" name=""/>
        <dsp:cNvSpPr/>
      </dsp:nvSpPr>
      <dsp:spPr>
        <a:xfrm>
          <a:off x="3307879" y="1262960"/>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Not attended for RSVi (unknown)</a:t>
          </a:r>
        </a:p>
      </dsp:txBody>
      <dsp:txXfrm>
        <a:off x="3317067" y="1272148"/>
        <a:ext cx="609046" cy="295335"/>
      </dsp:txXfrm>
    </dsp:sp>
    <dsp:sp modelId="{F8C38CA0-C7BF-4981-B46D-FF9F55745EDC}">
      <dsp:nvSpPr>
        <dsp:cNvPr id="0" name=""/>
        <dsp:cNvSpPr/>
      </dsp:nvSpPr>
      <dsp:spPr>
        <a:xfrm rot="4369170">
          <a:off x="1000793" y="2087433"/>
          <a:ext cx="849639" cy="17644"/>
        </a:xfrm>
        <a:custGeom>
          <a:avLst/>
          <a:gdLst/>
          <a:ahLst/>
          <a:cxnLst/>
          <a:rect l="0" t="0" r="0" b="0"/>
          <a:pathLst>
            <a:path>
              <a:moveTo>
                <a:pt x="0" y="8822"/>
              </a:moveTo>
              <a:lnTo>
                <a:pt x="849639" y="882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404372" y="2075014"/>
        <a:ext cx="42481" cy="42481"/>
      </dsp:txXfrm>
    </dsp:sp>
    <dsp:sp modelId="{A0E0016B-F32D-4968-9570-D11C7D46C3B3}">
      <dsp:nvSpPr>
        <dsp:cNvPr id="0" name=""/>
        <dsp:cNvSpPr/>
      </dsp:nvSpPr>
      <dsp:spPr>
        <a:xfrm>
          <a:off x="1551097" y="2345263"/>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"High-risk" Newborn</a:t>
          </a:r>
        </a:p>
      </dsp:txBody>
      <dsp:txXfrm>
        <a:off x="1560285" y="2354451"/>
        <a:ext cx="609046" cy="295335"/>
      </dsp:txXfrm>
    </dsp:sp>
    <dsp:sp modelId="{2252990B-B8D6-4C68-A4C9-D984679027FF}">
      <dsp:nvSpPr>
        <dsp:cNvPr id="0" name=""/>
        <dsp:cNvSpPr/>
      </dsp:nvSpPr>
      <dsp:spPr>
        <a:xfrm rot="18289469">
          <a:off x="2084266" y="2312913"/>
          <a:ext cx="439475" cy="17644"/>
        </a:xfrm>
        <a:custGeom>
          <a:avLst/>
          <a:gdLst/>
          <a:ahLst/>
          <a:cxnLst/>
          <a:rect l="0" t="0" r="0" b="0"/>
          <a:pathLst>
            <a:path>
              <a:moveTo>
                <a:pt x="0" y="8822"/>
              </a:moveTo>
              <a:lnTo>
                <a:pt x="439475"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293017" y="2310748"/>
        <a:ext cx="21973" cy="21973"/>
      </dsp:txXfrm>
    </dsp:sp>
    <dsp:sp modelId="{B214ECC6-E7EF-4C95-8CEC-9DBA2EEEEF48}">
      <dsp:nvSpPr>
        <dsp:cNvPr id="0" name=""/>
        <dsp:cNvSpPr/>
      </dsp:nvSpPr>
      <dsp:spPr>
        <a:xfrm>
          <a:off x="2429488" y="1984496"/>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Obtain antibody candidate</a:t>
          </a:r>
        </a:p>
      </dsp:txBody>
      <dsp:txXfrm>
        <a:off x="2438676" y="1993684"/>
        <a:ext cx="609046" cy="295335"/>
      </dsp:txXfrm>
    </dsp:sp>
    <dsp:sp modelId="{D1E42627-9ACC-44BF-9431-B63966AE184F}">
      <dsp:nvSpPr>
        <dsp:cNvPr id="0" name=""/>
        <dsp:cNvSpPr/>
      </dsp:nvSpPr>
      <dsp:spPr>
        <a:xfrm rot="19457599">
          <a:off x="3027860" y="2042337"/>
          <a:ext cx="309069" cy="17644"/>
        </a:xfrm>
        <a:custGeom>
          <a:avLst/>
          <a:gdLst/>
          <a:ahLst/>
          <a:cxnLst/>
          <a:rect l="0" t="0" r="0" b="0"/>
          <a:pathLst>
            <a:path>
              <a:moveTo>
                <a:pt x="0" y="8822"/>
              </a:moveTo>
              <a:lnTo>
                <a:pt x="309069"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174668" y="2043432"/>
        <a:ext cx="15453" cy="15453"/>
      </dsp:txXfrm>
    </dsp:sp>
    <dsp:sp modelId="{17B55029-04C4-4A3F-83B8-7217ED1A4AF0}">
      <dsp:nvSpPr>
        <dsp:cNvPr id="0" name=""/>
        <dsp:cNvSpPr/>
      </dsp:nvSpPr>
      <dsp:spPr>
        <a:xfrm>
          <a:off x="3307879" y="1804112"/>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Ineffective Immunization</a:t>
          </a:r>
        </a:p>
      </dsp:txBody>
      <dsp:txXfrm>
        <a:off x="3317067" y="1813300"/>
        <a:ext cx="609046" cy="295335"/>
      </dsp:txXfrm>
    </dsp:sp>
    <dsp:sp modelId="{8383F27E-0134-4796-BDE2-96EC041B30E1}">
      <dsp:nvSpPr>
        <dsp:cNvPr id="0" name=""/>
        <dsp:cNvSpPr/>
      </dsp:nvSpPr>
      <dsp:spPr>
        <a:xfrm rot="19457599">
          <a:off x="3906251" y="1861953"/>
          <a:ext cx="309069" cy="17644"/>
        </a:xfrm>
        <a:custGeom>
          <a:avLst/>
          <a:gdLst/>
          <a:ahLst/>
          <a:cxnLst/>
          <a:rect l="0" t="0" r="0" b="0"/>
          <a:pathLst>
            <a:path>
              <a:moveTo>
                <a:pt x="0" y="8822"/>
              </a:moveTo>
              <a:lnTo>
                <a:pt x="309069"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4053059" y="1863049"/>
        <a:ext cx="15453" cy="15453"/>
      </dsp:txXfrm>
    </dsp:sp>
    <dsp:sp modelId="{BC222C3D-74D6-4ADE-A286-A5999028E690}">
      <dsp:nvSpPr>
        <dsp:cNvPr id="0" name=""/>
        <dsp:cNvSpPr/>
      </dsp:nvSpPr>
      <dsp:spPr>
        <a:xfrm>
          <a:off x="4186270" y="1623728"/>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Attended for RSVi</a:t>
          </a:r>
        </a:p>
      </dsp:txBody>
      <dsp:txXfrm>
        <a:off x="4195458" y="1632916"/>
        <a:ext cx="609046" cy="295335"/>
      </dsp:txXfrm>
    </dsp:sp>
    <dsp:sp modelId="{A35B3DC6-DCE5-4922-87C1-DBB0FB6DEC65}">
      <dsp:nvSpPr>
        <dsp:cNvPr id="0" name=""/>
        <dsp:cNvSpPr/>
      </dsp:nvSpPr>
      <dsp:spPr>
        <a:xfrm rot="2142401">
          <a:off x="3906251" y="2042337"/>
          <a:ext cx="309069" cy="17644"/>
        </a:xfrm>
        <a:custGeom>
          <a:avLst/>
          <a:gdLst/>
          <a:ahLst/>
          <a:cxnLst/>
          <a:rect l="0" t="0" r="0" b="0"/>
          <a:pathLst>
            <a:path>
              <a:moveTo>
                <a:pt x="0" y="8822"/>
              </a:moveTo>
              <a:lnTo>
                <a:pt x="309069"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4053059" y="2043432"/>
        <a:ext cx="15453" cy="15453"/>
      </dsp:txXfrm>
    </dsp:sp>
    <dsp:sp modelId="{BDA3EFCC-DCB9-49A3-A4E9-CE1D79436675}">
      <dsp:nvSpPr>
        <dsp:cNvPr id="0" name=""/>
        <dsp:cNvSpPr/>
      </dsp:nvSpPr>
      <dsp:spPr>
        <a:xfrm>
          <a:off x="4186270" y="1984496"/>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Not attended for RSVi (unknown)</a:t>
          </a:r>
        </a:p>
      </dsp:txBody>
      <dsp:txXfrm>
        <a:off x="4195458" y="1993684"/>
        <a:ext cx="609046" cy="295335"/>
      </dsp:txXfrm>
    </dsp:sp>
    <dsp:sp modelId="{D44ADDC7-25F5-434B-B608-B4578BE8FB56}">
      <dsp:nvSpPr>
        <dsp:cNvPr id="0" name=""/>
        <dsp:cNvSpPr/>
      </dsp:nvSpPr>
      <dsp:spPr>
        <a:xfrm rot="2142401">
          <a:off x="3027860" y="2222721"/>
          <a:ext cx="309069" cy="17644"/>
        </a:xfrm>
        <a:custGeom>
          <a:avLst/>
          <a:gdLst/>
          <a:ahLst/>
          <a:cxnLst/>
          <a:rect l="0" t="0" r="0" b="0"/>
          <a:pathLst>
            <a:path>
              <a:moveTo>
                <a:pt x="0" y="8822"/>
              </a:moveTo>
              <a:lnTo>
                <a:pt x="309069"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174668" y="2223816"/>
        <a:ext cx="15453" cy="15453"/>
      </dsp:txXfrm>
    </dsp:sp>
    <dsp:sp modelId="{5FE23F72-EC65-4DFF-B316-81A6F10DEBBF}">
      <dsp:nvSpPr>
        <dsp:cNvPr id="0" name=""/>
        <dsp:cNvSpPr/>
      </dsp:nvSpPr>
      <dsp:spPr>
        <a:xfrm>
          <a:off x="3307879" y="2164879"/>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Effective immunization</a:t>
          </a:r>
        </a:p>
      </dsp:txBody>
      <dsp:txXfrm>
        <a:off x="3317067" y="2174067"/>
        <a:ext cx="609046" cy="295335"/>
      </dsp:txXfrm>
    </dsp:sp>
    <dsp:sp modelId="{44658828-D7CD-4F70-836D-8C3C078402F8}">
      <dsp:nvSpPr>
        <dsp:cNvPr id="0" name=""/>
        <dsp:cNvSpPr/>
      </dsp:nvSpPr>
      <dsp:spPr>
        <a:xfrm rot="3310531">
          <a:off x="2084266" y="2673681"/>
          <a:ext cx="439475" cy="17644"/>
        </a:xfrm>
        <a:custGeom>
          <a:avLst/>
          <a:gdLst/>
          <a:ahLst/>
          <a:cxnLst/>
          <a:rect l="0" t="0" r="0" b="0"/>
          <a:pathLst>
            <a:path>
              <a:moveTo>
                <a:pt x="0" y="8822"/>
              </a:moveTo>
              <a:lnTo>
                <a:pt x="439475"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293017" y="2671516"/>
        <a:ext cx="21973" cy="21973"/>
      </dsp:txXfrm>
    </dsp:sp>
    <dsp:sp modelId="{4AEDC120-C860-48E0-B8D9-F608997C7356}">
      <dsp:nvSpPr>
        <dsp:cNvPr id="0" name=""/>
        <dsp:cNvSpPr/>
      </dsp:nvSpPr>
      <dsp:spPr>
        <a:xfrm>
          <a:off x="2429488" y="2706031"/>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Do not obtain antibody candidate</a:t>
          </a:r>
        </a:p>
      </dsp:txBody>
      <dsp:txXfrm>
        <a:off x="2438676" y="2715219"/>
        <a:ext cx="609046" cy="295335"/>
      </dsp:txXfrm>
    </dsp:sp>
    <dsp:sp modelId="{AD29CF92-BB00-4C55-B00B-580CC47455BD}">
      <dsp:nvSpPr>
        <dsp:cNvPr id="0" name=""/>
        <dsp:cNvSpPr/>
      </dsp:nvSpPr>
      <dsp:spPr>
        <a:xfrm rot="19457599">
          <a:off x="3027860" y="2763873"/>
          <a:ext cx="309069" cy="17644"/>
        </a:xfrm>
        <a:custGeom>
          <a:avLst/>
          <a:gdLst/>
          <a:ahLst/>
          <a:cxnLst/>
          <a:rect l="0" t="0" r="0" b="0"/>
          <a:pathLst>
            <a:path>
              <a:moveTo>
                <a:pt x="0" y="8822"/>
              </a:moveTo>
              <a:lnTo>
                <a:pt x="309069"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174668" y="2764968"/>
        <a:ext cx="15453" cy="15453"/>
      </dsp:txXfrm>
    </dsp:sp>
    <dsp:sp modelId="{A2C68364-FC6D-4386-B9B9-F893B21B75A9}">
      <dsp:nvSpPr>
        <dsp:cNvPr id="0" name=""/>
        <dsp:cNvSpPr/>
      </dsp:nvSpPr>
      <dsp:spPr>
        <a:xfrm>
          <a:off x="3307879" y="2525647"/>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Not attended for RSVi (unknown)</a:t>
          </a:r>
        </a:p>
      </dsp:txBody>
      <dsp:txXfrm>
        <a:off x="3317067" y="2534835"/>
        <a:ext cx="609046" cy="295335"/>
      </dsp:txXfrm>
    </dsp:sp>
    <dsp:sp modelId="{86ADCC65-59BD-442D-A508-D2EA4100AEAE}">
      <dsp:nvSpPr>
        <dsp:cNvPr id="0" name=""/>
        <dsp:cNvSpPr/>
      </dsp:nvSpPr>
      <dsp:spPr>
        <a:xfrm rot="2142401">
          <a:off x="3027860" y="2944257"/>
          <a:ext cx="309069" cy="17644"/>
        </a:xfrm>
        <a:custGeom>
          <a:avLst/>
          <a:gdLst/>
          <a:ahLst/>
          <a:cxnLst/>
          <a:rect l="0" t="0" r="0" b="0"/>
          <a:pathLst>
            <a:path>
              <a:moveTo>
                <a:pt x="0" y="8822"/>
              </a:moveTo>
              <a:lnTo>
                <a:pt x="309069" y="882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174668" y="2945352"/>
        <a:ext cx="15453" cy="15453"/>
      </dsp:txXfrm>
    </dsp:sp>
    <dsp:sp modelId="{5FEDFFDC-1B64-41A4-B9ED-F2DD326AD3E3}">
      <dsp:nvSpPr>
        <dsp:cNvPr id="0" name=""/>
        <dsp:cNvSpPr/>
      </dsp:nvSpPr>
      <dsp:spPr>
        <a:xfrm>
          <a:off x="3307879" y="2886415"/>
          <a:ext cx="627422" cy="313711"/>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t>Attended for RSVi</a:t>
          </a:r>
        </a:p>
      </dsp:txBody>
      <dsp:txXfrm>
        <a:off x="3317067" y="2895603"/>
        <a:ext cx="609046" cy="29533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2780</Words>
  <Characters>15846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Rainisch, Gabriel (CDC/DDID/NCEZID/DPEI)</dc:creator>
  <cp:keywords/>
  <dc:description/>
  <cp:lastModifiedBy>Rainisch, Gabriel (CDC/DDID/NCEZID/DPEI)</cp:lastModifiedBy>
  <cp:revision>4</cp:revision>
  <dcterms:created xsi:type="dcterms:W3CDTF">2019-11-06T15:30:00Z</dcterms:created>
  <dcterms:modified xsi:type="dcterms:W3CDTF">2019-11-06T15:33:00Z</dcterms:modified>
</cp:coreProperties>
</file>