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   <Relationship Id="rId4" Type="http://schemas.openxmlformats.org/officeDocument/2006/relationships/custom-properties" Target="docProps/custom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45" w:rsidRPr="00FE0FAF" w:rsidRDefault="00730A45" w:rsidP="00642AD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44930">
        <w:rPr>
          <w:rFonts w:ascii="Times New Roman" w:hAnsi="Times New Roman" w:cs="Times New Roman"/>
          <w:b/>
          <w:sz w:val="24"/>
        </w:rPr>
        <w:t>Table S2:  Total numbers of influenza A (H1N1)pdm09 virus</w:t>
      </w:r>
      <w:r w:rsidR="00344930">
        <w:rPr>
          <w:rFonts w:ascii="Times New Roman" w:hAnsi="Times New Roman" w:cs="Times New Roman"/>
          <w:b/>
          <w:sz w:val="24"/>
        </w:rPr>
        <w:t xml:space="preserve">es carrying NA AAS H275Y </w:t>
      </w:r>
      <w:r w:rsidR="00344930" w:rsidRPr="00344930">
        <w:rPr>
          <w:rFonts w:ascii="Times New Roman" w:hAnsi="Times New Roman" w:cs="Times New Roman"/>
          <w:b/>
          <w:sz w:val="24"/>
          <w:lang w:val="en-GB"/>
        </w:rPr>
        <w:t>organis</w:t>
      </w:r>
      <w:r w:rsidRPr="00344930">
        <w:rPr>
          <w:rFonts w:ascii="Times New Roman" w:hAnsi="Times New Roman" w:cs="Times New Roman"/>
          <w:b/>
          <w:sz w:val="24"/>
          <w:lang w:val="en-GB"/>
        </w:rPr>
        <w:t>ed</w:t>
      </w:r>
      <w:r w:rsidRPr="00344930">
        <w:rPr>
          <w:rFonts w:ascii="Times New Roman" w:hAnsi="Times New Roman" w:cs="Times New Roman"/>
          <w:b/>
          <w:sz w:val="24"/>
        </w:rPr>
        <w:t xml:space="preserve"> by country of origin</w:t>
      </w:r>
    </w:p>
    <w:p w:rsidR="005A41F7" w:rsidRPr="00730A45" w:rsidRDefault="00730A45" w:rsidP="00642ADB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ascii="Times New Roman" w:hAnsi="Times New Roman" w:cs="Times New Roman"/>
          <w:sz w:val="24"/>
        </w:rPr>
      </w:pPr>
      <w:r w:rsidRPr="00730A45">
        <w:rPr>
          <w:rFonts w:ascii="Times New Roman" w:hAnsi="Times New Roman" w:cs="Times New Roman"/>
          <w:b/>
          <w:sz w:val="24"/>
        </w:rPr>
        <w:t xml:space="preserve">Viruses exhibiting RI/HRI  in the NAI assay and carrying NA AAS H275Y </w:t>
      </w:r>
    </w:p>
    <w:tbl>
      <w:tblPr>
        <w:tblStyle w:val="ListTable3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1774"/>
        <w:gridCol w:w="1531"/>
        <w:gridCol w:w="2310"/>
        <w:gridCol w:w="511"/>
        <w:gridCol w:w="482"/>
        <w:gridCol w:w="888"/>
      </w:tblGrid>
      <w:tr w:rsidR="00730A45" w:rsidRPr="00D77FA2" w:rsidTr="001D22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5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4" w:type="dxa"/>
            <w:vMerge w:val="restart"/>
            <w:shd w:val="clear" w:color="auto" w:fill="auto"/>
            <w:noWrap/>
            <w:vAlign w:val="center"/>
            <w:hideMark/>
          </w:tcPr>
          <w:p w:rsidR="00E40E92" w:rsidRPr="00D77FA2" w:rsidRDefault="00E40E92" w:rsidP="00E40E92">
            <w:pPr>
              <w:tabs>
                <w:tab w:val="left" w:pos="2484"/>
              </w:tabs>
              <w:ind w:left="-23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77FA2">
              <w:rPr>
                <w:rFonts w:eastAsia="Times New Roman" w:cs="Times New Roman"/>
                <w:color w:val="auto"/>
                <w:sz w:val="20"/>
                <w:szCs w:val="20"/>
              </w:rPr>
              <w:t>WHO region</w:t>
            </w:r>
          </w:p>
        </w:tc>
        <w:tc>
          <w:tcPr>
            <w:tcW w:w="1774" w:type="dxa"/>
            <w:vMerge w:val="restart"/>
            <w:shd w:val="clear" w:color="auto" w:fill="auto"/>
            <w:noWrap/>
            <w:vAlign w:val="center"/>
          </w:tcPr>
          <w:p w:rsidR="00E40E92" w:rsidRPr="00D77FA2" w:rsidRDefault="00E40E92" w:rsidP="00E40E92">
            <w:pPr>
              <w:ind w:left="-23" w:right="-12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77FA2"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  <w:t xml:space="preserve">Country </w:t>
            </w:r>
          </w:p>
        </w:tc>
        <w:tc>
          <w:tcPr>
            <w:tcW w:w="1531" w:type="dxa"/>
            <w:vMerge w:val="restart"/>
            <w:shd w:val="clear" w:color="auto" w:fill="auto"/>
            <w:noWrap/>
            <w:vAlign w:val="center"/>
          </w:tcPr>
          <w:p w:rsidR="00E40E92" w:rsidRPr="00D77FA2" w:rsidRDefault="00E40E92" w:rsidP="00E376F7">
            <w:pPr>
              <w:ind w:right="-14" w:firstLine="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</w:pPr>
            <w:r w:rsidRPr="00D77FA2"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  <w:t>N</w:t>
            </w:r>
            <w:r w:rsidR="00126E74" w:rsidRPr="00D77FA2"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  <w:t>o</w:t>
            </w:r>
            <w:r w:rsidRPr="00D77FA2">
              <w:rPr>
                <w:rFonts w:eastAsia="Times New Roman" w:cs="Times New Roman"/>
                <w:bCs w:val="0"/>
                <w:color w:val="auto"/>
                <w:sz w:val="20"/>
                <w:szCs w:val="20"/>
              </w:rPr>
              <w:t xml:space="preserve"> of viruses tested  in  the NAI assay</w:t>
            </w:r>
          </w:p>
        </w:tc>
        <w:tc>
          <w:tcPr>
            <w:tcW w:w="2310" w:type="dxa"/>
            <w:vMerge w:val="restart"/>
            <w:shd w:val="clear" w:color="auto" w:fill="auto"/>
            <w:noWrap/>
            <w:vAlign w:val="center"/>
            <w:hideMark/>
          </w:tcPr>
          <w:p w:rsidR="00E40E92" w:rsidRPr="00D77FA2" w:rsidRDefault="00E40E92" w:rsidP="00E376F7">
            <w:pPr>
              <w:ind w:left="71" w:right="7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77FA2">
              <w:rPr>
                <w:rFonts w:eastAsia="Times New Roman" w:cs="Times New Roman"/>
                <w:color w:val="auto"/>
                <w:sz w:val="20"/>
                <w:szCs w:val="20"/>
              </w:rPr>
              <w:t>N</w:t>
            </w:r>
            <w:r w:rsidR="00126E74" w:rsidRPr="00D77FA2">
              <w:rPr>
                <w:rFonts w:eastAsia="Times New Roman" w:cs="Times New Roman"/>
                <w:color w:val="auto"/>
                <w:sz w:val="20"/>
                <w:szCs w:val="20"/>
              </w:rPr>
              <w:t>o</w:t>
            </w:r>
            <w:r w:rsidRPr="00D77FA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of viruses displaying RI/HRI phenotype because </w:t>
            </w:r>
            <w:r w:rsidR="001E3B7A" w:rsidRPr="00D77FA2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NA AAS </w:t>
            </w:r>
            <w:r w:rsidR="00DF28F2" w:rsidRPr="00D77FA2">
              <w:rPr>
                <w:rFonts w:eastAsia="Times New Roman" w:cs="Times New Roman"/>
                <w:color w:val="auto"/>
                <w:sz w:val="20"/>
                <w:szCs w:val="20"/>
              </w:rPr>
              <w:t>H275Y (</w:t>
            </w:r>
            <w:r w:rsidRPr="00D77FA2">
              <w:rPr>
                <w:rFonts w:eastAsia="Times New Roman" w:cs="Times New Roman"/>
                <w:color w:val="auto"/>
                <w:sz w:val="20"/>
                <w:szCs w:val="20"/>
              </w:rPr>
              <w:t>%)</w:t>
            </w:r>
          </w:p>
        </w:tc>
        <w:tc>
          <w:tcPr>
            <w:tcW w:w="1881" w:type="dxa"/>
            <w:gridSpan w:val="3"/>
            <w:shd w:val="clear" w:color="auto" w:fill="auto"/>
            <w:vAlign w:val="center"/>
          </w:tcPr>
          <w:p w:rsidR="00E40E92" w:rsidRPr="00D77FA2" w:rsidRDefault="00126E74" w:rsidP="00126E74">
            <w:pPr>
              <w:ind w:left="-96" w:right="-1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D77FA2">
              <w:rPr>
                <w:rFonts w:eastAsia="Times New Roman" w:cs="Times New Roman"/>
                <w:color w:val="auto"/>
                <w:sz w:val="20"/>
                <w:szCs w:val="20"/>
              </w:rPr>
              <w:t>Patient a</w:t>
            </w:r>
            <w:r w:rsidR="00E40E92" w:rsidRPr="00D77FA2">
              <w:rPr>
                <w:rFonts w:eastAsia="Times New Roman" w:cs="Times New Roman"/>
                <w:color w:val="auto"/>
                <w:sz w:val="20"/>
                <w:szCs w:val="20"/>
              </w:rPr>
              <w:t>ntiviral exposure (n)</w:t>
            </w:r>
          </w:p>
        </w:tc>
      </w:tr>
      <w:tr w:rsidR="00730A45" w:rsidRPr="00D77FA2" w:rsidTr="001D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vMerge/>
            <w:shd w:val="clear" w:color="auto" w:fill="auto"/>
            <w:noWrap/>
            <w:vAlign w:val="center"/>
          </w:tcPr>
          <w:p w:rsidR="00E40E92" w:rsidRPr="00D77FA2" w:rsidRDefault="00E40E92" w:rsidP="00E40E92">
            <w:pPr>
              <w:tabs>
                <w:tab w:val="left" w:pos="2484"/>
              </w:tabs>
              <w:ind w:left="-23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  <w:vMerge/>
            <w:shd w:val="clear" w:color="auto" w:fill="auto"/>
            <w:noWrap/>
            <w:vAlign w:val="center"/>
          </w:tcPr>
          <w:p w:rsidR="00E40E92" w:rsidRPr="00D77FA2" w:rsidRDefault="00E40E92" w:rsidP="00E40E92">
            <w:pPr>
              <w:ind w:left="-23" w:right="-1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  <w:noWrap/>
            <w:vAlign w:val="center"/>
          </w:tcPr>
          <w:p w:rsidR="00E40E92" w:rsidRPr="00D77FA2" w:rsidRDefault="00E40E92" w:rsidP="00126E74">
            <w:pPr>
              <w:ind w:right="-120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vMerge/>
            <w:shd w:val="clear" w:color="auto" w:fill="auto"/>
            <w:noWrap/>
            <w:vAlign w:val="center"/>
          </w:tcPr>
          <w:p w:rsidR="00E40E92" w:rsidRPr="00D77FA2" w:rsidRDefault="00E40E92" w:rsidP="00E40E92">
            <w:pPr>
              <w:ind w:left="-96" w:right="-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E40E92" w:rsidRPr="00D77FA2" w:rsidRDefault="00E40E92" w:rsidP="00126E74">
            <w:pPr>
              <w:ind w:left="66" w:right="-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D77FA2">
              <w:rPr>
                <w:rFonts w:eastAsia="Times New Roman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E40E92" w:rsidRPr="00D77FA2" w:rsidRDefault="00E40E92" w:rsidP="00126E74">
            <w:pPr>
              <w:ind w:left="-96" w:right="-1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D77FA2">
              <w:rPr>
                <w:rFonts w:eastAsia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40E92" w:rsidRPr="00D77FA2" w:rsidRDefault="00E40E92" w:rsidP="00126E74">
            <w:pPr>
              <w:ind w:left="-175" w:right="-134" w:firstLine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D77FA2">
              <w:rPr>
                <w:rFonts w:eastAsia="Times New Roman" w:cs="Times New Roman"/>
                <w:b/>
                <w:sz w:val="20"/>
                <w:szCs w:val="20"/>
              </w:rPr>
              <w:t>unk</w:t>
            </w:r>
            <w:r w:rsidR="00C224F4" w:rsidRPr="00D77FA2">
              <w:rPr>
                <w:rFonts w:eastAsia="Times New Roman" w:cs="Times New Roman"/>
                <w:b/>
                <w:sz w:val="20"/>
                <w:szCs w:val="20"/>
              </w:rPr>
              <w:t>nown</w:t>
            </w:r>
          </w:p>
        </w:tc>
      </w:tr>
      <w:tr w:rsidR="00730A45" w:rsidRPr="00D77FA2" w:rsidTr="001D22A4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Western Pacific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  (0.5%)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0332" w:rsidRPr="00D77FA2" w:rsidTr="001D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Americas</w:t>
            </w:r>
          </w:p>
        </w:tc>
        <w:tc>
          <w:tcPr>
            <w:tcW w:w="177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(3.8%)</w:t>
            </w:r>
          </w:p>
        </w:tc>
        <w:tc>
          <w:tcPr>
            <w:tcW w:w="5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C0332" w:rsidRPr="00D77FA2" w:rsidTr="001D22A4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Western Pacific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5   (0.7%)</w:t>
            </w:r>
          </w:p>
        </w:tc>
        <w:tc>
          <w:tcPr>
            <w:tcW w:w="511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C0332" w:rsidRPr="00D77FA2" w:rsidTr="001D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77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Czechia</w:t>
            </w: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  (6.3%)</w:t>
            </w:r>
          </w:p>
        </w:tc>
        <w:tc>
          <w:tcPr>
            <w:tcW w:w="5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0332" w:rsidRPr="00D77FA2" w:rsidTr="001D22A4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Western Pacific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41  (12%)</w:t>
            </w:r>
          </w:p>
        </w:tc>
        <w:tc>
          <w:tcPr>
            <w:tcW w:w="511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2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8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C0332" w:rsidRPr="00D77FA2" w:rsidTr="001D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Western Pacific</w:t>
            </w:r>
          </w:p>
        </w:tc>
        <w:tc>
          <w:tcPr>
            <w:tcW w:w="177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  (2.3%)</w:t>
            </w:r>
          </w:p>
        </w:tc>
        <w:tc>
          <w:tcPr>
            <w:tcW w:w="5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0332" w:rsidRPr="00D77FA2" w:rsidTr="001D22A4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Europe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   (15%)</w:t>
            </w:r>
          </w:p>
        </w:tc>
        <w:tc>
          <w:tcPr>
            <w:tcW w:w="511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C0332" w:rsidRPr="00D77FA2" w:rsidTr="001D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Eastern Mediterranean</w:t>
            </w:r>
          </w:p>
        </w:tc>
        <w:tc>
          <w:tcPr>
            <w:tcW w:w="177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  (3.8%)</w:t>
            </w:r>
          </w:p>
        </w:tc>
        <w:tc>
          <w:tcPr>
            <w:tcW w:w="5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C0332" w:rsidRPr="00D77FA2" w:rsidTr="001D22A4">
        <w:trPr>
          <w:trHeight w:val="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Western Pacific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  (2.5%)</w:t>
            </w:r>
          </w:p>
        </w:tc>
        <w:tc>
          <w:tcPr>
            <w:tcW w:w="511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8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C0332" w:rsidRPr="00D77FA2" w:rsidTr="001D22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Americas</w:t>
            </w:r>
          </w:p>
        </w:tc>
        <w:tc>
          <w:tcPr>
            <w:tcW w:w="177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591E84" w:rsidP="009C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53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1,262</w:t>
            </w:r>
          </w:p>
        </w:tc>
        <w:tc>
          <w:tcPr>
            <w:tcW w:w="23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18  (1.4%)</w:t>
            </w:r>
          </w:p>
        </w:tc>
        <w:tc>
          <w:tcPr>
            <w:tcW w:w="5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C0332" w:rsidRPr="00D77FA2" w:rsidRDefault="009C0332" w:rsidP="009C0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</w:tr>
      <w:tr w:rsidR="009C0332" w:rsidRPr="00D77FA2" w:rsidTr="001D22A4">
        <w:trPr>
          <w:trHeight w:val="2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right w:val="none" w:sz="0" w:space="0" w:color="auto"/>
            </w:tcBorders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Various regions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Other countries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1,683</w:t>
            </w:r>
          </w:p>
        </w:tc>
        <w:tc>
          <w:tcPr>
            <w:tcW w:w="2310" w:type="dxa"/>
            <w:shd w:val="clear" w:color="auto" w:fill="auto"/>
            <w:noWrap/>
            <w:vAlign w:val="center"/>
          </w:tcPr>
          <w:p w:rsidR="009C0332" w:rsidRPr="00D77FA2" w:rsidRDefault="009C0332" w:rsidP="009C0332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  (0.0%)</w:t>
            </w:r>
          </w:p>
        </w:tc>
        <w:tc>
          <w:tcPr>
            <w:tcW w:w="511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8" w:type="dxa"/>
            <w:vAlign w:val="center"/>
          </w:tcPr>
          <w:p w:rsidR="009C0332" w:rsidRPr="00D77FA2" w:rsidRDefault="009C0332" w:rsidP="009C03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30A45" w:rsidRPr="00D77FA2" w:rsidTr="00642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E40E92" w:rsidRPr="00D77FA2" w:rsidRDefault="00E40E92" w:rsidP="00E40E9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FDE9D9" w:themeFill="accent6" w:themeFillTint="33"/>
            <w:noWrap/>
            <w:vAlign w:val="center"/>
          </w:tcPr>
          <w:p w:rsidR="00E40E92" w:rsidRPr="00D77FA2" w:rsidRDefault="00E40E92" w:rsidP="00E40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7F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1" w:type="dxa"/>
            <w:shd w:val="clear" w:color="auto" w:fill="FDE9D9" w:themeFill="accent6" w:themeFillTint="33"/>
            <w:noWrap/>
            <w:vAlign w:val="center"/>
          </w:tcPr>
          <w:p w:rsidR="00E40E92" w:rsidRPr="00D77FA2" w:rsidRDefault="00E40E92" w:rsidP="00126E74">
            <w:pPr>
              <w:ind w:left="159" w:firstLine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sz w:val="20"/>
                <w:szCs w:val="20"/>
              </w:rPr>
              <w:t>4,544</w:t>
            </w:r>
          </w:p>
        </w:tc>
        <w:tc>
          <w:tcPr>
            <w:tcW w:w="2310" w:type="dxa"/>
            <w:shd w:val="clear" w:color="auto" w:fill="FDE9D9" w:themeFill="accent6" w:themeFillTint="33"/>
            <w:noWrap/>
            <w:vAlign w:val="center"/>
          </w:tcPr>
          <w:p w:rsidR="00E40E92" w:rsidRPr="00D77FA2" w:rsidRDefault="00E40E92" w:rsidP="00126E74">
            <w:pPr>
              <w:ind w:left="1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77FA2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74   (1.6%)</w:t>
            </w:r>
          </w:p>
        </w:tc>
        <w:tc>
          <w:tcPr>
            <w:tcW w:w="511" w:type="dxa"/>
            <w:shd w:val="clear" w:color="auto" w:fill="FDE9D9" w:themeFill="accent6" w:themeFillTint="33"/>
          </w:tcPr>
          <w:p w:rsidR="00E40E92" w:rsidRPr="00D77FA2" w:rsidRDefault="00E40E92" w:rsidP="00126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77FA2">
              <w:rPr>
                <w:rFonts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482" w:type="dxa"/>
            <w:shd w:val="clear" w:color="auto" w:fill="FDE9D9" w:themeFill="accent6" w:themeFillTint="33"/>
          </w:tcPr>
          <w:p w:rsidR="00E40E92" w:rsidRPr="00D77FA2" w:rsidRDefault="00E40E92" w:rsidP="00126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77FA2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88" w:type="dxa"/>
            <w:shd w:val="clear" w:color="auto" w:fill="FDE9D9" w:themeFill="accent6" w:themeFillTint="33"/>
          </w:tcPr>
          <w:p w:rsidR="00E40E92" w:rsidRPr="00D77FA2" w:rsidRDefault="00E40E92" w:rsidP="00126E74">
            <w:pPr>
              <w:ind w:left="65" w:hanging="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D77FA2">
              <w:rPr>
                <w:rFonts w:cs="Times New Roman"/>
                <w:b/>
                <w:sz w:val="20"/>
                <w:szCs w:val="20"/>
              </w:rPr>
              <w:t>21</w:t>
            </w:r>
          </w:p>
        </w:tc>
      </w:tr>
    </w:tbl>
    <w:p w:rsidR="00D778AE" w:rsidRDefault="00D778AE" w:rsidP="00E40E92">
      <w:pPr>
        <w:spacing w:after="0" w:line="240" w:lineRule="auto"/>
        <w:ind w:left="450"/>
        <w:rPr>
          <w:sz w:val="18"/>
          <w:szCs w:val="18"/>
          <w:vertAlign w:val="superscript"/>
        </w:rPr>
      </w:pPr>
    </w:p>
    <w:p w:rsidR="00DC64DC" w:rsidRPr="00730A45" w:rsidRDefault="00730A45" w:rsidP="00FE28AC">
      <w:pPr>
        <w:pStyle w:val="ListParagraph"/>
        <w:numPr>
          <w:ilvl w:val="0"/>
          <w:numId w:val="2"/>
        </w:numPr>
        <w:spacing w:after="0" w:line="240" w:lineRule="auto"/>
        <w:ind w:left="450"/>
        <w:rPr>
          <w:rFonts w:cs="Arial"/>
          <w:color w:val="FF0000"/>
          <w:szCs w:val="24"/>
        </w:rPr>
      </w:pPr>
      <w:r w:rsidRPr="00730A45">
        <w:rPr>
          <w:rFonts w:ascii="Times New Roman" w:hAnsi="Times New Roman" w:cs="Times New Roman"/>
          <w:b/>
          <w:sz w:val="24"/>
        </w:rPr>
        <w:t>All A(H1N1)pdm09 viruses carrying NA AAS H275Y</w:t>
      </w:r>
    </w:p>
    <w:tbl>
      <w:tblPr>
        <w:tblStyle w:val="ListTable3"/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350"/>
        <w:gridCol w:w="1170"/>
        <w:gridCol w:w="705"/>
        <w:gridCol w:w="1185"/>
        <w:gridCol w:w="1170"/>
        <w:gridCol w:w="1170"/>
        <w:gridCol w:w="1440"/>
      </w:tblGrid>
      <w:tr w:rsidR="009C0332" w:rsidRPr="00D77FA2" w:rsidTr="00185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95" w:type="dxa"/>
            <w:vMerge w:val="restart"/>
            <w:shd w:val="clear" w:color="auto" w:fill="auto"/>
            <w:noWrap/>
            <w:vAlign w:val="center"/>
          </w:tcPr>
          <w:p w:rsidR="009C0332" w:rsidRPr="00D77FA2" w:rsidRDefault="009C0332" w:rsidP="00730A45">
            <w:pPr>
              <w:jc w:val="center"/>
              <w:rPr>
                <w:rFonts w:cs="Times New Roman"/>
                <w:color w:val="000000"/>
              </w:rPr>
            </w:pPr>
            <w:r w:rsidRPr="00D77FA2">
              <w:rPr>
                <w:rFonts w:cs="Times New Roman"/>
                <w:color w:val="000000"/>
              </w:rPr>
              <w:t>Country</w:t>
            </w:r>
          </w:p>
        </w:tc>
        <w:tc>
          <w:tcPr>
            <w:tcW w:w="4410" w:type="dxa"/>
            <w:gridSpan w:val="4"/>
            <w:shd w:val="clear" w:color="auto" w:fill="auto"/>
            <w:noWrap/>
          </w:tcPr>
          <w:p w:rsidR="009C0332" w:rsidRPr="00D77FA2" w:rsidRDefault="009C0332" w:rsidP="009C0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color w:val="auto"/>
              </w:rPr>
            </w:pPr>
            <w:r w:rsidRPr="00D77FA2">
              <w:rPr>
                <w:rFonts w:cs="Times New Roman"/>
                <w:bCs w:val="0"/>
                <w:color w:val="auto"/>
              </w:rPr>
              <w:t>No. of A(H1N1)pdm09 viruses tested using the method: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9C0332" w:rsidRPr="00D77FA2" w:rsidRDefault="009C0332" w:rsidP="00393A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 w:val="0"/>
                <w:color w:val="auto"/>
              </w:rPr>
            </w:pPr>
            <w:r w:rsidRPr="00D77FA2">
              <w:rPr>
                <w:rFonts w:cs="Times New Roman"/>
                <w:bCs w:val="0"/>
                <w:color w:val="auto"/>
              </w:rPr>
              <w:t xml:space="preserve">No. of viruses carrying NA </w:t>
            </w:r>
            <w:r w:rsidRPr="00D77FA2">
              <w:rPr>
                <w:rFonts w:cs="Times New Roman"/>
                <w:bCs w:val="0"/>
                <w:color w:val="FF0000"/>
              </w:rPr>
              <w:t>AA</w:t>
            </w:r>
            <w:r w:rsidR="00393AB1" w:rsidRPr="00D77FA2">
              <w:rPr>
                <w:rFonts w:cs="Times New Roman"/>
                <w:bCs w:val="0"/>
                <w:color w:val="FF0000"/>
              </w:rPr>
              <w:t>S</w:t>
            </w:r>
            <w:r w:rsidRPr="00D77FA2">
              <w:rPr>
                <w:rFonts w:cs="Times New Roman"/>
                <w:bCs w:val="0"/>
                <w:color w:val="FF0000"/>
              </w:rPr>
              <w:t xml:space="preserve"> H275Y </w:t>
            </w:r>
            <w:r w:rsidRPr="00D77FA2">
              <w:rPr>
                <w:rFonts w:cs="Times New Roman"/>
                <w:bCs w:val="0"/>
                <w:color w:val="auto"/>
              </w:rPr>
              <w:t>detected using the method:</w:t>
            </w:r>
          </w:p>
        </w:tc>
      </w:tr>
      <w:tr w:rsidR="00C00891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vMerge/>
            <w:shd w:val="clear" w:color="auto" w:fill="auto"/>
            <w:noWrap/>
            <w:vAlign w:val="center"/>
          </w:tcPr>
          <w:p w:rsidR="009C0332" w:rsidRPr="00D77FA2" w:rsidRDefault="009C0332" w:rsidP="00C00891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:rsidR="009C0332" w:rsidRPr="00D77FA2" w:rsidRDefault="009C0332" w:rsidP="00C00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>Total</w:t>
            </w:r>
            <w:r w:rsidR="0088133B" w:rsidRPr="00D77FA2">
              <w:rPr>
                <w:rFonts w:cs="Times New Roman"/>
                <w:b/>
                <w:bCs/>
                <w:sz w:val="20"/>
              </w:rPr>
              <w:t xml:space="preserve">  </w:t>
            </w:r>
            <w:r w:rsidRPr="00D77FA2">
              <w:rPr>
                <w:rFonts w:cs="Times New Roman"/>
                <w:b/>
                <w:bCs/>
                <w:sz w:val="20"/>
              </w:rPr>
              <w:t>(NAI assay and/or NA sequencing analysis)</w:t>
            </w:r>
          </w:p>
        </w:tc>
        <w:tc>
          <w:tcPr>
            <w:tcW w:w="1170" w:type="dxa"/>
            <w:shd w:val="clear" w:color="auto" w:fill="auto"/>
            <w:noWrap/>
          </w:tcPr>
          <w:p w:rsidR="009C0332" w:rsidRPr="00D77FA2" w:rsidRDefault="009C0332" w:rsidP="00C00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>NAI assay and NA sequencing analysis assay</w:t>
            </w:r>
            <w:r w:rsidR="00C00891" w:rsidRPr="00D77FA2">
              <w:rPr>
                <w:rFonts w:cs="Times New Roman"/>
                <w:b/>
                <w:bCs/>
                <w:sz w:val="20"/>
              </w:rPr>
              <w:t xml:space="preserve"> </w:t>
            </w:r>
            <w:r w:rsidR="00C00891" w:rsidRPr="00D77FA2">
              <w:rPr>
                <w:rFonts w:cs="Times New Roman"/>
                <w:b/>
                <w:bCs/>
                <w:sz w:val="20"/>
                <w:vertAlign w:val="superscript"/>
              </w:rPr>
              <w:t>a</w:t>
            </w:r>
          </w:p>
        </w:tc>
        <w:tc>
          <w:tcPr>
            <w:tcW w:w="705" w:type="dxa"/>
            <w:shd w:val="clear" w:color="auto" w:fill="auto"/>
          </w:tcPr>
          <w:p w:rsidR="009C0332" w:rsidRPr="00D77FA2" w:rsidRDefault="009C0332" w:rsidP="00C00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>NAI assay only</w:t>
            </w:r>
            <w:r w:rsidR="00C00891" w:rsidRPr="00D77FA2">
              <w:rPr>
                <w:rFonts w:cs="Times New Roman"/>
                <w:b/>
                <w:bCs/>
                <w:sz w:val="20"/>
              </w:rPr>
              <w:t xml:space="preserve"> </w:t>
            </w:r>
          </w:p>
          <w:p w:rsidR="009C0332" w:rsidRPr="00D77FA2" w:rsidRDefault="009C0332" w:rsidP="00C00891">
            <w:pPr>
              <w:ind w:left="-18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:rsidR="009C0332" w:rsidRPr="00D77FA2" w:rsidRDefault="009C0332" w:rsidP="00C00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 xml:space="preserve">NA sequencing </w:t>
            </w:r>
          </w:p>
          <w:p w:rsidR="009C0332" w:rsidRPr="00D77FA2" w:rsidRDefault="00B32606" w:rsidP="00C00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>o</w:t>
            </w:r>
            <w:r w:rsidR="009C0332" w:rsidRPr="00D77FA2">
              <w:rPr>
                <w:rFonts w:cs="Times New Roman"/>
                <w:b/>
                <w:bCs/>
                <w:sz w:val="20"/>
              </w:rPr>
              <w:t>nly</w:t>
            </w:r>
            <w:r w:rsidR="00C00891" w:rsidRPr="00D77FA2">
              <w:rPr>
                <w:rFonts w:cs="Times New Roman"/>
                <w:b/>
                <w:bCs/>
                <w:sz w:val="20"/>
              </w:rPr>
              <w:t xml:space="preserve"> </w:t>
            </w:r>
            <w:r w:rsidR="00C00891" w:rsidRPr="00D77FA2">
              <w:rPr>
                <w:rFonts w:cs="Times New Roman"/>
                <w:b/>
                <w:bCs/>
                <w:sz w:val="20"/>
                <w:vertAlign w:val="superscript"/>
              </w:rPr>
              <w:t>b</w:t>
            </w:r>
          </w:p>
          <w:p w:rsidR="009C0332" w:rsidRPr="00D77FA2" w:rsidRDefault="009C0332" w:rsidP="00C00891">
            <w:pPr>
              <w:ind w:left="-23" w:righ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9C0332" w:rsidRPr="00D77FA2" w:rsidRDefault="009C0332" w:rsidP="00C00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>NAI assay</w:t>
            </w:r>
          </w:p>
          <w:p w:rsidR="009C0332" w:rsidRPr="00D77FA2" w:rsidRDefault="00C00891" w:rsidP="00C00891">
            <w:pPr>
              <w:ind w:left="-23" w:righ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>(%)</w:t>
            </w:r>
            <w:r w:rsidRPr="00D77FA2">
              <w:rPr>
                <w:rFonts w:cs="Times New Roman"/>
                <w:b/>
                <w:bCs/>
                <w:sz w:val="20"/>
                <w:vertAlign w:val="superscript"/>
              </w:rPr>
              <w:t>c</w:t>
            </w:r>
            <w:r w:rsidRPr="00D77FA2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:rsidR="009C0332" w:rsidRPr="00D77FA2" w:rsidRDefault="00730A45" w:rsidP="00C00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>NA sequencing</w:t>
            </w:r>
            <w:r w:rsidR="009C0332" w:rsidRPr="00D77FA2">
              <w:rPr>
                <w:rFonts w:cs="Times New Roman"/>
                <w:b/>
                <w:bCs/>
                <w:sz w:val="20"/>
              </w:rPr>
              <w:t xml:space="preserve"> </w:t>
            </w:r>
          </w:p>
          <w:p w:rsidR="009C0332" w:rsidRPr="00D77FA2" w:rsidRDefault="00C00891" w:rsidP="00C00891">
            <w:pPr>
              <w:ind w:left="-18" w:righ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>(%)</w:t>
            </w:r>
            <w:r w:rsidRPr="00D77FA2">
              <w:rPr>
                <w:rFonts w:cs="Times New Roman"/>
                <w:b/>
                <w:bCs/>
                <w:sz w:val="20"/>
                <w:vertAlign w:val="superscript"/>
              </w:rPr>
              <w:t>c</w:t>
            </w:r>
          </w:p>
        </w:tc>
        <w:tc>
          <w:tcPr>
            <w:tcW w:w="1440" w:type="dxa"/>
            <w:shd w:val="clear" w:color="auto" w:fill="auto"/>
          </w:tcPr>
          <w:p w:rsidR="009C0332" w:rsidRPr="00D77FA2" w:rsidRDefault="009C0332" w:rsidP="00C008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0"/>
              </w:rPr>
            </w:pPr>
            <w:r w:rsidRPr="00D77FA2">
              <w:rPr>
                <w:rFonts w:cs="Times New Roman"/>
                <w:b/>
                <w:bCs/>
                <w:sz w:val="20"/>
              </w:rPr>
              <w:t>Total No by both methods (%)</w:t>
            </w:r>
            <w:r w:rsidRPr="00D77FA2">
              <w:rPr>
                <w:rFonts w:cs="Times New Roman"/>
                <w:b/>
                <w:bCs/>
                <w:sz w:val="20"/>
                <w:vertAlign w:val="superscript"/>
              </w:rPr>
              <w:t>c</w:t>
            </w:r>
          </w:p>
          <w:p w:rsidR="009C0332" w:rsidRPr="00D77FA2" w:rsidRDefault="009C0332" w:rsidP="00C00891">
            <w:pPr>
              <w:ind w:left="-23" w:right="-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</w:rPr>
            </w:pPr>
          </w:p>
        </w:tc>
      </w:tr>
      <w:tr w:rsidR="00185EE3" w:rsidRPr="00D77FA2" w:rsidTr="00185EE3">
        <w:trPr>
          <w:trHeight w:hRule="exact"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sz w:val="20"/>
                <w:szCs w:val="20"/>
              </w:rPr>
              <w:t>Australia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435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(0.5%)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(0.5%)</w:t>
            </w:r>
          </w:p>
        </w:tc>
      </w:tr>
      <w:tr w:rsidR="00185EE3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(100%)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(33.3%)</w:t>
            </w:r>
          </w:p>
        </w:tc>
      </w:tr>
      <w:tr w:rsidR="00185EE3" w:rsidRPr="00D77FA2" w:rsidTr="00185EE3">
        <w:trPr>
          <w:trHeight w:hRule="exact"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(1%)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(0.8%)</w:t>
            </w:r>
          </w:p>
        </w:tc>
      </w:tr>
      <w:tr w:rsidR="00185EE3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sz w:val="20"/>
                <w:szCs w:val="20"/>
              </w:rPr>
              <w:t>Canada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1 (3.8%)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0 (0%)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1 (3.4%)</w:t>
            </w:r>
          </w:p>
        </w:tc>
      </w:tr>
      <w:tr w:rsidR="00185EE3" w:rsidRPr="00D77FA2" w:rsidTr="00185EE3">
        <w:trPr>
          <w:trHeight w:hRule="exact"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sz w:val="20"/>
                <w:szCs w:val="20"/>
              </w:rPr>
              <w:t>China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735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567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5 (0.7%)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0 (0%)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77FA2">
              <w:rPr>
                <w:rFonts w:cs="Times New Roman"/>
                <w:sz w:val="20"/>
                <w:szCs w:val="20"/>
              </w:rPr>
              <w:t>5 (0.7%)</w:t>
            </w:r>
          </w:p>
        </w:tc>
      </w:tr>
      <w:tr w:rsidR="00185EE3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Czechia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(6.3%)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(33.3%)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(10.5%)</w:t>
            </w:r>
          </w:p>
        </w:tc>
      </w:tr>
      <w:tr w:rsidR="00185EE3" w:rsidRPr="00D77FA2" w:rsidTr="00185EE3">
        <w:trPr>
          <w:trHeight w:hRule="exact"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Egypt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(3.3%)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(2.4%)</w:t>
            </w:r>
          </w:p>
        </w:tc>
      </w:tr>
      <w:tr w:rsidR="00185EE3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(0.6%)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(0.6%)</w:t>
            </w:r>
          </w:p>
        </w:tc>
      </w:tr>
      <w:tr w:rsidR="00185EE3" w:rsidRPr="00D77FA2" w:rsidTr="00185EE3">
        <w:trPr>
          <w:trHeight w:hRule="exact"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(3%)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(1.8%)</w:t>
            </w:r>
          </w:p>
        </w:tc>
      </w:tr>
      <w:tr w:rsidR="00185EE3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Cs w:val="0"/>
                <w:color w:val="000000"/>
                <w:sz w:val="20"/>
                <w:szCs w:val="20"/>
              </w:rPr>
              <w:t>Japan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41 (12%)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 (19%)</w:t>
            </w:r>
            <w:r w:rsidR="00C00891" w:rsidRPr="00D77FA2">
              <w:rPr>
                <w:rFonts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49 (12.8%)</w:t>
            </w:r>
          </w:p>
        </w:tc>
      </w:tr>
      <w:tr w:rsidR="00185EE3" w:rsidRPr="00D77FA2" w:rsidTr="00185EE3">
        <w:trPr>
          <w:trHeight w:hRule="exact"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(2.3%)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(2.3%)</w:t>
            </w:r>
          </w:p>
        </w:tc>
      </w:tr>
      <w:tr w:rsidR="00185EE3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Cs w:val="0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 (15%)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8 (26.7%)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 (22%)</w:t>
            </w:r>
          </w:p>
        </w:tc>
      </w:tr>
      <w:tr w:rsidR="00185EE3" w:rsidRPr="00D77FA2" w:rsidTr="00185EE3">
        <w:trPr>
          <w:trHeight w:hRule="exact"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Oman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(3.8%)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(3.2%)</w:t>
            </w:r>
          </w:p>
        </w:tc>
      </w:tr>
      <w:tr w:rsidR="00185EE3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Russian Federation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8 (2%)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8 (1.8%)</w:t>
            </w:r>
          </w:p>
        </w:tc>
      </w:tr>
      <w:tr w:rsidR="00185EE3" w:rsidRPr="00D77FA2" w:rsidTr="00185EE3">
        <w:trPr>
          <w:trHeight w:hRule="exact"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(2.5%)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 (0.8%)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(1.3%)</w:t>
            </w:r>
          </w:p>
        </w:tc>
      </w:tr>
      <w:tr w:rsidR="00185EE3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(7.4%)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(3%)</w:t>
            </w:r>
          </w:p>
        </w:tc>
      </w:tr>
      <w:tr w:rsidR="00185EE3" w:rsidRPr="00D77FA2" w:rsidTr="00185EE3">
        <w:trPr>
          <w:trHeight w:hRule="exact"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United</w:t>
            </w:r>
            <w:r w:rsidR="00591E84"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Kingdom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 (1.1%)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4 (1.1%)</w:t>
            </w:r>
          </w:p>
        </w:tc>
      </w:tr>
      <w:tr w:rsidR="00185EE3" w:rsidRPr="00D77FA2" w:rsidTr="00185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591E84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88133B" w:rsidRPr="00D77FA2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D77FA2">
              <w:rPr>
                <w:rFonts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88133B" w:rsidRPr="00D77FA2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D77FA2">
              <w:rPr>
                <w:rFonts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18 (1.4%)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 (1.5%)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20 (1.4%)</w:t>
            </w:r>
          </w:p>
        </w:tc>
      </w:tr>
      <w:tr w:rsidR="00730A45" w:rsidRPr="00D77FA2" w:rsidTr="00185EE3">
        <w:trPr>
          <w:trHeight w:hRule="exact"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b w:val="0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 w:val="0"/>
                <w:color w:val="000000"/>
                <w:sz w:val="20"/>
                <w:szCs w:val="20"/>
              </w:rPr>
              <w:t>Other countries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88133B" w:rsidRPr="00D77FA2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D77FA2">
              <w:rPr>
                <w:rFonts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88133B" w:rsidRPr="00D77FA2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D77FA2">
              <w:rPr>
                <w:rFonts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85" w:type="dxa"/>
            <w:shd w:val="clear" w:color="auto" w:fill="auto"/>
            <w:noWrap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17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440" w:type="dxa"/>
            <w:vAlign w:val="center"/>
          </w:tcPr>
          <w:p w:rsidR="009C0332" w:rsidRPr="00D77FA2" w:rsidRDefault="009C0332" w:rsidP="00591E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color w:val="000000"/>
                <w:sz w:val="20"/>
                <w:szCs w:val="20"/>
              </w:rPr>
              <w:t>0 (0%)</w:t>
            </w:r>
          </w:p>
        </w:tc>
      </w:tr>
      <w:tr w:rsidR="00C00891" w:rsidRPr="00D77FA2" w:rsidTr="00890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BFBFBF" w:themeFill="background1" w:themeFillShade="BF"/>
            <w:noWrap/>
            <w:vAlign w:val="center"/>
          </w:tcPr>
          <w:p w:rsidR="009C0332" w:rsidRPr="00D77FA2" w:rsidRDefault="009C0332" w:rsidP="00591E8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77FA2">
              <w:rPr>
                <w:rFonts w:eastAsia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6,915</w:t>
            </w:r>
          </w:p>
        </w:tc>
        <w:tc>
          <w:tcPr>
            <w:tcW w:w="1170" w:type="dxa"/>
            <w:shd w:val="clear" w:color="auto" w:fill="FDE9D9" w:themeFill="accent6" w:themeFillTint="33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3,244</w:t>
            </w:r>
          </w:p>
        </w:tc>
        <w:tc>
          <w:tcPr>
            <w:tcW w:w="705" w:type="dxa"/>
            <w:shd w:val="clear" w:color="auto" w:fill="FDE9D9" w:themeFill="accent6" w:themeFillTint="33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1,300</w:t>
            </w:r>
          </w:p>
        </w:tc>
        <w:tc>
          <w:tcPr>
            <w:tcW w:w="1185" w:type="dxa"/>
            <w:shd w:val="clear" w:color="auto" w:fill="FFFFFF" w:themeFill="background1"/>
            <w:noWrap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2,371</w:t>
            </w:r>
          </w:p>
        </w:tc>
        <w:tc>
          <w:tcPr>
            <w:tcW w:w="1170" w:type="dxa"/>
            <w:shd w:val="clear" w:color="auto" w:fill="FDE9D9" w:themeFill="accent6" w:themeFillTint="33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DE9D9" w:themeFill="accent6" w:themeFillTint="33"/>
              </w:rPr>
              <w:t>74 (1.6</w:t>
            </w: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40 (1.7%)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9C0332" w:rsidRPr="00D77FA2" w:rsidRDefault="009C0332" w:rsidP="00591E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77FA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114 (1.6%)</w:t>
            </w:r>
          </w:p>
        </w:tc>
      </w:tr>
    </w:tbl>
    <w:p w:rsidR="00730A45" w:rsidRPr="00642ADB" w:rsidRDefault="00730A45" w:rsidP="00C008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2ADB">
        <w:rPr>
          <w:rFonts w:ascii="Times New Roman" w:hAnsi="Times New Roman" w:cs="Times New Roman"/>
          <w:sz w:val="20"/>
          <w:szCs w:val="24"/>
          <w:vertAlign w:val="superscript"/>
        </w:rPr>
        <w:t>a</w:t>
      </w:r>
      <w:r w:rsidRPr="00642ADB">
        <w:rPr>
          <w:rFonts w:ascii="Times New Roman" w:hAnsi="Times New Roman" w:cs="Times New Roman"/>
          <w:sz w:val="20"/>
          <w:szCs w:val="24"/>
        </w:rPr>
        <w:t xml:space="preserve"> All A(H1N1)pdm09 viruses tested in the NAI assay that showed RI/HRI were sequenced.</w:t>
      </w:r>
    </w:p>
    <w:p w:rsidR="00730A45" w:rsidRPr="00642ADB" w:rsidRDefault="00730A45" w:rsidP="00C008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2ADB">
        <w:rPr>
          <w:rFonts w:ascii="Times New Roman" w:hAnsi="Times New Roman" w:cs="Times New Roman"/>
          <w:sz w:val="20"/>
          <w:szCs w:val="24"/>
          <w:vertAlign w:val="superscript"/>
        </w:rPr>
        <w:t>b</w:t>
      </w:r>
      <w:r w:rsidRPr="00642ADB">
        <w:rPr>
          <w:rFonts w:ascii="Times New Roman" w:hAnsi="Times New Roman" w:cs="Times New Roman"/>
          <w:sz w:val="20"/>
          <w:szCs w:val="24"/>
        </w:rPr>
        <w:t xml:space="preserve"> These numbers represent viruses that were not characterized in the NAI assay and only NA sequence are available   </w:t>
      </w:r>
    </w:p>
    <w:p w:rsidR="00730A45" w:rsidRPr="00642ADB" w:rsidRDefault="00730A45" w:rsidP="00C008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2ADB">
        <w:rPr>
          <w:rFonts w:ascii="Times New Roman" w:hAnsi="Times New Roman" w:cs="Times New Roman"/>
          <w:sz w:val="20"/>
          <w:szCs w:val="24"/>
          <w:vertAlign w:val="superscript"/>
        </w:rPr>
        <w:t>c</w:t>
      </w:r>
      <w:r w:rsidRPr="00642ADB">
        <w:rPr>
          <w:rFonts w:ascii="Times New Roman" w:hAnsi="Times New Roman" w:cs="Times New Roman"/>
          <w:sz w:val="20"/>
          <w:szCs w:val="24"/>
        </w:rPr>
        <w:t xml:space="preserve"> Numbers in parenthesis show the detection frequency of H275Y calculated by each method              </w:t>
      </w:r>
    </w:p>
    <w:p w:rsidR="00013C02" w:rsidRPr="00024869" w:rsidRDefault="00730A45" w:rsidP="000248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2ADB">
        <w:rPr>
          <w:rFonts w:ascii="Times New Roman" w:hAnsi="Times New Roman" w:cs="Times New Roman"/>
          <w:sz w:val="20"/>
          <w:szCs w:val="24"/>
          <w:vertAlign w:val="superscript"/>
        </w:rPr>
        <w:t>d</w:t>
      </w:r>
      <w:r w:rsidRPr="00642ADB">
        <w:rPr>
          <w:rFonts w:ascii="Times New Roman" w:hAnsi="Times New Roman" w:cs="Times New Roman"/>
          <w:sz w:val="20"/>
          <w:szCs w:val="24"/>
        </w:rPr>
        <w:t xml:space="preserve"> Four of these viruses corresponded to isolates containing H275Y/H mixes and displaying normal inhibition in the NAI assay.</w:t>
      </w:r>
      <w:bookmarkStart w:id="0" w:name="_GoBack"/>
      <w:bookmarkEnd w:id="0"/>
    </w:p>
    <w:sectPr w:rsidR="00013C02" w:rsidRPr="00024869" w:rsidSect="00730A45">
      <w:pgSz w:w="12240" w:h="15840" w:code="1"/>
      <w:pgMar w:top="1080" w:right="16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E6" w:rsidRDefault="006F4DE6" w:rsidP="008B5D54">
      <w:pPr>
        <w:spacing w:after="0" w:line="240" w:lineRule="auto"/>
      </w:pPr>
      <w:r>
        <w:separator/>
      </w:r>
    </w:p>
  </w:endnote>
  <w:endnote w:type="continuationSeparator" w:id="0">
    <w:p w:rsidR="006F4DE6" w:rsidRDefault="006F4DE6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E6" w:rsidRDefault="006F4DE6" w:rsidP="008B5D54">
      <w:pPr>
        <w:spacing w:after="0" w:line="240" w:lineRule="auto"/>
      </w:pPr>
      <w:r>
        <w:separator/>
      </w:r>
    </w:p>
  </w:footnote>
  <w:footnote w:type="continuationSeparator" w:id="0">
    <w:p w:rsidR="006F4DE6" w:rsidRDefault="006F4DE6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02D65"/>
    <w:multiLevelType w:val="hybridMultilevel"/>
    <w:tmpl w:val="8E723E12"/>
    <w:lvl w:ilvl="0" w:tplc="9126C75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E8A"/>
    <w:multiLevelType w:val="hybridMultilevel"/>
    <w:tmpl w:val="B0342772"/>
    <w:lvl w:ilvl="0" w:tplc="B0CABE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C0710"/>
    <w:multiLevelType w:val="hybridMultilevel"/>
    <w:tmpl w:val="1AC0A838"/>
    <w:lvl w:ilvl="0" w:tplc="924A9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0NLC2MjIwNTS0NLAyUdpeDU4uLM/DyQAstaAKvivegsAAAA"/>
  </w:docVars>
  <w:rsids>
    <w:rsidRoot w:val="00F05A43"/>
    <w:rsid w:val="00003F81"/>
    <w:rsid w:val="00013C02"/>
    <w:rsid w:val="00024869"/>
    <w:rsid w:val="000300F8"/>
    <w:rsid w:val="000340A0"/>
    <w:rsid w:val="0006644D"/>
    <w:rsid w:val="00072966"/>
    <w:rsid w:val="000932BF"/>
    <w:rsid w:val="000C2F17"/>
    <w:rsid w:val="000D45CD"/>
    <w:rsid w:val="000D6877"/>
    <w:rsid w:val="00100D8D"/>
    <w:rsid w:val="00114A82"/>
    <w:rsid w:val="00126E74"/>
    <w:rsid w:val="00131521"/>
    <w:rsid w:val="00157F57"/>
    <w:rsid w:val="00164DAF"/>
    <w:rsid w:val="00185EE3"/>
    <w:rsid w:val="001C102B"/>
    <w:rsid w:val="001D22A4"/>
    <w:rsid w:val="001E3B7A"/>
    <w:rsid w:val="0020315C"/>
    <w:rsid w:val="00220DC1"/>
    <w:rsid w:val="002465A5"/>
    <w:rsid w:val="0026516E"/>
    <w:rsid w:val="00284DE6"/>
    <w:rsid w:val="00344930"/>
    <w:rsid w:val="003661E8"/>
    <w:rsid w:val="00384AB3"/>
    <w:rsid w:val="00393AB1"/>
    <w:rsid w:val="003D1696"/>
    <w:rsid w:val="003D6688"/>
    <w:rsid w:val="003F3826"/>
    <w:rsid w:val="00420D49"/>
    <w:rsid w:val="0043297D"/>
    <w:rsid w:val="004669A7"/>
    <w:rsid w:val="004D3F22"/>
    <w:rsid w:val="004E7C80"/>
    <w:rsid w:val="004F3DD4"/>
    <w:rsid w:val="004F4667"/>
    <w:rsid w:val="004F4A03"/>
    <w:rsid w:val="00512343"/>
    <w:rsid w:val="00515167"/>
    <w:rsid w:val="0055593A"/>
    <w:rsid w:val="005729DA"/>
    <w:rsid w:val="00591E84"/>
    <w:rsid w:val="005A41F7"/>
    <w:rsid w:val="00605491"/>
    <w:rsid w:val="00642ADB"/>
    <w:rsid w:val="006C1446"/>
    <w:rsid w:val="006C1F7F"/>
    <w:rsid w:val="006C6578"/>
    <w:rsid w:val="006E6C39"/>
    <w:rsid w:val="006F4DE6"/>
    <w:rsid w:val="00730A45"/>
    <w:rsid w:val="0076348B"/>
    <w:rsid w:val="00782787"/>
    <w:rsid w:val="00832CA7"/>
    <w:rsid w:val="008407AB"/>
    <w:rsid w:val="00840F09"/>
    <w:rsid w:val="008527B4"/>
    <w:rsid w:val="00853D18"/>
    <w:rsid w:val="00860CE1"/>
    <w:rsid w:val="00867390"/>
    <w:rsid w:val="0088133B"/>
    <w:rsid w:val="0088517A"/>
    <w:rsid w:val="008902E5"/>
    <w:rsid w:val="008A4EE5"/>
    <w:rsid w:val="008B06D0"/>
    <w:rsid w:val="008B5D54"/>
    <w:rsid w:val="009235FD"/>
    <w:rsid w:val="00937C30"/>
    <w:rsid w:val="00964EFA"/>
    <w:rsid w:val="00982355"/>
    <w:rsid w:val="00991D60"/>
    <w:rsid w:val="009A7619"/>
    <w:rsid w:val="009C0332"/>
    <w:rsid w:val="009E1E9B"/>
    <w:rsid w:val="00A04C17"/>
    <w:rsid w:val="00A96522"/>
    <w:rsid w:val="00AC0F04"/>
    <w:rsid w:val="00AC12F5"/>
    <w:rsid w:val="00B32606"/>
    <w:rsid w:val="00B3780A"/>
    <w:rsid w:val="00B55735"/>
    <w:rsid w:val="00B6059E"/>
    <w:rsid w:val="00B608AC"/>
    <w:rsid w:val="00B62C94"/>
    <w:rsid w:val="00B87361"/>
    <w:rsid w:val="00B920CF"/>
    <w:rsid w:val="00BF4FBB"/>
    <w:rsid w:val="00BF64D6"/>
    <w:rsid w:val="00C00891"/>
    <w:rsid w:val="00C1238A"/>
    <w:rsid w:val="00C1267F"/>
    <w:rsid w:val="00C14F1D"/>
    <w:rsid w:val="00C206FF"/>
    <w:rsid w:val="00C224F4"/>
    <w:rsid w:val="00C817AE"/>
    <w:rsid w:val="00C84511"/>
    <w:rsid w:val="00CF511F"/>
    <w:rsid w:val="00D35B4D"/>
    <w:rsid w:val="00D374AE"/>
    <w:rsid w:val="00D50DAA"/>
    <w:rsid w:val="00D6499C"/>
    <w:rsid w:val="00D778AE"/>
    <w:rsid w:val="00D77FA2"/>
    <w:rsid w:val="00D977E2"/>
    <w:rsid w:val="00DB74D1"/>
    <w:rsid w:val="00DC57CC"/>
    <w:rsid w:val="00DC64DC"/>
    <w:rsid w:val="00DD02F2"/>
    <w:rsid w:val="00DE0F61"/>
    <w:rsid w:val="00DF28F2"/>
    <w:rsid w:val="00E10349"/>
    <w:rsid w:val="00E376F7"/>
    <w:rsid w:val="00E40E92"/>
    <w:rsid w:val="00E807F9"/>
    <w:rsid w:val="00EA7E0F"/>
    <w:rsid w:val="00EE4298"/>
    <w:rsid w:val="00F048A7"/>
    <w:rsid w:val="00F05A43"/>
    <w:rsid w:val="00F066BF"/>
    <w:rsid w:val="00F179FF"/>
    <w:rsid w:val="00F42190"/>
    <w:rsid w:val="00F534D2"/>
    <w:rsid w:val="00FC2FCA"/>
    <w:rsid w:val="00FC659F"/>
    <w:rsid w:val="00FD2AF7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C0D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PlainTable2">
    <w:name w:val="Plain Table 2"/>
    <w:basedOn w:val="TableNormal"/>
    <w:uiPriority w:val="42"/>
    <w:rsid w:val="00F05A4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84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99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1267F"/>
    <w:rPr>
      <w:i/>
      <w:iCs/>
      <w:sz w:val="24"/>
      <w:szCs w:val="24"/>
      <w:bdr w:val="none" w:sz="0" w:space="0" w:color="auto" w:frame="1"/>
      <w:vertAlign w:val="baseline"/>
    </w:rPr>
  </w:style>
  <w:style w:type="table" w:styleId="ListTable3">
    <w:name w:val="List Table 3"/>
    <w:basedOn w:val="TableNormal"/>
    <w:uiPriority w:val="48"/>
    <w:rsid w:val="0078278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013C02"/>
    <w:pPr>
      <w:spacing w:line="240" w:lineRule="auto"/>
    </w:pPr>
    <w:rPr>
      <w:rFonts w:ascii="Calibri" w:hAnsi="Calibri"/>
      <w:noProof/>
      <w:lang w:val="en-GB"/>
    </w:rPr>
  </w:style>
  <w:style w:type="character" w:customStyle="1" w:styleId="EndNoteBibliographyChar">
    <w:name w:val="EndNote Bibliography Char"/>
    <w:basedOn w:val="DefaultParagraphFont"/>
    <w:link w:val="EndNoteBibliography"/>
    <w:rsid w:val="00013C02"/>
    <w:rPr>
      <w:rFonts w:ascii="Calibri" w:hAnsi="Calibri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2" Type="http://schemas.openxmlformats.org/officeDocument/2006/relationships/numbering" Target="numbering.xml"/>
   <Relationship Id="rId3" Type="http://schemas.openxmlformats.org/officeDocument/2006/relationships/styles" Target="style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footnotes" Target="footnotes.xml"/>
   <Relationship Id="rId7" Type="http://schemas.openxmlformats.org/officeDocument/2006/relationships/endnotes" Target="endnotes.xml"/>
   <Relationship Id="rId8" Type="http://schemas.openxmlformats.org/officeDocument/2006/relationships/fontTable" Target="fontTable.xml"/>
   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02BA7-7605-46F4-9325-E4CB0146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2641</CharactersWithSpaces>
  <SharedDoc>false</SharedDoc>
  <HyperlinksChanged>false</HyperlinksChanged>
  <AppVersion>16.0000</AppVersion>
  <Company/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