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22C" w:rsidRDefault="0088522C" w:rsidP="0088522C"/>
    <w:tbl>
      <w:tblPr>
        <w:tblW w:w="0" w:type="auto"/>
        <w:tblBorders>
          <w:insideH w:val="single" w:sz="4" w:space="0" w:color="auto"/>
        </w:tblBorders>
        <w:tblCellMar>
          <w:left w:w="0" w:type="dxa"/>
          <w:right w:w="0" w:type="dxa"/>
        </w:tblCellMar>
        <w:tblLook w:val="04A0" w:firstRow="1" w:lastRow="0" w:firstColumn="1" w:lastColumn="0" w:noHBand="0" w:noVBand="1"/>
      </w:tblPr>
      <w:tblGrid>
        <w:gridCol w:w="2620"/>
        <w:gridCol w:w="2484"/>
        <w:gridCol w:w="1943"/>
        <w:gridCol w:w="2313"/>
      </w:tblGrid>
      <w:tr w:rsidR="0088522C" w:rsidRPr="00A43C15" w:rsidTr="006548DD">
        <w:trPr>
          <w:trHeight w:val="587"/>
        </w:trPr>
        <w:tc>
          <w:tcPr>
            <w:tcW w:w="0" w:type="auto"/>
            <w:gridSpan w:val="4"/>
            <w:tcBorders>
              <w:top w:val="single" w:sz="4" w:space="0" w:color="auto"/>
              <w:bottom w:val="single" w:sz="4" w:space="0" w:color="auto"/>
            </w:tcBorders>
            <w:shd w:val="clear" w:color="auto" w:fill="FFFFFF"/>
            <w:tcMar>
              <w:top w:w="15" w:type="dxa"/>
              <w:left w:w="108" w:type="dxa"/>
              <w:bottom w:w="0" w:type="dxa"/>
              <w:right w:w="108" w:type="dxa"/>
            </w:tcMar>
          </w:tcPr>
          <w:p w:rsidR="0088522C" w:rsidRPr="00F66EB6" w:rsidRDefault="0088522C" w:rsidP="006548DD">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Supplemental Table 1</w:t>
            </w:r>
            <w:r w:rsidRPr="00A43C15">
              <w:rPr>
                <w:rFonts w:ascii="Times New Roman" w:hAnsi="Times New Roman" w:cs="Times New Roman"/>
                <w:b/>
                <w:sz w:val="24"/>
                <w:szCs w:val="24"/>
              </w:rPr>
              <w:t xml:space="preserve">.  </w:t>
            </w:r>
            <w:r w:rsidRPr="00F66EB6">
              <w:rPr>
                <w:rFonts w:ascii="Times New Roman" w:hAnsi="Times New Roman" w:cs="Times New Roman"/>
                <w:sz w:val="24"/>
                <w:szCs w:val="24"/>
              </w:rPr>
              <w:t xml:space="preserve">Cost savings associated with the Baby and Me Tobacco Free Program, Sensitivity </w:t>
            </w:r>
            <w:proofErr w:type="spellStart"/>
            <w:r w:rsidRPr="00F66EB6">
              <w:rPr>
                <w:rFonts w:ascii="Times New Roman" w:hAnsi="Times New Roman" w:cs="Times New Roman"/>
                <w:sz w:val="24"/>
                <w:szCs w:val="24"/>
              </w:rPr>
              <w:t>Analysis</w:t>
            </w:r>
            <w:r w:rsidRPr="00F66EB6">
              <w:rPr>
                <w:rFonts w:ascii="Times New Roman" w:hAnsi="Times New Roman" w:cs="Times New Roman"/>
                <w:sz w:val="24"/>
                <w:szCs w:val="24"/>
                <w:vertAlign w:val="superscript"/>
              </w:rPr>
              <w:t>a</w:t>
            </w:r>
            <w:proofErr w:type="spellEnd"/>
          </w:p>
        </w:tc>
      </w:tr>
      <w:tr w:rsidR="0088522C" w:rsidRPr="00A43C15" w:rsidTr="006548DD">
        <w:trPr>
          <w:trHeight w:val="605"/>
        </w:trPr>
        <w:tc>
          <w:tcPr>
            <w:tcW w:w="0" w:type="auto"/>
            <w:tcBorders>
              <w:top w:val="nil"/>
              <w:bottom w:val="nil"/>
            </w:tcBorders>
            <w:shd w:val="clear" w:color="auto" w:fill="FFFFFF"/>
            <w:tcMar>
              <w:top w:w="15" w:type="dxa"/>
              <w:left w:w="108" w:type="dxa"/>
              <w:bottom w:w="0" w:type="dxa"/>
              <w:right w:w="108" w:type="dxa"/>
            </w:tcMar>
            <w:hideMark/>
          </w:tcPr>
          <w:p w:rsidR="0088522C" w:rsidRPr="00A43C15" w:rsidRDefault="0088522C" w:rsidP="006548DD">
            <w:pPr>
              <w:spacing w:after="0" w:line="480" w:lineRule="auto"/>
              <w:contextualSpacing/>
              <w:rPr>
                <w:rFonts w:ascii="Times New Roman" w:hAnsi="Times New Roman" w:cs="Times New Roman"/>
                <w:sz w:val="24"/>
                <w:szCs w:val="24"/>
              </w:rPr>
            </w:pPr>
          </w:p>
        </w:tc>
        <w:tc>
          <w:tcPr>
            <w:tcW w:w="0" w:type="auto"/>
            <w:tcBorders>
              <w:top w:val="nil"/>
              <w:bottom w:val="nil"/>
            </w:tcBorders>
            <w:shd w:val="clear" w:color="auto" w:fill="FFFFFF"/>
            <w:tcMar>
              <w:top w:w="15" w:type="dxa"/>
              <w:left w:w="108" w:type="dxa"/>
              <w:bottom w:w="0" w:type="dxa"/>
              <w:right w:w="108" w:type="dxa"/>
            </w:tcMar>
            <w:hideMark/>
          </w:tcPr>
          <w:p w:rsidR="0088522C" w:rsidRPr="00A43C15" w:rsidRDefault="0088522C" w:rsidP="006548DD">
            <w:pPr>
              <w:spacing w:after="0" w:line="480" w:lineRule="auto"/>
              <w:contextualSpacing/>
              <w:jc w:val="center"/>
              <w:rPr>
                <w:rFonts w:ascii="Times New Roman" w:hAnsi="Times New Roman" w:cs="Times New Roman"/>
                <w:sz w:val="24"/>
                <w:szCs w:val="24"/>
              </w:rPr>
            </w:pPr>
          </w:p>
        </w:tc>
        <w:tc>
          <w:tcPr>
            <w:tcW w:w="0" w:type="auto"/>
            <w:tcBorders>
              <w:top w:val="single" w:sz="4" w:space="0" w:color="auto"/>
              <w:bottom w:val="single" w:sz="4" w:space="0" w:color="auto"/>
            </w:tcBorders>
            <w:shd w:val="clear" w:color="auto" w:fill="FFFFFF"/>
            <w:tcMar>
              <w:top w:w="15" w:type="dxa"/>
              <w:left w:w="108" w:type="dxa"/>
              <w:bottom w:w="0" w:type="dxa"/>
              <w:right w:w="108" w:type="dxa"/>
            </w:tcMar>
            <w:hideMark/>
          </w:tcPr>
          <w:p w:rsidR="0088522C" w:rsidRPr="00F66EB6" w:rsidRDefault="0088522C" w:rsidP="006548DD">
            <w:pPr>
              <w:spacing w:after="0" w:line="480" w:lineRule="auto"/>
              <w:contextualSpacing/>
              <w:jc w:val="center"/>
              <w:rPr>
                <w:rFonts w:ascii="Times New Roman" w:hAnsi="Times New Roman" w:cs="Times New Roman"/>
                <w:b/>
                <w:sz w:val="24"/>
                <w:szCs w:val="24"/>
              </w:rPr>
            </w:pPr>
            <w:r w:rsidRPr="00F66EB6">
              <w:rPr>
                <w:rFonts w:ascii="Times New Roman" w:hAnsi="Times New Roman" w:cs="Times New Roman"/>
                <w:b/>
                <w:bCs/>
                <w:sz w:val="24"/>
                <w:szCs w:val="24"/>
              </w:rPr>
              <w:t>BMTF compared to PRAMS</w:t>
            </w:r>
          </w:p>
        </w:tc>
        <w:tc>
          <w:tcPr>
            <w:tcW w:w="0" w:type="auto"/>
            <w:tcBorders>
              <w:top w:val="single" w:sz="4" w:space="0" w:color="auto"/>
              <w:bottom w:val="single" w:sz="4" w:space="0" w:color="auto"/>
            </w:tcBorders>
            <w:shd w:val="clear" w:color="auto" w:fill="FFFFFF"/>
            <w:tcMar>
              <w:top w:w="15" w:type="dxa"/>
              <w:left w:w="108" w:type="dxa"/>
              <w:bottom w:w="0" w:type="dxa"/>
              <w:right w:w="108" w:type="dxa"/>
            </w:tcMar>
            <w:vAlign w:val="bottom"/>
            <w:hideMark/>
          </w:tcPr>
          <w:p w:rsidR="0088522C" w:rsidRPr="00F66EB6" w:rsidRDefault="0088522C" w:rsidP="006548DD">
            <w:pPr>
              <w:spacing w:after="0" w:line="480" w:lineRule="auto"/>
              <w:contextualSpacing/>
              <w:jc w:val="center"/>
              <w:rPr>
                <w:rFonts w:ascii="Times New Roman" w:hAnsi="Times New Roman" w:cs="Times New Roman"/>
                <w:b/>
                <w:sz w:val="24"/>
                <w:szCs w:val="24"/>
              </w:rPr>
            </w:pPr>
            <w:r w:rsidRPr="00F66EB6">
              <w:rPr>
                <w:rFonts w:ascii="Times New Roman" w:hAnsi="Times New Roman" w:cs="Times New Roman"/>
                <w:b/>
                <w:bCs/>
                <w:sz w:val="24"/>
                <w:szCs w:val="24"/>
              </w:rPr>
              <w:t>BMTF compared to Birth Certificate</w:t>
            </w:r>
          </w:p>
        </w:tc>
      </w:tr>
      <w:tr w:rsidR="0088522C" w:rsidRPr="00A43C15" w:rsidTr="006548DD">
        <w:trPr>
          <w:trHeight w:val="532"/>
        </w:trPr>
        <w:tc>
          <w:tcPr>
            <w:tcW w:w="0" w:type="auto"/>
            <w:tcBorders>
              <w:top w:val="nil"/>
              <w:bottom w:val="single" w:sz="4" w:space="0" w:color="auto"/>
            </w:tcBorders>
            <w:shd w:val="clear" w:color="auto" w:fill="FFFFFF"/>
            <w:tcMar>
              <w:top w:w="15" w:type="dxa"/>
              <w:left w:w="108" w:type="dxa"/>
              <w:bottom w:w="0" w:type="dxa"/>
              <w:right w:w="108" w:type="dxa"/>
            </w:tcMar>
          </w:tcPr>
          <w:p w:rsidR="0088522C" w:rsidRPr="00F66EB6" w:rsidRDefault="0088522C" w:rsidP="006548DD">
            <w:pPr>
              <w:spacing w:after="0" w:line="480" w:lineRule="auto"/>
              <w:contextualSpacing/>
              <w:rPr>
                <w:rFonts w:ascii="Times New Roman" w:hAnsi="Times New Roman" w:cs="Times New Roman"/>
                <w:b/>
                <w:bCs/>
                <w:sz w:val="24"/>
                <w:szCs w:val="24"/>
              </w:rPr>
            </w:pPr>
            <w:r w:rsidRPr="00F66EB6">
              <w:rPr>
                <w:rFonts w:ascii="Times New Roman" w:hAnsi="Times New Roman" w:cs="Times New Roman"/>
                <w:b/>
                <w:bCs/>
                <w:sz w:val="24"/>
                <w:szCs w:val="24"/>
              </w:rPr>
              <w:t>Outcome</w:t>
            </w:r>
          </w:p>
        </w:tc>
        <w:tc>
          <w:tcPr>
            <w:tcW w:w="0" w:type="auto"/>
            <w:tcBorders>
              <w:top w:val="nil"/>
              <w:bottom w:val="single" w:sz="4" w:space="0" w:color="auto"/>
            </w:tcBorders>
            <w:shd w:val="clear" w:color="auto" w:fill="FFFFFF"/>
            <w:tcMar>
              <w:top w:w="15" w:type="dxa"/>
              <w:left w:w="108" w:type="dxa"/>
              <w:bottom w:w="0" w:type="dxa"/>
              <w:right w:w="108" w:type="dxa"/>
            </w:tcMar>
          </w:tcPr>
          <w:p w:rsidR="0088522C" w:rsidRPr="00F66EB6" w:rsidRDefault="0088522C" w:rsidP="006548DD">
            <w:pPr>
              <w:spacing w:after="0" w:line="480" w:lineRule="auto"/>
              <w:contextualSpacing/>
              <w:jc w:val="center"/>
              <w:rPr>
                <w:rFonts w:ascii="Times New Roman" w:hAnsi="Times New Roman" w:cs="Times New Roman"/>
                <w:b/>
                <w:bCs/>
                <w:sz w:val="24"/>
                <w:szCs w:val="24"/>
              </w:rPr>
            </w:pPr>
            <w:r w:rsidRPr="00F66EB6">
              <w:rPr>
                <w:rFonts w:ascii="Times New Roman" w:hAnsi="Times New Roman" w:cs="Times New Roman"/>
                <w:b/>
                <w:bCs/>
                <w:sz w:val="24"/>
                <w:szCs w:val="24"/>
              </w:rPr>
              <w:t xml:space="preserve">2017 Medicaid </w:t>
            </w:r>
            <w:proofErr w:type="spellStart"/>
            <w:r w:rsidRPr="00F66EB6">
              <w:rPr>
                <w:rFonts w:ascii="Times New Roman" w:hAnsi="Times New Roman" w:cs="Times New Roman"/>
                <w:b/>
                <w:bCs/>
                <w:sz w:val="24"/>
                <w:szCs w:val="24"/>
              </w:rPr>
              <w:t>Reimbursement</w:t>
            </w:r>
            <w:r w:rsidRPr="00F66EB6">
              <w:rPr>
                <w:rFonts w:ascii="Times New Roman" w:hAnsi="Times New Roman" w:cs="Times New Roman"/>
                <w:b/>
                <w:bCs/>
                <w:sz w:val="24"/>
                <w:szCs w:val="24"/>
                <w:vertAlign w:val="superscript"/>
              </w:rPr>
              <w:t>b</w:t>
            </w:r>
            <w:proofErr w:type="spellEnd"/>
          </w:p>
        </w:tc>
        <w:tc>
          <w:tcPr>
            <w:tcW w:w="0" w:type="auto"/>
            <w:gridSpan w:val="2"/>
            <w:tcBorders>
              <w:top w:val="single" w:sz="4" w:space="0" w:color="auto"/>
              <w:bottom w:val="single" w:sz="4" w:space="0" w:color="auto"/>
            </w:tcBorders>
            <w:shd w:val="clear" w:color="auto" w:fill="FFFFFF"/>
            <w:tcMar>
              <w:top w:w="15" w:type="dxa"/>
              <w:left w:w="108" w:type="dxa"/>
              <w:bottom w:w="0" w:type="dxa"/>
              <w:right w:w="108" w:type="dxa"/>
            </w:tcMar>
            <w:vAlign w:val="bottom"/>
          </w:tcPr>
          <w:p w:rsidR="0088522C" w:rsidRPr="00F66EB6" w:rsidRDefault="0088522C" w:rsidP="006548DD">
            <w:pPr>
              <w:spacing w:after="0" w:line="480" w:lineRule="auto"/>
              <w:contextualSpacing/>
              <w:jc w:val="center"/>
              <w:rPr>
                <w:rFonts w:ascii="Times New Roman" w:hAnsi="Times New Roman" w:cs="Times New Roman"/>
                <w:b/>
                <w:bCs/>
                <w:sz w:val="24"/>
                <w:szCs w:val="24"/>
              </w:rPr>
            </w:pPr>
            <w:r w:rsidRPr="00F66EB6">
              <w:rPr>
                <w:rFonts w:ascii="Times New Roman" w:hAnsi="Times New Roman" w:cs="Times New Roman"/>
                <w:b/>
                <w:bCs/>
                <w:sz w:val="24"/>
                <w:szCs w:val="24"/>
              </w:rPr>
              <w:t>Per Person Cost Savings</w:t>
            </w:r>
          </w:p>
        </w:tc>
      </w:tr>
      <w:tr w:rsidR="0088522C" w:rsidRPr="00A43C15" w:rsidTr="006548DD">
        <w:trPr>
          <w:trHeight w:val="190"/>
        </w:trPr>
        <w:tc>
          <w:tcPr>
            <w:tcW w:w="0" w:type="auto"/>
            <w:tcBorders>
              <w:top w:val="single" w:sz="4" w:space="0" w:color="auto"/>
              <w:bottom w:val="nil"/>
            </w:tcBorders>
            <w:shd w:val="clear" w:color="auto" w:fill="FFFFFF"/>
            <w:tcMar>
              <w:top w:w="15" w:type="dxa"/>
              <w:left w:w="108" w:type="dxa"/>
              <w:bottom w:w="0" w:type="dxa"/>
              <w:right w:w="108" w:type="dxa"/>
            </w:tcMar>
            <w:vAlign w:val="bottom"/>
            <w:hideMark/>
          </w:tcPr>
          <w:p w:rsidR="0088522C" w:rsidRPr="00A43C15" w:rsidRDefault="0088522C" w:rsidP="006548DD">
            <w:pPr>
              <w:spacing w:after="0" w:line="480" w:lineRule="auto"/>
              <w:contextualSpacing/>
              <w:rPr>
                <w:rFonts w:ascii="Times New Roman" w:hAnsi="Times New Roman" w:cs="Times New Roman"/>
                <w:sz w:val="24"/>
                <w:szCs w:val="24"/>
              </w:rPr>
            </w:pPr>
            <w:r w:rsidRPr="00A43C15">
              <w:rPr>
                <w:rFonts w:ascii="Times New Roman" w:hAnsi="Times New Roman" w:cs="Times New Roman"/>
                <w:sz w:val="24"/>
                <w:szCs w:val="24"/>
              </w:rPr>
              <w:t>Gestational Hypertension</w:t>
            </w:r>
          </w:p>
        </w:tc>
        <w:tc>
          <w:tcPr>
            <w:tcW w:w="0" w:type="auto"/>
            <w:tcBorders>
              <w:top w:val="single" w:sz="4" w:space="0" w:color="auto"/>
              <w:bottom w:val="nil"/>
            </w:tcBorders>
            <w:shd w:val="clear" w:color="auto" w:fill="FFFFFF"/>
            <w:tcMar>
              <w:top w:w="15" w:type="dxa"/>
              <w:left w:w="108" w:type="dxa"/>
              <w:bottom w:w="0" w:type="dxa"/>
              <w:right w:w="108" w:type="dxa"/>
            </w:tcMar>
            <w:hideMark/>
          </w:tcPr>
          <w:p w:rsidR="0088522C" w:rsidRPr="00A43C15" w:rsidRDefault="0088522C" w:rsidP="006548DD">
            <w:pPr>
              <w:spacing w:after="0" w:line="480" w:lineRule="auto"/>
              <w:contextualSpacing/>
              <w:jc w:val="center"/>
              <w:rPr>
                <w:rFonts w:ascii="Times New Roman" w:hAnsi="Times New Roman" w:cs="Times New Roman"/>
                <w:sz w:val="24"/>
                <w:szCs w:val="24"/>
              </w:rPr>
            </w:pPr>
            <w:r w:rsidRPr="00A43C15">
              <w:rPr>
                <w:rFonts w:ascii="Times New Roman" w:hAnsi="Times New Roman" w:cs="Times New Roman"/>
                <w:sz w:val="24"/>
                <w:szCs w:val="24"/>
              </w:rPr>
              <w:t>$ 6,100</w:t>
            </w:r>
          </w:p>
        </w:tc>
        <w:tc>
          <w:tcPr>
            <w:tcW w:w="0" w:type="auto"/>
            <w:tcBorders>
              <w:top w:val="single" w:sz="4" w:space="0" w:color="auto"/>
              <w:bottom w:val="nil"/>
            </w:tcBorders>
            <w:shd w:val="clear" w:color="auto" w:fill="FFFFFF"/>
            <w:tcMar>
              <w:top w:w="15" w:type="dxa"/>
              <w:left w:w="108" w:type="dxa"/>
              <w:bottom w:w="0" w:type="dxa"/>
              <w:right w:w="108" w:type="dxa"/>
            </w:tcMar>
            <w:hideMark/>
          </w:tcPr>
          <w:p w:rsidR="0088522C" w:rsidRPr="00A43C15" w:rsidRDefault="0088522C" w:rsidP="006548DD">
            <w:pPr>
              <w:spacing w:after="0" w:line="480" w:lineRule="auto"/>
              <w:contextualSpacing/>
              <w:jc w:val="center"/>
              <w:rPr>
                <w:rFonts w:ascii="Times New Roman" w:hAnsi="Times New Roman" w:cs="Times New Roman"/>
                <w:sz w:val="24"/>
                <w:szCs w:val="24"/>
              </w:rPr>
            </w:pPr>
            <w:r w:rsidRPr="00A43C15">
              <w:rPr>
                <w:rFonts w:ascii="Times New Roman" w:hAnsi="Times New Roman" w:cs="Times New Roman"/>
                <w:sz w:val="24"/>
                <w:szCs w:val="24"/>
              </w:rPr>
              <w:t>$ 0</w:t>
            </w:r>
          </w:p>
        </w:tc>
        <w:tc>
          <w:tcPr>
            <w:tcW w:w="0" w:type="auto"/>
            <w:tcBorders>
              <w:top w:val="single" w:sz="4" w:space="0" w:color="auto"/>
              <w:bottom w:val="nil"/>
            </w:tcBorders>
            <w:shd w:val="clear" w:color="auto" w:fill="auto"/>
            <w:tcMar>
              <w:top w:w="15" w:type="dxa"/>
              <w:left w:w="108" w:type="dxa"/>
              <w:bottom w:w="0" w:type="dxa"/>
              <w:right w:w="108" w:type="dxa"/>
            </w:tcMar>
            <w:hideMark/>
          </w:tcPr>
          <w:p w:rsidR="0088522C" w:rsidRPr="00A43C15" w:rsidRDefault="0088522C" w:rsidP="006548DD">
            <w:pPr>
              <w:spacing w:after="0" w:line="480" w:lineRule="auto"/>
              <w:contextualSpacing/>
              <w:jc w:val="center"/>
              <w:rPr>
                <w:rFonts w:ascii="Times New Roman" w:hAnsi="Times New Roman" w:cs="Times New Roman"/>
                <w:sz w:val="24"/>
                <w:szCs w:val="24"/>
              </w:rPr>
            </w:pPr>
            <w:r w:rsidRPr="00A43C15">
              <w:rPr>
                <w:rFonts w:ascii="Times New Roman" w:hAnsi="Times New Roman" w:cs="Times New Roman"/>
                <w:bCs/>
                <w:sz w:val="24"/>
                <w:szCs w:val="24"/>
              </w:rPr>
              <w:t>$ 0</w:t>
            </w:r>
          </w:p>
        </w:tc>
      </w:tr>
      <w:tr w:rsidR="0088522C" w:rsidRPr="00A43C15" w:rsidTr="006548DD">
        <w:trPr>
          <w:trHeight w:val="64"/>
        </w:trPr>
        <w:tc>
          <w:tcPr>
            <w:tcW w:w="0" w:type="auto"/>
            <w:tcBorders>
              <w:top w:val="nil"/>
              <w:bottom w:val="nil"/>
            </w:tcBorders>
            <w:shd w:val="clear" w:color="auto" w:fill="FFFFFF"/>
            <w:tcMar>
              <w:top w:w="15" w:type="dxa"/>
              <w:left w:w="108" w:type="dxa"/>
              <w:bottom w:w="0" w:type="dxa"/>
              <w:right w:w="108" w:type="dxa"/>
            </w:tcMar>
            <w:vAlign w:val="bottom"/>
            <w:hideMark/>
          </w:tcPr>
          <w:p w:rsidR="0088522C" w:rsidRPr="00A43C15" w:rsidRDefault="0088522C" w:rsidP="006548DD">
            <w:pPr>
              <w:spacing w:after="0" w:line="480" w:lineRule="auto"/>
              <w:contextualSpacing/>
              <w:rPr>
                <w:rFonts w:ascii="Times New Roman" w:hAnsi="Times New Roman" w:cs="Times New Roman"/>
                <w:sz w:val="24"/>
                <w:szCs w:val="24"/>
              </w:rPr>
            </w:pPr>
            <w:r w:rsidRPr="00A43C15">
              <w:rPr>
                <w:rFonts w:ascii="Times New Roman" w:hAnsi="Times New Roman" w:cs="Times New Roman"/>
                <w:sz w:val="24"/>
                <w:szCs w:val="24"/>
              </w:rPr>
              <w:t>Low birth weight</w:t>
            </w:r>
          </w:p>
        </w:tc>
        <w:tc>
          <w:tcPr>
            <w:tcW w:w="0" w:type="auto"/>
            <w:tcBorders>
              <w:top w:val="nil"/>
              <w:bottom w:val="nil"/>
            </w:tcBorders>
            <w:shd w:val="clear" w:color="auto" w:fill="FFFFFF"/>
            <w:tcMar>
              <w:top w:w="15" w:type="dxa"/>
              <w:left w:w="108" w:type="dxa"/>
              <w:bottom w:w="0" w:type="dxa"/>
              <w:right w:w="108" w:type="dxa"/>
            </w:tcMar>
            <w:hideMark/>
          </w:tcPr>
          <w:p w:rsidR="0088522C" w:rsidRPr="00A43C15" w:rsidRDefault="0088522C" w:rsidP="006548DD">
            <w:pPr>
              <w:spacing w:after="0" w:line="480" w:lineRule="auto"/>
              <w:contextualSpacing/>
              <w:jc w:val="center"/>
              <w:rPr>
                <w:rFonts w:ascii="Times New Roman" w:hAnsi="Times New Roman" w:cs="Times New Roman"/>
                <w:sz w:val="24"/>
                <w:szCs w:val="24"/>
              </w:rPr>
            </w:pPr>
            <w:r w:rsidRPr="00A43C15">
              <w:rPr>
                <w:rFonts w:ascii="Times New Roman" w:hAnsi="Times New Roman" w:cs="Times New Roman"/>
                <w:sz w:val="24"/>
                <w:szCs w:val="24"/>
              </w:rPr>
              <w:t>$ 121,597</w:t>
            </w:r>
          </w:p>
        </w:tc>
        <w:tc>
          <w:tcPr>
            <w:tcW w:w="0" w:type="auto"/>
            <w:tcBorders>
              <w:top w:val="nil"/>
              <w:bottom w:val="nil"/>
            </w:tcBorders>
            <w:shd w:val="clear" w:color="auto" w:fill="FFFFFF"/>
            <w:tcMar>
              <w:top w:w="15" w:type="dxa"/>
              <w:left w:w="108" w:type="dxa"/>
              <w:bottom w:w="0" w:type="dxa"/>
              <w:right w:w="108" w:type="dxa"/>
            </w:tcMar>
            <w:vAlign w:val="bottom"/>
            <w:hideMark/>
          </w:tcPr>
          <w:p w:rsidR="0088522C" w:rsidRPr="00A43C15" w:rsidRDefault="0088522C" w:rsidP="006548DD">
            <w:pPr>
              <w:spacing w:after="0" w:line="480" w:lineRule="auto"/>
              <w:contextualSpacing/>
              <w:jc w:val="center"/>
              <w:rPr>
                <w:rFonts w:ascii="Times New Roman" w:hAnsi="Times New Roman" w:cs="Times New Roman"/>
                <w:sz w:val="24"/>
                <w:szCs w:val="24"/>
              </w:rPr>
            </w:pPr>
            <w:r w:rsidRPr="00A43C15">
              <w:rPr>
                <w:rFonts w:ascii="Times New Roman" w:hAnsi="Times New Roman" w:cs="Times New Roman"/>
                <w:sz w:val="24"/>
                <w:szCs w:val="24"/>
              </w:rPr>
              <w:t>$ 0</w:t>
            </w:r>
          </w:p>
        </w:tc>
        <w:tc>
          <w:tcPr>
            <w:tcW w:w="0" w:type="auto"/>
            <w:tcBorders>
              <w:top w:val="nil"/>
              <w:bottom w:val="nil"/>
            </w:tcBorders>
            <w:shd w:val="clear" w:color="auto" w:fill="FFFFFF"/>
            <w:tcMar>
              <w:top w:w="15" w:type="dxa"/>
              <w:left w:w="108" w:type="dxa"/>
              <w:bottom w:w="0" w:type="dxa"/>
              <w:right w:w="108" w:type="dxa"/>
            </w:tcMar>
            <w:vAlign w:val="bottom"/>
            <w:hideMark/>
          </w:tcPr>
          <w:p w:rsidR="0088522C" w:rsidRPr="00A43C15" w:rsidRDefault="0088522C" w:rsidP="006548DD">
            <w:pPr>
              <w:spacing w:after="0" w:line="480" w:lineRule="auto"/>
              <w:contextualSpacing/>
              <w:jc w:val="center"/>
              <w:rPr>
                <w:rFonts w:ascii="Times New Roman" w:hAnsi="Times New Roman" w:cs="Times New Roman"/>
                <w:sz w:val="24"/>
                <w:szCs w:val="24"/>
              </w:rPr>
            </w:pPr>
            <w:r w:rsidRPr="00A43C15">
              <w:rPr>
                <w:rFonts w:ascii="Times New Roman" w:hAnsi="Times New Roman" w:cs="Times New Roman"/>
                <w:bCs/>
                <w:sz w:val="24"/>
                <w:szCs w:val="24"/>
              </w:rPr>
              <w:t>$ 4,256</w:t>
            </w:r>
          </w:p>
        </w:tc>
      </w:tr>
      <w:tr w:rsidR="0088522C" w:rsidRPr="00A43C15" w:rsidTr="006548DD">
        <w:trPr>
          <w:trHeight w:val="109"/>
        </w:trPr>
        <w:tc>
          <w:tcPr>
            <w:tcW w:w="0" w:type="auto"/>
            <w:tcBorders>
              <w:top w:val="nil"/>
              <w:bottom w:val="nil"/>
            </w:tcBorders>
            <w:shd w:val="clear" w:color="auto" w:fill="FFFFFF"/>
            <w:tcMar>
              <w:top w:w="15" w:type="dxa"/>
              <w:left w:w="108" w:type="dxa"/>
              <w:bottom w:w="0" w:type="dxa"/>
              <w:right w:w="108" w:type="dxa"/>
            </w:tcMar>
            <w:vAlign w:val="bottom"/>
            <w:hideMark/>
          </w:tcPr>
          <w:p w:rsidR="0088522C" w:rsidRPr="00A43C15" w:rsidRDefault="0088522C" w:rsidP="006548DD">
            <w:pPr>
              <w:spacing w:after="0" w:line="480" w:lineRule="auto"/>
              <w:contextualSpacing/>
              <w:rPr>
                <w:rFonts w:ascii="Times New Roman" w:hAnsi="Times New Roman" w:cs="Times New Roman"/>
                <w:sz w:val="24"/>
                <w:szCs w:val="24"/>
              </w:rPr>
            </w:pPr>
            <w:r w:rsidRPr="00A43C15">
              <w:rPr>
                <w:rFonts w:ascii="Times New Roman" w:hAnsi="Times New Roman" w:cs="Times New Roman"/>
                <w:sz w:val="24"/>
                <w:szCs w:val="24"/>
              </w:rPr>
              <w:t>NICU admission</w:t>
            </w:r>
          </w:p>
        </w:tc>
        <w:tc>
          <w:tcPr>
            <w:tcW w:w="0" w:type="auto"/>
            <w:tcBorders>
              <w:top w:val="nil"/>
              <w:bottom w:val="nil"/>
            </w:tcBorders>
            <w:shd w:val="clear" w:color="auto" w:fill="FFFFFF"/>
            <w:tcMar>
              <w:top w:w="15" w:type="dxa"/>
              <w:left w:w="108" w:type="dxa"/>
              <w:bottom w:w="0" w:type="dxa"/>
              <w:right w:w="108" w:type="dxa"/>
            </w:tcMar>
            <w:vAlign w:val="bottom"/>
            <w:hideMark/>
          </w:tcPr>
          <w:p w:rsidR="0088522C" w:rsidRPr="00A43C15" w:rsidRDefault="0088522C" w:rsidP="006548DD">
            <w:pPr>
              <w:spacing w:after="0" w:line="480" w:lineRule="auto"/>
              <w:contextualSpacing/>
              <w:jc w:val="center"/>
              <w:rPr>
                <w:rFonts w:ascii="Times New Roman" w:hAnsi="Times New Roman" w:cs="Times New Roman"/>
                <w:sz w:val="24"/>
                <w:szCs w:val="24"/>
              </w:rPr>
            </w:pPr>
            <w:r w:rsidRPr="00A43C15">
              <w:rPr>
                <w:rFonts w:ascii="Times New Roman" w:hAnsi="Times New Roman" w:cs="Times New Roman"/>
                <w:sz w:val="24"/>
                <w:szCs w:val="24"/>
              </w:rPr>
              <w:t>$ 3,375</w:t>
            </w:r>
          </w:p>
        </w:tc>
        <w:tc>
          <w:tcPr>
            <w:tcW w:w="0" w:type="auto"/>
            <w:tcBorders>
              <w:top w:val="nil"/>
              <w:bottom w:val="nil"/>
            </w:tcBorders>
            <w:shd w:val="clear" w:color="auto" w:fill="FFFFFF"/>
            <w:tcMar>
              <w:top w:w="15" w:type="dxa"/>
              <w:left w:w="108" w:type="dxa"/>
              <w:bottom w:w="0" w:type="dxa"/>
              <w:right w:w="108" w:type="dxa"/>
            </w:tcMar>
            <w:vAlign w:val="bottom"/>
            <w:hideMark/>
          </w:tcPr>
          <w:p w:rsidR="0088522C" w:rsidRPr="00A43C15" w:rsidRDefault="0088522C" w:rsidP="006548DD">
            <w:pPr>
              <w:spacing w:after="0" w:line="480" w:lineRule="auto"/>
              <w:contextualSpacing/>
              <w:jc w:val="center"/>
              <w:rPr>
                <w:rFonts w:ascii="Times New Roman" w:hAnsi="Times New Roman" w:cs="Times New Roman"/>
                <w:sz w:val="24"/>
                <w:szCs w:val="24"/>
              </w:rPr>
            </w:pPr>
            <w:r w:rsidRPr="00A43C15">
              <w:rPr>
                <w:rFonts w:ascii="Times New Roman" w:hAnsi="Times New Roman" w:cs="Times New Roman"/>
                <w:sz w:val="24"/>
                <w:szCs w:val="24"/>
              </w:rPr>
              <w:t>$ 327</w:t>
            </w:r>
          </w:p>
        </w:tc>
        <w:tc>
          <w:tcPr>
            <w:tcW w:w="0" w:type="auto"/>
            <w:tcBorders>
              <w:top w:val="nil"/>
              <w:bottom w:val="nil"/>
            </w:tcBorders>
            <w:shd w:val="clear" w:color="auto" w:fill="FFFFFF"/>
            <w:tcMar>
              <w:top w:w="15" w:type="dxa"/>
              <w:left w:w="108" w:type="dxa"/>
              <w:bottom w:w="0" w:type="dxa"/>
              <w:right w:w="108" w:type="dxa"/>
            </w:tcMar>
            <w:vAlign w:val="bottom"/>
            <w:hideMark/>
          </w:tcPr>
          <w:p w:rsidR="0088522C" w:rsidRPr="00A43C15" w:rsidRDefault="0088522C" w:rsidP="006548DD">
            <w:pPr>
              <w:spacing w:after="0" w:line="480" w:lineRule="auto"/>
              <w:contextualSpacing/>
              <w:jc w:val="center"/>
              <w:rPr>
                <w:rFonts w:ascii="Times New Roman" w:hAnsi="Times New Roman" w:cs="Times New Roman"/>
                <w:sz w:val="24"/>
                <w:szCs w:val="24"/>
              </w:rPr>
            </w:pPr>
            <w:r w:rsidRPr="00A43C15">
              <w:rPr>
                <w:rFonts w:ascii="Times New Roman" w:hAnsi="Times New Roman" w:cs="Times New Roman"/>
                <w:bCs/>
                <w:sz w:val="24"/>
                <w:szCs w:val="24"/>
              </w:rPr>
              <w:t>$ 118</w:t>
            </w:r>
          </w:p>
        </w:tc>
      </w:tr>
      <w:tr w:rsidR="0088522C" w:rsidRPr="00A43C15" w:rsidTr="006548DD">
        <w:trPr>
          <w:trHeight w:val="33"/>
        </w:trPr>
        <w:tc>
          <w:tcPr>
            <w:tcW w:w="0" w:type="auto"/>
            <w:tcBorders>
              <w:top w:val="nil"/>
              <w:bottom w:val="nil"/>
            </w:tcBorders>
            <w:shd w:val="clear" w:color="auto" w:fill="FFFFFF"/>
            <w:tcMar>
              <w:top w:w="15" w:type="dxa"/>
              <w:left w:w="108" w:type="dxa"/>
              <w:bottom w:w="0" w:type="dxa"/>
              <w:right w:w="108" w:type="dxa"/>
            </w:tcMar>
            <w:vAlign w:val="bottom"/>
            <w:hideMark/>
          </w:tcPr>
          <w:p w:rsidR="0088522C" w:rsidRPr="00A43C15" w:rsidRDefault="0088522C" w:rsidP="006548DD">
            <w:pPr>
              <w:spacing w:after="0" w:line="480" w:lineRule="auto"/>
              <w:contextualSpacing/>
              <w:rPr>
                <w:rFonts w:ascii="Times New Roman" w:hAnsi="Times New Roman" w:cs="Times New Roman"/>
                <w:sz w:val="24"/>
                <w:szCs w:val="24"/>
              </w:rPr>
            </w:pPr>
            <w:r w:rsidRPr="00A43C15">
              <w:rPr>
                <w:rFonts w:ascii="Times New Roman" w:hAnsi="Times New Roman" w:cs="Times New Roman"/>
                <w:sz w:val="24"/>
                <w:szCs w:val="24"/>
              </w:rPr>
              <w:t>Preterm birth</w:t>
            </w:r>
          </w:p>
        </w:tc>
        <w:tc>
          <w:tcPr>
            <w:tcW w:w="0" w:type="auto"/>
            <w:tcBorders>
              <w:top w:val="nil"/>
              <w:bottom w:val="nil"/>
            </w:tcBorders>
            <w:shd w:val="clear" w:color="auto" w:fill="FFFFFF"/>
            <w:tcMar>
              <w:top w:w="15" w:type="dxa"/>
              <w:left w:w="108" w:type="dxa"/>
              <w:bottom w:w="0" w:type="dxa"/>
              <w:right w:w="108" w:type="dxa"/>
            </w:tcMar>
            <w:vAlign w:val="bottom"/>
            <w:hideMark/>
          </w:tcPr>
          <w:p w:rsidR="0088522C" w:rsidRPr="00A43C15" w:rsidRDefault="0088522C" w:rsidP="006548DD">
            <w:pPr>
              <w:spacing w:after="0" w:line="480" w:lineRule="auto"/>
              <w:contextualSpacing/>
              <w:jc w:val="center"/>
              <w:rPr>
                <w:rFonts w:ascii="Times New Roman" w:hAnsi="Times New Roman" w:cs="Times New Roman"/>
                <w:sz w:val="24"/>
                <w:szCs w:val="24"/>
              </w:rPr>
            </w:pPr>
            <w:r w:rsidRPr="00A43C15">
              <w:rPr>
                <w:rFonts w:ascii="Times New Roman" w:hAnsi="Times New Roman" w:cs="Times New Roman"/>
                <w:sz w:val="24"/>
                <w:szCs w:val="24"/>
              </w:rPr>
              <w:t>$ 50,423</w:t>
            </w:r>
          </w:p>
        </w:tc>
        <w:tc>
          <w:tcPr>
            <w:tcW w:w="0" w:type="auto"/>
            <w:tcBorders>
              <w:top w:val="nil"/>
              <w:bottom w:val="nil"/>
            </w:tcBorders>
            <w:shd w:val="clear" w:color="auto" w:fill="FFFFFF"/>
            <w:tcMar>
              <w:top w:w="15" w:type="dxa"/>
              <w:left w:w="108" w:type="dxa"/>
              <w:bottom w:w="0" w:type="dxa"/>
              <w:right w:w="108" w:type="dxa"/>
            </w:tcMar>
            <w:vAlign w:val="bottom"/>
            <w:hideMark/>
          </w:tcPr>
          <w:p w:rsidR="0088522C" w:rsidRPr="00A43C15" w:rsidRDefault="0088522C" w:rsidP="006548DD">
            <w:pPr>
              <w:spacing w:after="0" w:line="480" w:lineRule="auto"/>
              <w:contextualSpacing/>
              <w:jc w:val="center"/>
              <w:rPr>
                <w:rFonts w:ascii="Times New Roman" w:hAnsi="Times New Roman" w:cs="Times New Roman"/>
                <w:sz w:val="24"/>
                <w:szCs w:val="24"/>
              </w:rPr>
            </w:pPr>
            <w:r w:rsidRPr="00A43C15">
              <w:rPr>
                <w:rFonts w:ascii="Times New Roman" w:hAnsi="Times New Roman" w:cs="Times New Roman"/>
                <w:sz w:val="24"/>
                <w:szCs w:val="24"/>
              </w:rPr>
              <w:t>$ 1,210</w:t>
            </w:r>
          </w:p>
        </w:tc>
        <w:tc>
          <w:tcPr>
            <w:tcW w:w="0" w:type="auto"/>
            <w:tcBorders>
              <w:top w:val="nil"/>
              <w:bottom w:val="nil"/>
            </w:tcBorders>
            <w:shd w:val="clear" w:color="auto" w:fill="FFFFFF"/>
            <w:tcMar>
              <w:top w:w="15" w:type="dxa"/>
              <w:left w:w="108" w:type="dxa"/>
              <w:bottom w:w="0" w:type="dxa"/>
              <w:right w:w="108" w:type="dxa"/>
            </w:tcMar>
            <w:vAlign w:val="bottom"/>
            <w:hideMark/>
          </w:tcPr>
          <w:p w:rsidR="0088522C" w:rsidRPr="00A43C15" w:rsidRDefault="0088522C" w:rsidP="006548DD">
            <w:pPr>
              <w:spacing w:after="0" w:line="480" w:lineRule="auto"/>
              <w:contextualSpacing/>
              <w:jc w:val="center"/>
              <w:rPr>
                <w:rFonts w:ascii="Times New Roman" w:hAnsi="Times New Roman" w:cs="Times New Roman"/>
                <w:sz w:val="24"/>
                <w:szCs w:val="24"/>
              </w:rPr>
            </w:pPr>
            <w:r w:rsidRPr="00A43C15">
              <w:rPr>
                <w:rFonts w:ascii="Times New Roman" w:hAnsi="Times New Roman" w:cs="Times New Roman"/>
                <w:bCs/>
                <w:sz w:val="24"/>
                <w:szCs w:val="24"/>
              </w:rPr>
              <w:t>$ 1,714</w:t>
            </w:r>
          </w:p>
        </w:tc>
      </w:tr>
      <w:tr w:rsidR="0088522C" w:rsidRPr="00A43C15" w:rsidTr="006548DD">
        <w:trPr>
          <w:trHeight w:val="33"/>
        </w:trPr>
        <w:tc>
          <w:tcPr>
            <w:tcW w:w="0" w:type="auto"/>
            <w:tcBorders>
              <w:top w:val="nil"/>
              <w:bottom w:val="single" w:sz="4" w:space="0" w:color="auto"/>
            </w:tcBorders>
            <w:shd w:val="clear" w:color="auto" w:fill="FFFFFF"/>
            <w:tcMar>
              <w:top w:w="15" w:type="dxa"/>
              <w:left w:w="108" w:type="dxa"/>
              <w:bottom w:w="0" w:type="dxa"/>
              <w:right w:w="108" w:type="dxa"/>
            </w:tcMar>
            <w:vAlign w:val="bottom"/>
            <w:hideMark/>
          </w:tcPr>
          <w:p w:rsidR="0088522C" w:rsidRPr="00A43C15" w:rsidRDefault="0088522C" w:rsidP="006548DD">
            <w:pPr>
              <w:spacing w:after="0" w:line="480" w:lineRule="auto"/>
              <w:contextualSpacing/>
              <w:rPr>
                <w:rFonts w:ascii="Times New Roman" w:hAnsi="Times New Roman" w:cs="Times New Roman"/>
                <w:b/>
                <w:sz w:val="24"/>
                <w:szCs w:val="24"/>
              </w:rPr>
            </w:pPr>
            <w:r w:rsidRPr="00A43C15">
              <w:rPr>
                <w:rFonts w:ascii="Times New Roman" w:hAnsi="Times New Roman" w:cs="Times New Roman"/>
                <w:b/>
                <w:sz w:val="24"/>
                <w:szCs w:val="24"/>
              </w:rPr>
              <w:t xml:space="preserve">Total Per Person Cost </w:t>
            </w:r>
            <w:proofErr w:type="spellStart"/>
            <w:r w:rsidRPr="00A43C15">
              <w:rPr>
                <w:rFonts w:ascii="Times New Roman" w:hAnsi="Times New Roman" w:cs="Times New Roman"/>
                <w:b/>
                <w:sz w:val="24"/>
                <w:szCs w:val="24"/>
              </w:rPr>
              <w:t>Savings</w:t>
            </w:r>
            <w:r w:rsidRPr="00A43C15">
              <w:rPr>
                <w:rFonts w:ascii="Times New Roman" w:hAnsi="Times New Roman" w:cs="Times New Roman"/>
                <w:b/>
                <w:sz w:val="24"/>
                <w:szCs w:val="24"/>
                <w:vertAlign w:val="superscript"/>
              </w:rPr>
              <w:t>c</w:t>
            </w:r>
            <w:proofErr w:type="spellEnd"/>
          </w:p>
        </w:tc>
        <w:tc>
          <w:tcPr>
            <w:tcW w:w="0" w:type="auto"/>
            <w:tcBorders>
              <w:top w:val="nil"/>
              <w:bottom w:val="single" w:sz="4" w:space="0" w:color="auto"/>
            </w:tcBorders>
            <w:shd w:val="clear" w:color="auto" w:fill="FFFFFF"/>
            <w:tcMar>
              <w:top w:w="15" w:type="dxa"/>
              <w:left w:w="108" w:type="dxa"/>
              <w:bottom w:w="0" w:type="dxa"/>
              <w:right w:w="108" w:type="dxa"/>
            </w:tcMar>
            <w:hideMark/>
          </w:tcPr>
          <w:p w:rsidR="0088522C" w:rsidRPr="00A43C15" w:rsidRDefault="0088522C" w:rsidP="006548DD">
            <w:pPr>
              <w:spacing w:after="0" w:line="480" w:lineRule="auto"/>
              <w:contextualSpacing/>
              <w:jc w:val="center"/>
              <w:rPr>
                <w:rFonts w:ascii="Times New Roman" w:hAnsi="Times New Roman" w:cs="Times New Roman"/>
                <w:sz w:val="24"/>
                <w:szCs w:val="24"/>
              </w:rPr>
            </w:pPr>
          </w:p>
        </w:tc>
        <w:tc>
          <w:tcPr>
            <w:tcW w:w="0" w:type="auto"/>
            <w:tcBorders>
              <w:top w:val="nil"/>
              <w:bottom w:val="single" w:sz="4" w:space="0" w:color="auto"/>
            </w:tcBorders>
            <w:shd w:val="clear" w:color="auto" w:fill="FFFFFF"/>
            <w:tcMar>
              <w:top w:w="15" w:type="dxa"/>
              <w:left w:w="108" w:type="dxa"/>
              <w:bottom w:w="0" w:type="dxa"/>
              <w:right w:w="108" w:type="dxa"/>
            </w:tcMar>
            <w:vAlign w:val="bottom"/>
            <w:hideMark/>
          </w:tcPr>
          <w:p w:rsidR="0088522C" w:rsidRPr="00A43C15" w:rsidRDefault="0088522C" w:rsidP="006548DD">
            <w:pPr>
              <w:spacing w:after="0" w:line="480" w:lineRule="auto"/>
              <w:contextualSpacing/>
              <w:jc w:val="center"/>
              <w:rPr>
                <w:rFonts w:ascii="Times New Roman" w:hAnsi="Times New Roman" w:cs="Times New Roman"/>
                <w:sz w:val="24"/>
                <w:szCs w:val="24"/>
              </w:rPr>
            </w:pPr>
            <w:r w:rsidRPr="00A43C15">
              <w:rPr>
                <w:rFonts w:ascii="Times New Roman" w:hAnsi="Times New Roman" w:cs="Times New Roman"/>
                <w:sz w:val="24"/>
                <w:szCs w:val="24"/>
              </w:rPr>
              <w:t>$ 1,538</w:t>
            </w:r>
          </w:p>
        </w:tc>
        <w:tc>
          <w:tcPr>
            <w:tcW w:w="0" w:type="auto"/>
            <w:tcBorders>
              <w:top w:val="nil"/>
              <w:bottom w:val="single" w:sz="4" w:space="0" w:color="auto"/>
            </w:tcBorders>
            <w:shd w:val="clear" w:color="auto" w:fill="auto"/>
            <w:tcMar>
              <w:top w:w="15" w:type="dxa"/>
              <w:left w:w="108" w:type="dxa"/>
              <w:bottom w:w="0" w:type="dxa"/>
              <w:right w:w="108" w:type="dxa"/>
            </w:tcMar>
            <w:vAlign w:val="bottom"/>
            <w:hideMark/>
          </w:tcPr>
          <w:p w:rsidR="0088522C" w:rsidRPr="00A43C15" w:rsidRDefault="0088522C" w:rsidP="006548DD">
            <w:pPr>
              <w:spacing w:after="0" w:line="480" w:lineRule="auto"/>
              <w:contextualSpacing/>
              <w:jc w:val="center"/>
              <w:rPr>
                <w:rFonts w:ascii="Times New Roman" w:hAnsi="Times New Roman" w:cs="Times New Roman"/>
                <w:sz w:val="24"/>
                <w:szCs w:val="24"/>
              </w:rPr>
            </w:pPr>
            <w:r w:rsidRPr="00A43C15">
              <w:rPr>
                <w:rFonts w:ascii="Times New Roman" w:hAnsi="Times New Roman" w:cs="Times New Roman"/>
                <w:bCs/>
                <w:sz w:val="24"/>
                <w:szCs w:val="24"/>
              </w:rPr>
              <w:t>$ 6,088</w:t>
            </w:r>
          </w:p>
        </w:tc>
      </w:tr>
      <w:tr w:rsidR="0088522C" w:rsidRPr="00A43C15" w:rsidTr="006548DD">
        <w:trPr>
          <w:trHeight w:val="253"/>
        </w:trPr>
        <w:tc>
          <w:tcPr>
            <w:tcW w:w="0" w:type="auto"/>
            <w:tcBorders>
              <w:top w:val="nil"/>
              <w:bottom w:val="single" w:sz="4" w:space="0" w:color="auto"/>
            </w:tcBorders>
            <w:shd w:val="clear" w:color="auto" w:fill="FFFFFF"/>
            <w:tcMar>
              <w:top w:w="15" w:type="dxa"/>
              <w:left w:w="108" w:type="dxa"/>
              <w:bottom w:w="0" w:type="dxa"/>
              <w:right w:w="108" w:type="dxa"/>
            </w:tcMar>
            <w:vAlign w:val="bottom"/>
          </w:tcPr>
          <w:p w:rsidR="0088522C" w:rsidRPr="00A43C15" w:rsidRDefault="0088522C" w:rsidP="006548DD">
            <w:pPr>
              <w:spacing w:after="0" w:line="480" w:lineRule="auto"/>
              <w:contextualSpacing/>
              <w:rPr>
                <w:rFonts w:ascii="Times New Roman" w:hAnsi="Times New Roman" w:cs="Times New Roman"/>
                <w:sz w:val="24"/>
                <w:szCs w:val="24"/>
              </w:rPr>
            </w:pPr>
          </w:p>
        </w:tc>
        <w:tc>
          <w:tcPr>
            <w:tcW w:w="0" w:type="auto"/>
            <w:tcBorders>
              <w:top w:val="nil"/>
              <w:bottom w:val="single" w:sz="4" w:space="0" w:color="auto"/>
            </w:tcBorders>
            <w:shd w:val="clear" w:color="auto" w:fill="FFFFFF"/>
            <w:tcMar>
              <w:top w:w="15" w:type="dxa"/>
              <w:left w:w="108" w:type="dxa"/>
              <w:bottom w:w="0" w:type="dxa"/>
              <w:right w:w="108" w:type="dxa"/>
            </w:tcMar>
          </w:tcPr>
          <w:p w:rsidR="0088522C" w:rsidRPr="00A43C15" w:rsidRDefault="0088522C" w:rsidP="006548DD">
            <w:pPr>
              <w:spacing w:after="0" w:line="480" w:lineRule="auto"/>
              <w:contextualSpacing/>
              <w:rPr>
                <w:rFonts w:ascii="Times New Roman" w:hAnsi="Times New Roman" w:cs="Times New Roman"/>
                <w:sz w:val="24"/>
                <w:szCs w:val="24"/>
              </w:rPr>
            </w:pPr>
          </w:p>
        </w:tc>
        <w:tc>
          <w:tcPr>
            <w:tcW w:w="0" w:type="auto"/>
            <w:gridSpan w:val="2"/>
            <w:tcBorders>
              <w:top w:val="nil"/>
              <w:bottom w:val="single" w:sz="4" w:space="0" w:color="auto"/>
            </w:tcBorders>
            <w:shd w:val="clear" w:color="auto" w:fill="auto"/>
            <w:tcMar>
              <w:top w:w="15" w:type="dxa"/>
              <w:left w:w="108" w:type="dxa"/>
              <w:bottom w:w="0" w:type="dxa"/>
              <w:right w:w="108" w:type="dxa"/>
            </w:tcMar>
            <w:vAlign w:val="bottom"/>
          </w:tcPr>
          <w:p w:rsidR="0088522C" w:rsidRPr="00A43C15" w:rsidRDefault="0088522C" w:rsidP="006548DD">
            <w:pPr>
              <w:spacing w:after="0" w:line="480" w:lineRule="auto"/>
              <w:contextualSpacing/>
              <w:jc w:val="center"/>
              <w:rPr>
                <w:rFonts w:ascii="Times New Roman" w:hAnsi="Times New Roman" w:cs="Times New Roman"/>
                <w:b/>
                <w:bCs/>
                <w:sz w:val="24"/>
                <w:szCs w:val="24"/>
              </w:rPr>
            </w:pPr>
            <w:r w:rsidRPr="00A43C15">
              <w:rPr>
                <w:rFonts w:ascii="Times New Roman" w:hAnsi="Times New Roman" w:cs="Times New Roman"/>
                <w:b/>
                <w:sz w:val="24"/>
                <w:szCs w:val="24"/>
              </w:rPr>
              <w:t>Total Cost Savings (yearly)</w:t>
            </w:r>
          </w:p>
        </w:tc>
      </w:tr>
      <w:tr w:rsidR="0088522C" w:rsidRPr="00A43C15" w:rsidTr="006548DD">
        <w:trPr>
          <w:trHeight w:val="208"/>
        </w:trPr>
        <w:tc>
          <w:tcPr>
            <w:tcW w:w="0" w:type="auto"/>
            <w:tcBorders>
              <w:top w:val="single" w:sz="4" w:space="0" w:color="auto"/>
              <w:bottom w:val="nil"/>
            </w:tcBorders>
            <w:shd w:val="clear" w:color="auto" w:fill="FFFFFF"/>
            <w:tcMar>
              <w:top w:w="15" w:type="dxa"/>
              <w:left w:w="108" w:type="dxa"/>
              <w:bottom w:w="0" w:type="dxa"/>
              <w:right w:w="108" w:type="dxa"/>
            </w:tcMar>
            <w:vAlign w:val="bottom"/>
          </w:tcPr>
          <w:p w:rsidR="0088522C" w:rsidRPr="00A43C15" w:rsidRDefault="0088522C" w:rsidP="006548DD">
            <w:pPr>
              <w:spacing w:after="0" w:line="480" w:lineRule="auto"/>
              <w:contextualSpacing/>
              <w:rPr>
                <w:rFonts w:ascii="Times New Roman" w:hAnsi="Times New Roman" w:cs="Times New Roman"/>
                <w:sz w:val="24"/>
                <w:szCs w:val="24"/>
              </w:rPr>
            </w:pPr>
            <w:r w:rsidRPr="00A43C15">
              <w:rPr>
                <w:rFonts w:ascii="Times New Roman" w:hAnsi="Times New Roman" w:cs="Times New Roman"/>
                <w:sz w:val="24"/>
                <w:szCs w:val="24"/>
              </w:rPr>
              <w:t>Total cost savings of BMTF (annual)</w:t>
            </w:r>
            <w:r w:rsidRPr="00A43C15">
              <w:rPr>
                <w:rFonts w:ascii="Times New Roman" w:hAnsi="Times New Roman" w:cs="Times New Roman"/>
                <w:sz w:val="24"/>
                <w:szCs w:val="24"/>
                <w:vertAlign w:val="superscript"/>
              </w:rPr>
              <w:t>d</w:t>
            </w:r>
          </w:p>
        </w:tc>
        <w:tc>
          <w:tcPr>
            <w:tcW w:w="0" w:type="auto"/>
            <w:tcBorders>
              <w:top w:val="single" w:sz="4" w:space="0" w:color="auto"/>
              <w:bottom w:val="nil"/>
            </w:tcBorders>
            <w:shd w:val="clear" w:color="auto" w:fill="FFFFFF"/>
            <w:tcMar>
              <w:top w:w="15" w:type="dxa"/>
              <w:left w:w="108" w:type="dxa"/>
              <w:bottom w:w="0" w:type="dxa"/>
              <w:right w:w="108" w:type="dxa"/>
            </w:tcMar>
          </w:tcPr>
          <w:p w:rsidR="0088522C" w:rsidRPr="00A43C15" w:rsidRDefault="0088522C" w:rsidP="006548DD">
            <w:pPr>
              <w:spacing w:after="0" w:line="480" w:lineRule="auto"/>
              <w:contextualSpacing/>
              <w:rPr>
                <w:rFonts w:ascii="Times New Roman" w:hAnsi="Times New Roman" w:cs="Times New Roman"/>
                <w:sz w:val="24"/>
                <w:szCs w:val="24"/>
              </w:rPr>
            </w:pPr>
          </w:p>
        </w:tc>
        <w:tc>
          <w:tcPr>
            <w:tcW w:w="0" w:type="auto"/>
            <w:tcBorders>
              <w:top w:val="single" w:sz="4" w:space="0" w:color="auto"/>
              <w:bottom w:val="nil"/>
            </w:tcBorders>
            <w:shd w:val="clear" w:color="auto" w:fill="FFFFFF"/>
            <w:tcMar>
              <w:top w:w="15" w:type="dxa"/>
              <w:left w:w="108" w:type="dxa"/>
              <w:bottom w:w="0" w:type="dxa"/>
              <w:right w:w="108" w:type="dxa"/>
            </w:tcMar>
            <w:vAlign w:val="bottom"/>
          </w:tcPr>
          <w:p w:rsidR="0088522C" w:rsidRPr="00A43C15" w:rsidRDefault="0088522C" w:rsidP="006548DD">
            <w:pPr>
              <w:spacing w:after="0" w:line="480" w:lineRule="auto"/>
              <w:contextualSpacing/>
              <w:jc w:val="center"/>
              <w:rPr>
                <w:rFonts w:ascii="Times New Roman" w:hAnsi="Times New Roman" w:cs="Times New Roman"/>
                <w:color w:val="000000"/>
                <w:sz w:val="24"/>
                <w:szCs w:val="24"/>
              </w:rPr>
            </w:pPr>
            <w:r w:rsidRPr="00A43C15">
              <w:rPr>
                <w:rFonts w:ascii="Times New Roman" w:hAnsi="Times New Roman" w:cs="Times New Roman"/>
                <w:color w:val="000000"/>
                <w:sz w:val="24"/>
                <w:szCs w:val="24"/>
              </w:rPr>
              <w:t>$1,055,013</w:t>
            </w:r>
          </w:p>
        </w:tc>
        <w:tc>
          <w:tcPr>
            <w:tcW w:w="0" w:type="auto"/>
            <w:tcBorders>
              <w:top w:val="single" w:sz="4" w:space="0" w:color="auto"/>
              <w:bottom w:val="nil"/>
            </w:tcBorders>
            <w:shd w:val="clear" w:color="auto" w:fill="auto"/>
            <w:tcMar>
              <w:top w:w="15" w:type="dxa"/>
              <w:left w:w="108" w:type="dxa"/>
              <w:bottom w:w="0" w:type="dxa"/>
              <w:right w:w="108" w:type="dxa"/>
            </w:tcMar>
            <w:vAlign w:val="bottom"/>
          </w:tcPr>
          <w:p w:rsidR="0088522C" w:rsidRPr="00A43C15" w:rsidRDefault="0088522C" w:rsidP="006548DD">
            <w:pPr>
              <w:spacing w:after="0" w:line="480" w:lineRule="auto"/>
              <w:contextualSpacing/>
              <w:jc w:val="center"/>
              <w:rPr>
                <w:rFonts w:ascii="Times New Roman" w:hAnsi="Times New Roman" w:cs="Times New Roman"/>
                <w:bCs/>
                <w:sz w:val="24"/>
                <w:szCs w:val="24"/>
              </w:rPr>
            </w:pPr>
            <w:r w:rsidRPr="00A43C15">
              <w:rPr>
                <w:rFonts w:ascii="Times New Roman" w:hAnsi="Times New Roman" w:cs="Times New Roman"/>
                <w:bCs/>
                <w:sz w:val="24"/>
                <w:szCs w:val="24"/>
              </w:rPr>
              <w:t>$4,177,605</w:t>
            </w:r>
          </w:p>
        </w:tc>
      </w:tr>
      <w:tr w:rsidR="0088522C" w:rsidRPr="00A43C15" w:rsidTr="006548DD">
        <w:trPr>
          <w:trHeight w:val="384"/>
        </w:trPr>
        <w:tc>
          <w:tcPr>
            <w:tcW w:w="0" w:type="auto"/>
            <w:tcBorders>
              <w:top w:val="nil"/>
              <w:bottom w:val="nil"/>
            </w:tcBorders>
            <w:shd w:val="clear" w:color="auto" w:fill="FFFFFF"/>
            <w:tcMar>
              <w:top w:w="15" w:type="dxa"/>
              <w:left w:w="108" w:type="dxa"/>
              <w:bottom w:w="0" w:type="dxa"/>
              <w:right w:w="108" w:type="dxa"/>
            </w:tcMar>
            <w:vAlign w:val="bottom"/>
          </w:tcPr>
          <w:p w:rsidR="0088522C" w:rsidRPr="00A43C15" w:rsidRDefault="0088522C" w:rsidP="006548DD">
            <w:pPr>
              <w:spacing w:after="0" w:line="480" w:lineRule="auto"/>
              <w:contextualSpacing/>
              <w:rPr>
                <w:rFonts w:ascii="Times New Roman" w:hAnsi="Times New Roman" w:cs="Times New Roman"/>
                <w:sz w:val="24"/>
                <w:szCs w:val="24"/>
              </w:rPr>
            </w:pPr>
            <w:r w:rsidRPr="00A43C15">
              <w:rPr>
                <w:rFonts w:ascii="Times New Roman" w:hAnsi="Times New Roman" w:cs="Times New Roman"/>
                <w:sz w:val="24"/>
                <w:szCs w:val="24"/>
              </w:rPr>
              <w:t>Extrapolated to the State of Colorado (annual)</w:t>
            </w:r>
            <w:r w:rsidRPr="00A43C15">
              <w:rPr>
                <w:rFonts w:ascii="Times New Roman" w:hAnsi="Times New Roman" w:cs="Times New Roman"/>
                <w:sz w:val="24"/>
                <w:szCs w:val="24"/>
                <w:vertAlign w:val="superscript"/>
              </w:rPr>
              <w:t>e</w:t>
            </w:r>
          </w:p>
        </w:tc>
        <w:tc>
          <w:tcPr>
            <w:tcW w:w="0" w:type="auto"/>
            <w:tcBorders>
              <w:top w:val="nil"/>
              <w:bottom w:val="nil"/>
            </w:tcBorders>
            <w:shd w:val="clear" w:color="auto" w:fill="FFFFFF"/>
            <w:tcMar>
              <w:top w:w="15" w:type="dxa"/>
              <w:left w:w="108" w:type="dxa"/>
              <w:bottom w:w="0" w:type="dxa"/>
              <w:right w:w="108" w:type="dxa"/>
            </w:tcMar>
          </w:tcPr>
          <w:p w:rsidR="0088522C" w:rsidRPr="00A43C15" w:rsidRDefault="0088522C" w:rsidP="006548DD">
            <w:pPr>
              <w:spacing w:after="0" w:line="480" w:lineRule="auto"/>
              <w:contextualSpacing/>
              <w:rPr>
                <w:rFonts w:ascii="Times New Roman" w:hAnsi="Times New Roman" w:cs="Times New Roman"/>
                <w:sz w:val="24"/>
                <w:szCs w:val="24"/>
              </w:rPr>
            </w:pPr>
          </w:p>
        </w:tc>
        <w:tc>
          <w:tcPr>
            <w:tcW w:w="0" w:type="auto"/>
            <w:tcBorders>
              <w:top w:val="nil"/>
              <w:bottom w:val="nil"/>
            </w:tcBorders>
            <w:shd w:val="clear" w:color="auto" w:fill="FFFFFF"/>
            <w:tcMar>
              <w:top w:w="15" w:type="dxa"/>
              <w:left w:w="108" w:type="dxa"/>
              <w:bottom w:w="0" w:type="dxa"/>
              <w:right w:w="108" w:type="dxa"/>
            </w:tcMar>
            <w:vAlign w:val="bottom"/>
          </w:tcPr>
          <w:p w:rsidR="0088522C" w:rsidRPr="00A43C15" w:rsidRDefault="0088522C" w:rsidP="006548DD">
            <w:pPr>
              <w:spacing w:after="0" w:line="480" w:lineRule="auto"/>
              <w:contextualSpacing/>
              <w:jc w:val="center"/>
              <w:rPr>
                <w:rFonts w:ascii="Times New Roman" w:hAnsi="Times New Roman" w:cs="Times New Roman"/>
                <w:color w:val="000000"/>
                <w:sz w:val="24"/>
                <w:szCs w:val="24"/>
              </w:rPr>
            </w:pPr>
            <w:r w:rsidRPr="00A43C15">
              <w:rPr>
                <w:rFonts w:ascii="Times New Roman" w:hAnsi="Times New Roman" w:cs="Times New Roman"/>
                <w:color w:val="000000"/>
                <w:sz w:val="24"/>
                <w:szCs w:val="24"/>
              </w:rPr>
              <w:t>$4,251,278</w:t>
            </w:r>
          </w:p>
        </w:tc>
        <w:tc>
          <w:tcPr>
            <w:tcW w:w="0" w:type="auto"/>
            <w:tcBorders>
              <w:top w:val="nil"/>
              <w:bottom w:val="nil"/>
            </w:tcBorders>
            <w:shd w:val="clear" w:color="auto" w:fill="auto"/>
            <w:tcMar>
              <w:top w:w="15" w:type="dxa"/>
              <w:left w:w="108" w:type="dxa"/>
              <w:bottom w:w="0" w:type="dxa"/>
              <w:right w:w="108" w:type="dxa"/>
            </w:tcMar>
            <w:vAlign w:val="bottom"/>
          </w:tcPr>
          <w:p w:rsidR="0088522C" w:rsidRPr="00A43C15" w:rsidRDefault="0088522C" w:rsidP="006548DD">
            <w:pPr>
              <w:spacing w:after="0" w:line="480" w:lineRule="auto"/>
              <w:contextualSpacing/>
              <w:jc w:val="center"/>
              <w:rPr>
                <w:rFonts w:ascii="Times New Roman" w:hAnsi="Times New Roman" w:cs="Times New Roman"/>
                <w:bCs/>
                <w:sz w:val="24"/>
                <w:szCs w:val="24"/>
              </w:rPr>
            </w:pPr>
            <w:r w:rsidRPr="00A43C15">
              <w:rPr>
                <w:rFonts w:ascii="Times New Roman" w:hAnsi="Times New Roman" w:cs="Times New Roman"/>
                <w:bCs/>
                <w:sz w:val="24"/>
                <w:szCs w:val="24"/>
              </w:rPr>
              <w:t>$16,834,062</w:t>
            </w:r>
          </w:p>
        </w:tc>
      </w:tr>
      <w:tr w:rsidR="0088522C" w:rsidRPr="00A43C15" w:rsidTr="006548DD">
        <w:trPr>
          <w:trHeight w:val="154"/>
        </w:trPr>
        <w:tc>
          <w:tcPr>
            <w:tcW w:w="0" w:type="auto"/>
            <w:tcBorders>
              <w:top w:val="nil"/>
              <w:bottom w:val="single" w:sz="4" w:space="0" w:color="auto"/>
            </w:tcBorders>
            <w:shd w:val="clear" w:color="auto" w:fill="FFFFFF"/>
            <w:tcMar>
              <w:top w:w="15" w:type="dxa"/>
              <w:left w:w="108" w:type="dxa"/>
              <w:bottom w:w="0" w:type="dxa"/>
              <w:right w:w="108" w:type="dxa"/>
            </w:tcMar>
            <w:vAlign w:val="bottom"/>
          </w:tcPr>
          <w:p w:rsidR="0088522C" w:rsidRPr="00A43C15" w:rsidRDefault="0088522C" w:rsidP="006548DD">
            <w:pPr>
              <w:spacing w:after="0" w:line="480" w:lineRule="auto"/>
              <w:contextualSpacing/>
              <w:rPr>
                <w:rFonts w:ascii="Times New Roman" w:hAnsi="Times New Roman" w:cs="Times New Roman"/>
                <w:sz w:val="24"/>
                <w:szCs w:val="24"/>
              </w:rPr>
            </w:pPr>
            <w:r w:rsidRPr="00A43C15">
              <w:rPr>
                <w:rFonts w:ascii="Times New Roman" w:hAnsi="Times New Roman" w:cs="Times New Roman"/>
                <w:sz w:val="24"/>
                <w:szCs w:val="24"/>
              </w:rPr>
              <w:t xml:space="preserve">Return on </w:t>
            </w:r>
            <w:proofErr w:type="spellStart"/>
            <w:r w:rsidRPr="00A43C15">
              <w:rPr>
                <w:rFonts w:ascii="Times New Roman" w:hAnsi="Times New Roman" w:cs="Times New Roman"/>
                <w:sz w:val="24"/>
                <w:szCs w:val="24"/>
              </w:rPr>
              <w:t>Investment</w:t>
            </w:r>
            <w:r w:rsidRPr="00A43C15">
              <w:rPr>
                <w:rFonts w:ascii="Times New Roman" w:hAnsi="Times New Roman" w:cs="Times New Roman"/>
                <w:sz w:val="24"/>
                <w:szCs w:val="24"/>
                <w:vertAlign w:val="superscript"/>
              </w:rPr>
              <w:t>f</w:t>
            </w:r>
            <w:proofErr w:type="spellEnd"/>
          </w:p>
        </w:tc>
        <w:tc>
          <w:tcPr>
            <w:tcW w:w="0" w:type="auto"/>
            <w:tcBorders>
              <w:top w:val="nil"/>
              <w:bottom w:val="single" w:sz="4" w:space="0" w:color="auto"/>
            </w:tcBorders>
            <w:shd w:val="clear" w:color="auto" w:fill="FFFFFF"/>
            <w:tcMar>
              <w:top w:w="15" w:type="dxa"/>
              <w:left w:w="108" w:type="dxa"/>
              <w:bottom w:w="0" w:type="dxa"/>
              <w:right w:w="108" w:type="dxa"/>
            </w:tcMar>
          </w:tcPr>
          <w:p w:rsidR="0088522C" w:rsidRPr="00A43C15" w:rsidRDefault="0088522C" w:rsidP="006548DD">
            <w:pPr>
              <w:spacing w:after="0" w:line="480" w:lineRule="auto"/>
              <w:contextualSpacing/>
              <w:rPr>
                <w:rFonts w:ascii="Times New Roman" w:hAnsi="Times New Roman" w:cs="Times New Roman"/>
                <w:sz w:val="24"/>
                <w:szCs w:val="24"/>
              </w:rPr>
            </w:pPr>
          </w:p>
        </w:tc>
        <w:tc>
          <w:tcPr>
            <w:tcW w:w="0" w:type="auto"/>
            <w:tcBorders>
              <w:top w:val="nil"/>
              <w:bottom w:val="single" w:sz="4" w:space="0" w:color="auto"/>
            </w:tcBorders>
            <w:shd w:val="clear" w:color="auto" w:fill="FFFFFF"/>
            <w:tcMar>
              <w:top w:w="15" w:type="dxa"/>
              <w:left w:w="108" w:type="dxa"/>
              <w:bottom w:w="0" w:type="dxa"/>
              <w:right w:w="108" w:type="dxa"/>
            </w:tcMar>
            <w:vAlign w:val="bottom"/>
          </w:tcPr>
          <w:p w:rsidR="0088522C" w:rsidRPr="00A43C15" w:rsidRDefault="0088522C" w:rsidP="006548DD">
            <w:pPr>
              <w:spacing w:after="0" w:line="480" w:lineRule="auto"/>
              <w:contextualSpacing/>
              <w:jc w:val="center"/>
              <w:rPr>
                <w:rFonts w:ascii="Times New Roman" w:hAnsi="Times New Roman" w:cs="Times New Roman"/>
                <w:color w:val="000000"/>
                <w:sz w:val="24"/>
                <w:szCs w:val="24"/>
              </w:rPr>
            </w:pPr>
            <w:r w:rsidRPr="00A43C15">
              <w:rPr>
                <w:rFonts w:ascii="Times New Roman" w:hAnsi="Times New Roman" w:cs="Times New Roman"/>
                <w:color w:val="000000"/>
                <w:sz w:val="24"/>
                <w:szCs w:val="24"/>
              </w:rPr>
              <w:t>$1.97</w:t>
            </w:r>
          </w:p>
        </w:tc>
        <w:tc>
          <w:tcPr>
            <w:tcW w:w="0" w:type="auto"/>
            <w:tcBorders>
              <w:top w:val="nil"/>
              <w:bottom w:val="single" w:sz="4" w:space="0" w:color="auto"/>
            </w:tcBorders>
            <w:shd w:val="clear" w:color="auto" w:fill="auto"/>
            <w:tcMar>
              <w:top w:w="15" w:type="dxa"/>
              <w:left w:w="108" w:type="dxa"/>
              <w:bottom w:w="0" w:type="dxa"/>
              <w:right w:w="108" w:type="dxa"/>
            </w:tcMar>
            <w:vAlign w:val="bottom"/>
          </w:tcPr>
          <w:p w:rsidR="0088522C" w:rsidRPr="00A43C15" w:rsidRDefault="0088522C" w:rsidP="006548DD">
            <w:pPr>
              <w:spacing w:after="0" w:line="480" w:lineRule="auto"/>
              <w:contextualSpacing/>
              <w:jc w:val="center"/>
              <w:rPr>
                <w:rFonts w:ascii="Times New Roman" w:hAnsi="Times New Roman" w:cs="Times New Roman"/>
                <w:bCs/>
                <w:sz w:val="24"/>
                <w:szCs w:val="24"/>
              </w:rPr>
            </w:pPr>
            <w:r w:rsidRPr="00A43C15">
              <w:rPr>
                <w:rFonts w:ascii="Times New Roman" w:hAnsi="Times New Roman" w:cs="Times New Roman"/>
                <w:bCs/>
                <w:sz w:val="24"/>
                <w:szCs w:val="24"/>
              </w:rPr>
              <w:t>$7.79</w:t>
            </w:r>
          </w:p>
        </w:tc>
      </w:tr>
    </w:tbl>
    <w:p w:rsidR="0088522C" w:rsidRDefault="0088522C" w:rsidP="0088522C">
      <w:pPr>
        <w:spacing w:after="0" w:line="480" w:lineRule="auto"/>
        <w:rPr>
          <w:rFonts w:ascii="Times New Roman" w:hAnsi="Times New Roman" w:cs="Times New Roman"/>
          <w:sz w:val="24"/>
          <w:szCs w:val="24"/>
        </w:rPr>
      </w:pPr>
      <w:r>
        <w:rPr>
          <w:rFonts w:ascii="Times New Roman" w:hAnsi="Times New Roman" w:cs="Times New Roman"/>
          <w:sz w:val="24"/>
          <w:szCs w:val="24"/>
        </w:rPr>
        <w:t>Abbreviations: BMTF, Baby and Me Tobacco Free; NICU, neonatal intensive care unit; PRAMS, Pregnancy Risk Assessment Monitoring System.</w:t>
      </w:r>
    </w:p>
    <w:p w:rsidR="0088522C" w:rsidRPr="00A43C15" w:rsidRDefault="0088522C" w:rsidP="0088522C">
      <w:pPr>
        <w:spacing w:after="0" w:line="480" w:lineRule="auto"/>
        <w:rPr>
          <w:rFonts w:ascii="Times New Roman" w:hAnsi="Times New Roman" w:cs="Times New Roman"/>
          <w:sz w:val="24"/>
          <w:szCs w:val="24"/>
        </w:rPr>
      </w:pPr>
      <w:proofErr w:type="spellStart"/>
      <w:proofErr w:type="gramStart"/>
      <w:r w:rsidRPr="00A43C15">
        <w:rPr>
          <w:rFonts w:ascii="Times New Roman" w:hAnsi="Times New Roman" w:cs="Times New Roman"/>
          <w:sz w:val="24"/>
          <w:szCs w:val="24"/>
          <w:vertAlign w:val="superscript"/>
        </w:rPr>
        <w:lastRenderedPageBreak/>
        <w:t>a</w:t>
      </w:r>
      <w:r w:rsidRPr="00A43C15">
        <w:rPr>
          <w:rFonts w:ascii="Times New Roman" w:hAnsi="Times New Roman" w:cs="Times New Roman"/>
          <w:sz w:val="24"/>
          <w:szCs w:val="24"/>
        </w:rPr>
        <w:t>Sensitivity</w:t>
      </w:r>
      <w:proofErr w:type="spellEnd"/>
      <w:proofErr w:type="gramEnd"/>
      <w:r w:rsidRPr="00A43C15">
        <w:rPr>
          <w:rFonts w:ascii="Times New Roman" w:hAnsi="Times New Roman" w:cs="Times New Roman"/>
          <w:sz w:val="24"/>
          <w:szCs w:val="24"/>
        </w:rPr>
        <w:t xml:space="preserve"> analysis includes only outcomes that were statistically significant in multivariable log-binomial regression models.  For the BMTF, birth certificate referent comparison the outcomes were low birth weight, NICU admission and preterm birth.  For the BMTF, PRAMS referent comparison the outcomes were NICU admission and preterm birth.</w:t>
      </w:r>
    </w:p>
    <w:p w:rsidR="0088522C" w:rsidRPr="00A43C15" w:rsidRDefault="0088522C" w:rsidP="0088522C">
      <w:pPr>
        <w:spacing w:after="0" w:line="480" w:lineRule="auto"/>
        <w:rPr>
          <w:rFonts w:ascii="Times New Roman" w:hAnsi="Times New Roman" w:cs="Times New Roman"/>
          <w:sz w:val="24"/>
          <w:szCs w:val="24"/>
        </w:rPr>
      </w:pPr>
      <w:proofErr w:type="spellStart"/>
      <w:proofErr w:type="gramStart"/>
      <w:r w:rsidRPr="00A43C15">
        <w:rPr>
          <w:rFonts w:ascii="Times New Roman" w:hAnsi="Times New Roman" w:cs="Times New Roman"/>
          <w:sz w:val="24"/>
          <w:szCs w:val="24"/>
          <w:vertAlign w:val="superscript"/>
        </w:rPr>
        <w:t>b</w:t>
      </w:r>
      <w:r w:rsidRPr="00A43C15">
        <w:rPr>
          <w:rFonts w:ascii="Times New Roman" w:hAnsi="Times New Roman" w:cs="Times New Roman"/>
          <w:sz w:val="24"/>
          <w:szCs w:val="24"/>
        </w:rPr>
        <w:t>Medicaid</w:t>
      </w:r>
      <w:proofErr w:type="spellEnd"/>
      <w:proofErr w:type="gramEnd"/>
      <w:r w:rsidRPr="00A43C15">
        <w:rPr>
          <w:rFonts w:ascii="Times New Roman" w:hAnsi="Times New Roman" w:cs="Times New Roman"/>
          <w:sz w:val="24"/>
          <w:szCs w:val="24"/>
        </w:rPr>
        <w:t xml:space="preserve"> reimbursement for each outcome = Average Medicaid reimbursement (in dollars) for a delivery complicated with each outcome minus the average Medicaid reimbursement for an uncomplicated delivery.   </w:t>
      </w:r>
    </w:p>
    <w:p w:rsidR="0088522C" w:rsidRPr="00A43C15" w:rsidRDefault="0088522C" w:rsidP="0088522C">
      <w:pPr>
        <w:spacing w:after="0" w:line="480" w:lineRule="auto"/>
        <w:rPr>
          <w:rFonts w:ascii="Times New Roman" w:hAnsi="Times New Roman" w:cs="Times New Roman"/>
          <w:sz w:val="24"/>
          <w:szCs w:val="24"/>
        </w:rPr>
      </w:pPr>
      <w:proofErr w:type="spellStart"/>
      <w:proofErr w:type="gramStart"/>
      <w:r w:rsidRPr="00A43C15">
        <w:rPr>
          <w:rFonts w:ascii="Times New Roman" w:hAnsi="Times New Roman" w:cs="Times New Roman"/>
          <w:sz w:val="24"/>
          <w:szCs w:val="24"/>
          <w:vertAlign w:val="superscript"/>
        </w:rPr>
        <w:t>c</w:t>
      </w:r>
      <w:r w:rsidRPr="00A43C15">
        <w:rPr>
          <w:rFonts w:ascii="Times New Roman" w:hAnsi="Times New Roman" w:cs="Times New Roman"/>
          <w:sz w:val="24"/>
          <w:szCs w:val="24"/>
        </w:rPr>
        <w:t>Total</w:t>
      </w:r>
      <w:proofErr w:type="spellEnd"/>
      <w:proofErr w:type="gramEnd"/>
      <w:r w:rsidRPr="00A43C15">
        <w:rPr>
          <w:rFonts w:ascii="Times New Roman" w:hAnsi="Times New Roman" w:cs="Times New Roman"/>
          <w:sz w:val="24"/>
          <w:szCs w:val="24"/>
        </w:rPr>
        <w:t xml:space="preserve"> per person cost savings of the BMTF program = the Medicaid cost reimbursement for each outcome * the observed risk difference between the BMTF intervention group and referent groups.  </w:t>
      </w:r>
    </w:p>
    <w:p w:rsidR="0088522C" w:rsidRPr="00A43C15" w:rsidRDefault="0088522C" w:rsidP="0088522C">
      <w:pPr>
        <w:spacing w:after="0" w:line="480" w:lineRule="auto"/>
        <w:rPr>
          <w:rFonts w:ascii="Times New Roman" w:hAnsi="Times New Roman" w:cs="Times New Roman"/>
          <w:sz w:val="24"/>
          <w:szCs w:val="24"/>
        </w:rPr>
      </w:pPr>
      <w:proofErr w:type="spellStart"/>
      <w:proofErr w:type="gramStart"/>
      <w:r w:rsidRPr="00A43C15">
        <w:rPr>
          <w:rFonts w:ascii="Times New Roman" w:hAnsi="Times New Roman" w:cs="Times New Roman"/>
          <w:sz w:val="24"/>
          <w:szCs w:val="24"/>
          <w:vertAlign w:val="superscript"/>
        </w:rPr>
        <w:t>d</w:t>
      </w:r>
      <w:r w:rsidRPr="00A43C15">
        <w:rPr>
          <w:rFonts w:ascii="Times New Roman" w:hAnsi="Times New Roman" w:cs="Times New Roman"/>
          <w:sz w:val="24"/>
          <w:szCs w:val="24"/>
        </w:rPr>
        <w:t>Total</w:t>
      </w:r>
      <w:proofErr w:type="spellEnd"/>
      <w:proofErr w:type="gramEnd"/>
      <w:r w:rsidRPr="00A43C15">
        <w:rPr>
          <w:rFonts w:ascii="Times New Roman" w:hAnsi="Times New Roman" w:cs="Times New Roman"/>
          <w:sz w:val="24"/>
          <w:szCs w:val="24"/>
        </w:rPr>
        <w:t xml:space="preserve"> cost savings in the BMTF program (annual) = (the total per person cost savings associated with prevention of adverse maternal delivery and neonatal complications in the BMTF intervention * the total number of BMTF intervention participants over the 39 month study period)/years in study period.</w:t>
      </w:r>
    </w:p>
    <w:p w:rsidR="0088522C" w:rsidRPr="00A43C15" w:rsidRDefault="0088522C" w:rsidP="0088522C">
      <w:pPr>
        <w:spacing w:after="0" w:line="480" w:lineRule="auto"/>
        <w:rPr>
          <w:rFonts w:ascii="Times New Roman" w:hAnsi="Times New Roman" w:cs="Times New Roman"/>
          <w:sz w:val="24"/>
          <w:szCs w:val="24"/>
        </w:rPr>
      </w:pPr>
      <w:proofErr w:type="spellStart"/>
      <w:proofErr w:type="gramStart"/>
      <w:r w:rsidRPr="00A43C15">
        <w:rPr>
          <w:rFonts w:ascii="Times New Roman" w:hAnsi="Times New Roman" w:cs="Times New Roman"/>
          <w:sz w:val="24"/>
          <w:szCs w:val="24"/>
          <w:vertAlign w:val="superscript"/>
        </w:rPr>
        <w:t>e</w:t>
      </w:r>
      <w:r w:rsidRPr="00A43C15">
        <w:rPr>
          <w:rFonts w:ascii="Times New Roman" w:hAnsi="Times New Roman" w:cs="Times New Roman"/>
          <w:sz w:val="24"/>
          <w:szCs w:val="24"/>
        </w:rPr>
        <w:t>Total</w:t>
      </w:r>
      <w:proofErr w:type="spellEnd"/>
      <w:proofErr w:type="gramEnd"/>
      <w:r w:rsidRPr="00A43C15">
        <w:rPr>
          <w:rFonts w:ascii="Times New Roman" w:hAnsi="Times New Roman" w:cs="Times New Roman"/>
          <w:sz w:val="24"/>
          <w:szCs w:val="24"/>
        </w:rPr>
        <w:t xml:space="preserve"> cost savings for the state of Colorado (annual) = The per person cost savings of BMTF, extrapolated to all susceptible women in the state of Colorado.  </w:t>
      </w:r>
    </w:p>
    <w:p w:rsidR="0088522C" w:rsidRPr="002F00A8" w:rsidRDefault="0088522C" w:rsidP="0088522C">
      <w:pPr>
        <w:spacing w:after="0" w:line="480" w:lineRule="auto"/>
        <w:rPr>
          <w:rFonts w:ascii="Times New Roman" w:hAnsi="Times New Roman" w:cs="Times New Roman"/>
          <w:sz w:val="24"/>
          <w:szCs w:val="24"/>
        </w:rPr>
      </w:pPr>
      <w:proofErr w:type="spellStart"/>
      <w:proofErr w:type="gramStart"/>
      <w:r w:rsidRPr="00A43C15">
        <w:rPr>
          <w:rFonts w:ascii="Times New Roman" w:hAnsi="Times New Roman" w:cs="Times New Roman"/>
          <w:sz w:val="24"/>
          <w:szCs w:val="24"/>
          <w:vertAlign w:val="superscript"/>
        </w:rPr>
        <w:t>f</w:t>
      </w:r>
      <w:r w:rsidRPr="00A43C15">
        <w:rPr>
          <w:rFonts w:ascii="Times New Roman" w:hAnsi="Times New Roman" w:cs="Times New Roman"/>
          <w:sz w:val="24"/>
          <w:szCs w:val="24"/>
        </w:rPr>
        <w:t>Return</w:t>
      </w:r>
      <w:proofErr w:type="spellEnd"/>
      <w:proofErr w:type="gramEnd"/>
      <w:r w:rsidRPr="00A43C15">
        <w:rPr>
          <w:rFonts w:ascii="Times New Roman" w:hAnsi="Times New Roman" w:cs="Times New Roman"/>
          <w:sz w:val="24"/>
          <w:szCs w:val="24"/>
        </w:rPr>
        <w:t xml:space="preserve"> on Investment = Total Per Person Cost Savings /Per Person Cost of BMTF</w:t>
      </w:r>
    </w:p>
    <w:p w:rsidR="0088522C" w:rsidRDefault="0088522C" w:rsidP="0088522C"/>
    <w:p w:rsidR="00EA4054" w:rsidRPr="0088522C" w:rsidRDefault="00EA4054" w:rsidP="0088522C">
      <w:bookmarkStart w:id="0" w:name="_GoBack"/>
      <w:bookmarkEnd w:id="0"/>
    </w:p>
    <w:sectPr w:rsidR="00EA4054" w:rsidRPr="00885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D2E"/>
    <w:rsid w:val="001D3D2E"/>
    <w:rsid w:val="007A0E5B"/>
    <w:rsid w:val="007E6F76"/>
    <w:rsid w:val="0088522C"/>
    <w:rsid w:val="00EA4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6EB65-A6D7-442C-8E7D-61919B31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2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3D2E"/>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Polinski, Kristen J</dc:creator>
  <cp:keywords/>
  <dc:description/>
  <cp:lastModifiedBy>Polinski, Kristen J</cp:lastModifiedBy>
  <cp:revision>3</cp:revision>
  <dcterms:created xsi:type="dcterms:W3CDTF">2019-07-11T22:17:00Z</dcterms:created>
  <dcterms:modified xsi:type="dcterms:W3CDTF">2019-07-23T16:31:00Z</dcterms:modified>
</cp:coreProperties>
</file>