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71" w:rsidRPr="00D02D71" w:rsidRDefault="00E60DDB" w:rsidP="00D02D71">
      <w:pPr>
        <w:spacing w:line="48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Data</w:t>
      </w:r>
      <w:r w:rsidR="00D02D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</w:t>
      </w:r>
      <w:r w:rsidR="00D02D71">
        <w:rPr>
          <w:rFonts w:ascii="Times New Roman" w:eastAsia="Times New Roman" w:hAnsi="Times New Roman" w:cs="Times New Roman"/>
          <w:b/>
        </w:rPr>
        <w:t>1</w:t>
      </w:r>
      <w:proofErr w:type="spellEnd"/>
      <w:r w:rsidR="00D02D71">
        <w:rPr>
          <w:rFonts w:ascii="Times New Roman" w:eastAsia="Times New Roman" w:hAnsi="Times New Roman" w:cs="Times New Roman"/>
          <w:b/>
        </w:rPr>
        <w:t>.</w:t>
      </w:r>
      <w:proofErr w:type="gramEnd"/>
      <w:r w:rsidR="00D02D71">
        <w:rPr>
          <w:rFonts w:ascii="Times New Roman" w:eastAsia="Times New Roman" w:hAnsi="Times New Roman" w:cs="Times New Roman"/>
          <w:b/>
        </w:rPr>
        <w:t xml:space="preserve"> </w:t>
      </w:r>
      <w:r w:rsidR="00D02D71">
        <w:rPr>
          <w:rFonts w:ascii="Times New Roman" w:eastAsia="Times New Roman" w:hAnsi="Times New Roman" w:cs="Times New Roman"/>
        </w:rPr>
        <w:t>Model specifications for imputation by linear mixed effects model (LMM).</w:t>
      </w:r>
    </w:p>
    <w:p w:rsidR="00D02D71" w:rsidRDefault="00D02D71" w:rsidP="00D02D71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lang/>
        </w:rPr>
      </w:pPr>
      <w:r w:rsidRPr="00E46CF0">
        <w:rPr>
          <w:rFonts w:ascii="Times New Roman" w:eastAsia="Times New Roman" w:hAnsi="Times New Roman" w:cs="Times New Roman"/>
          <w:color w:val="000000"/>
          <w:lang/>
        </w:rPr>
        <w:t xml:space="preserve">Let </w:t>
      </w:r>
      <m:oMath>
        <m:r>
          <w:rPr>
            <w:rFonts w:ascii="Cambria Math" w:eastAsia="Times New Roman" w:hAnsi="Cambria Math" w:cs="Times New Roman"/>
            <w:color w:val="000000"/>
            <w:lang/>
          </w:rPr>
          <m:t>i=1,…,N</m:t>
        </m:r>
      </m:oMath>
      <w:r w:rsidRPr="00E46CF0">
        <w:rPr>
          <w:rFonts w:ascii="Times New Roman" w:eastAsia="Times New Roman" w:hAnsi="Times New Roman" w:cs="Times New Roman"/>
          <w:color w:val="000000"/>
          <w:lang/>
        </w:rPr>
        <w:t xml:space="preserve"> index the subjects and </w:t>
      </w:r>
      <m:oMath>
        <m:r>
          <w:rPr>
            <w:rFonts w:ascii="Cambria Math" w:eastAsia="Times New Roman" w:hAnsi="Cambria Math" w:cs="Times New Roman"/>
            <w:color w:val="000000"/>
            <w:lang/>
          </w:rPr>
          <m:t>j=1,…,T</m:t>
        </m:r>
      </m:oMath>
      <w:r w:rsidRPr="00E46CF0">
        <w:rPr>
          <w:rFonts w:ascii="Times New Roman" w:eastAsia="Times New Roman" w:hAnsi="Times New Roman" w:cs="Times New Roman"/>
          <w:color w:val="000000"/>
          <w:lang/>
        </w:rPr>
        <w:t xml:space="preserve"> index the visits. There are </w:t>
      </w:r>
      <m:oMath>
        <m:r>
          <w:rPr>
            <w:rFonts w:ascii="Cambria Math" w:eastAsia="Times New Roman" w:hAnsi="Cambria Math" w:cs="Times New Roman"/>
            <w:color w:val="000000"/>
            <w:lang/>
          </w:rPr>
          <m:t>T=3</m:t>
        </m:r>
      </m:oMath>
      <w:r w:rsidRPr="00E46CF0">
        <w:rPr>
          <w:rFonts w:ascii="Times New Roman" w:eastAsia="Times New Roman" w:hAnsi="Times New Roman" w:cs="Times New Roman"/>
          <w:color w:val="000000"/>
          <w:lang/>
        </w:rPr>
        <w:t xml:space="preserve"> measurements (visit 2, visit 3, and visit 4) for abdominal circumference, head circumference, and femur length, and </w:t>
      </w:r>
      <m:oMath>
        <m:r>
          <w:rPr>
            <w:rFonts w:ascii="Cambria Math" w:eastAsia="Times New Roman" w:hAnsi="Cambria Math" w:cs="Times New Roman"/>
            <w:color w:val="000000"/>
            <w:lang/>
          </w:rPr>
          <m:t>T=4</m:t>
        </m:r>
      </m:oMath>
      <w:r w:rsidRPr="00E46CF0">
        <w:rPr>
          <w:rFonts w:ascii="Times New Roman" w:eastAsia="Times New Roman" w:hAnsi="Times New Roman" w:cs="Times New Roman"/>
          <w:color w:val="000000"/>
          <w:lang/>
        </w:rPr>
        <w:t xml:space="preserve"> measurements (visit 2, visit 3, visit 4, and at delivery) for the combined vector of estimated fetal weight and birth weight. The final selected models for each measured growth parameter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/>
              </w:rPr>
              <m:t>ij</m:t>
            </m:r>
          </m:sub>
        </m:sSub>
      </m:oMath>
      <w:r w:rsidRPr="00E46CF0">
        <w:rPr>
          <w:rFonts w:ascii="Times New Roman" w:eastAsia="Times New Roman" w:hAnsi="Times New Roman" w:cs="Times New Roman"/>
          <w:color w:val="000000"/>
          <w:lang/>
        </w:rPr>
        <w:t xml:space="preserve"> are as follows:</w:t>
      </w:r>
    </w:p>
    <w:p w:rsidR="00D02D71" w:rsidRPr="00C97CD6" w:rsidRDefault="00D02D71" w:rsidP="00D02D71">
      <w:pPr>
        <w:spacing w:line="480" w:lineRule="auto"/>
        <w:contextualSpacing/>
        <w:rPr>
          <w:rFonts w:ascii="Times New Roman" w:eastAsia="Times New Roman" w:hAnsi="Times New Roman" w:cs="Times New Roman"/>
          <w:color w:val="000000"/>
          <w:lang/>
        </w:rPr>
      </w:pPr>
    </w:p>
    <w:p w:rsidR="00D02D71" w:rsidRDefault="00D02D71" w:rsidP="00D02D71">
      <w:pPr>
        <w:spacing w:line="480" w:lineRule="auto"/>
        <w:contextualSpacing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Abdominal circumference</w:t>
      </w:r>
      <w:r w:rsidRPr="00620A03">
        <w:rPr>
          <w:rFonts w:ascii="Times New Roman" w:hAnsi="Times New Roman" w:cs="Times New Roman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</m:func>
        <m:r>
          <w:rPr>
            <w:rFonts w:ascii="Cambria Math" w:hAnsi="Cambria Math" w:cs="Times New Roman"/>
          </w:rPr>
          <m:t>+γ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</w:p>
    <w:p w:rsidR="00D02D71" w:rsidRDefault="00D02D71" w:rsidP="00D02D71">
      <w:pPr>
        <w:spacing w:line="480" w:lineRule="auto"/>
        <w:contextualSpacing/>
        <w:rPr>
          <w:rFonts w:ascii="Times New Roman" w:hAnsi="Times New Roman" w:cs="Times New Roman"/>
        </w:rPr>
      </w:pPr>
    </w:p>
    <w:p w:rsidR="00D02D71" w:rsidRDefault="00D02D71" w:rsidP="00D02D71">
      <w:pPr>
        <w:spacing w:line="48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circumference</w:t>
      </w:r>
      <w:r w:rsidRPr="00620A03">
        <w:rPr>
          <w:rFonts w:ascii="Times New Roman" w:hAnsi="Times New Roman" w:cs="Times New Roman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</m:func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+γ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</w:p>
    <w:p w:rsidR="00D02D71" w:rsidRDefault="00D02D71" w:rsidP="00D02D71">
      <w:pPr>
        <w:spacing w:line="480" w:lineRule="auto"/>
        <w:contextualSpacing/>
        <w:rPr>
          <w:rFonts w:ascii="Times New Roman" w:hAnsi="Times New Roman" w:cs="Times New Roman"/>
        </w:rPr>
      </w:pPr>
    </w:p>
    <w:p w:rsidR="00D02D71" w:rsidRPr="00620A03" w:rsidRDefault="00D02D71" w:rsidP="00D02D71">
      <w:pPr>
        <w:spacing w:line="480" w:lineRule="auto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Femur length</w:t>
      </w:r>
      <w:r w:rsidRPr="00620A03">
        <w:rPr>
          <w:rFonts w:ascii="Times New Roman" w:hAnsi="Times New Roman" w:cs="Times New Roman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</m:func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+γ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</w:p>
    <w:p w:rsidR="00D02D71" w:rsidRDefault="00D02D71" w:rsidP="00D02D71">
      <w:pPr>
        <w:spacing w:line="480" w:lineRule="auto"/>
        <w:rPr>
          <w:rFonts w:ascii="Times New Roman" w:hAnsi="Times New Roman" w:cs="Times New Roman"/>
        </w:rPr>
      </w:pPr>
    </w:p>
    <w:p w:rsidR="00D02D71" w:rsidRPr="00620A03" w:rsidRDefault="00D02D71" w:rsidP="00D02D71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fetal weight and birth weight</w:t>
      </w:r>
      <w:r w:rsidRPr="00620A03">
        <w:rPr>
          <w:rFonts w:ascii="Times New Roman" w:hAnsi="Times New Roman" w:cs="Times New Roman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+γ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</w:p>
    <w:p w:rsidR="00D02D71" w:rsidRDefault="00D02D71" w:rsidP="00D02D71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D02D71" w:rsidRPr="00620A03" w:rsidRDefault="00D42EED" w:rsidP="00D02D71">
      <w:pPr>
        <w:spacing w:line="480" w:lineRule="auto"/>
        <w:jc w:val="center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1i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</w:rPr>
          <m:t>∼N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0, 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</m:d>
      </m:oMath>
      <w:r w:rsidR="00D02D71" w:rsidRPr="00620A03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∼N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 R</m:t>
            </m:r>
          </m:e>
        </m:d>
      </m:oMath>
      <w:r w:rsidR="00D02D71">
        <w:rPr>
          <w:rFonts w:ascii="Times New Roman" w:hAnsi="Times New Roman" w:cs="Times New Roman"/>
        </w:rPr>
        <w:t xml:space="preserve"> (for each model)</w:t>
      </w:r>
    </w:p>
    <w:p w:rsidR="00D02D71" w:rsidRDefault="00D02D71" w:rsidP="00D02D71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D02D71" w:rsidRPr="00620A03" w:rsidRDefault="00D02D71" w:rsidP="00D02D71">
      <w:pPr>
        <w:spacing w:line="480" w:lineRule="auto"/>
        <w:contextualSpacing/>
        <w:rPr>
          <w:rFonts w:ascii="Times New Roman" w:hAnsi="Times New Roman" w:cs="Times New Roman"/>
        </w:rPr>
      </w:pPr>
      <w:r w:rsidRPr="00620A03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 w:rsidRPr="00620A03">
        <w:rPr>
          <w:rFonts w:ascii="Times New Roman" w:hAnsi="Times New Roman" w:cs="Times New Roman"/>
        </w:rPr>
        <w:t xml:space="preserve"> denotes gestational age of </w:t>
      </w:r>
      <m:oMath>
        <m:r>
          <w:rPr>
            <w:rFonts w:ascii="Cambria Math" w:hAnsi="Cambria Math" w:cs="Times New Roman"/>
          </w:rPr>
          <m:t>i</m:t>
        </m:r>
      </m:oMath>
      <w:r>
        <w:rPr>
          <w:rFonts w:ascii="Times New Roman" w:hAnsi="Times New Roman" w:cs="Times New Roman"/>
        </w:rPr>
        <w:t>-</w:t>
      </w:r>
      <w:proofErr w:type="spellStart"/>
      <w:r w:rsidRPr="00620A03">
        <w:rPr>
          <w:rFonts w:ascii="Times New Roman" w:hAnsi="Times New Roman" w:cs="Times New Roman"/>
        </w:rPr>
        <w:t>th</w:t>
      </w:r>
      <w:proofErr w:type="spellEnd"/>
      <w:r w:rsidRPr="00620A03">
        <w:rPr>
          <w:rFonts w:ascii="Times New Roman" w:hAnsi="Times New Roman" w:cs="Times New Roman"/>
        </w:rPr>
        <w:t xml:space="preserve"> subject at </w:t>
      </w:r>
      <m:oMath>
        <m:r>
          <w:rPr>
            <w:rFonts w:ascii="Cambria Math" w:hAnsi="Cambria Math" w:cs="Times New Roman"/>
          </w:rPr>
          <m:t>j</m:t>
        </m:r>
      </m:oMath>
      <w:r>
        <w:rPr>
          <w:rFonts w:ascii="Times New Roman" w:hAnsi="Times New Roman" w:cs="Times New Roman"/>
        </w:rPr>
        <w:t>-</w:t>
      </w:r>
      <w:proofErr w:type="spellStart"/>
      <w:r w:rsidRPr="00620A03">
        <w:rPr>
          <w:rFonts w:ascii="Times New Roman" w:hAnsi="Times New Roman" w:cs="Times New Roman"/>
        </w:rPr>
        <w:t>th</w:t>
      </w:r>
      <w:proofErr w:type="spellEnd"/>
      <w:r w:rsidRPr="00620A03">
        <w:rPr>
          <w:rFonts w:ascii="Times New Roman" w:hAnsi="Times New Roman" w:cs="Times New Roman"/>
        </w:rPr>
        <w:t xml:space="preserve"> visit,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620A03">
        <w:rPr>
          <w:rFonts w:ascii="Times New Roman" w:hAnsi="Times New Roman" w:cs="Times New Roman"/>
          <w:b/>
        </w:rPr>
        <w:t xml:space="preserve"> </w:t>
      </w:r>
      <w:r w:rsidRPr="00620A03">
        <w:rPr>
          <w:rFonts w:ascii="Times New Roman" w:hAnsi="Times New Roman" w:cs="Times New Roman"/>
        </w:rPr>
        <w:t xml:space="preserve">denotes the set of covariates (maternal age, </w:t>
      </w:r>
      <w:r>
        <w:rPr>
          <w:rFonts w:ascii="Times New Roman" w:hAnsi="Times New Roman" w:cs="Times New Roman"/>
        </w:rPr>
        <w:t xml:space="preserve">pre-pregnancy </w:t>
      </w:r>
      <w:r w:rsidRPr="00620A03">
        <w:rPr>
          <w:rFonts w:ascii="Times New Roman" w:hAnsi="Times New Roman" w:cs="Times New Roman"/>
        </w:rPr>
        <w:t xml:space="preserve">BMI, infant sex, smoking, race, insurance, alcohol use, IVF, preeclampsia, parity) of </w:t>
      </w:r>
      <m:oMath>
        <m:r>
          <w:rPr>
            <w:rFonts w:ascii="Cambria Math" w:hAnsi="Cambria Math" w:cs="Times New Roman"/>
          </w:rPr>
          <m:t>i</m:t>
        </m:r>
      </m:oMath>
      <w:r w:rsidRPr="00620A03">
        <w:rPr>
          <w:rFonts w:ascii="Times New Roman" w:hAnsi="Times New Roman" w:cs="Times New Roman"/>
        </w:rPr>
        <w:t>th subject</w:t>
      </w:r>
      <w:r>
        <w:rPr>
          <w:rFonts w:ascii="Times New Roman" w:hAnsi="Times New Roman" w:cs="Times New Roman"/>
        </w:rPr>
        <w:t>,</w:t>
      </w:r>
      <w:r w:rsidRPr="00620A03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β</m:t>
        </m:r>
      </m:oMath>
      <w:r w:rsidRPr="00620A03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γ</m:t>
        </m:r>
      </m:oMath>
      <w:r w:rsidRPr="00620A03">
        <w:rPr>
          <w:rFonts w:ascii="Times New Roman" w:hAnsi="Times New Roman" w:cs="Times New Roman"/>
        </w:rPr>
        <w:t xml:space="preserve"> are fixed effect</w:t>
      </w:r>
      <w:r>
        <w:rPr>
          <w:rFonts w:ascii="Times New Roman" w:hAnsi="Times New Roman" w:cs="Times New Roman"/>
        </w:rPr>
        <w:t xml:space="preserve"> parameters in the mean model</w:t>
      </w:r>
      <w:r w:rsidRPr="00620A03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</m:oMath>
      <w:r w:rsidRPr="00620A03">
        <w:rPr>
          <w:rFonts w:ascii="Times New Roman" w:hAnsi="Times New Roman" w:cs="Times New Roman"/>
        </w:rPr>
        <w:t xml:space="preserve"> is the random intercept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</m:oMath>
      <w:r w:rsidRPr="00620A03">
        <w:rPr>
          <w:rFonts w:ascii="Times New Roman" w:hAnsi="Times New Roman" w:cs="Times New Roman"/>
        </w:rPr>
        <w:t xml:space="preserve"> is the random slope with respect to </w:t>
      </w:r>
      <w:r>
        <w:rPr>
          <w:rFonts w:ascii="Times New Roman" w:hAnsi="Times New Roman" w:cs="Times New Roman"/>
        </w:rPr>
        <w:t>time/visit for</w:t>
      </w:r>
      <w:r w:rsidRPr="00620A03">
        <w:rPr>
          <w:rFonts w:ascii="Times New Roman" w:hAnsi="Times New Roman" w:cs="Times New Roman"/>
        </w:rPr>
        <w:t xml:space="preserve"> the </w:t>
      </w:r>
      <m:oMath>
        <m:r>
          <w:rPr>
            <w:rFonts w:ascii="Cambria Math" w:hAnsi="Cambria Math" w:cs="Times New Roman"/>
          </w:rPr>
          <m:t>i</m:t>
        </m:r>
      </m:oMath>
      <w:r w:rsidRPr="00620A03">
        <w:rPr>
          <w:rFonts w:ascii="Times New Roman" w:hAnsi="Times New Roman" w:cs="Times New Roman"/>
        </w:rPr>
        <w:t>th subject</w:t>
      </w:r>
      <w:r>
        <w:rPr>
          <w:rFonts w:ascii="Times New Roman" w:hAnsi="Times New Roman" w:cs="Times New Roman"/>
        </w:rPr>
        <w:t>, and</w:t>
      </w:r>
      <w:r w:rsidRPr="00620A03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>
        <w:rPr>
          <w:rFonts w:ascii="Times New Roman" w:hAnsi="Times New Roman" w:cs="Times New Roman"/>
        </w:rPr>
        <w:t xml:space="preserve"> is the random error. We assumed that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1i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are independent. Here </w:t>
      </w:r>
      <m:oMath>
        <m:r>
          <m:rPr>
            <m:sty m:val="p"/>
          </m:rPr>
          <w:rPr>
            <w:rFonts w:ascii="Cambria Math" w:hAnsi="Cambria Math" w:cs="Times New Roman"/>
          </w:rPr>
          <m:t>Σ</m:t>
        </m:r>
      </m:oMath>
      <w:r>
        <w:rPr>
          <w:rFonts w:ascii="Times New Roman" w:hAnsi="Times New Roman" w:cs="Times New Roman"/>
        </w:rPr>
        <w:t xml:space="preserve"> is the joint </w:t>
      </w:r>
      <w:r>
        <w:rPr>
          <w:rFonts w:ascii="Times New Roman" w:hAnsi="Times New Roman" w:cs="Times New Roman"/>
        </w:rPr>
        <w:lastRenderedPageBreak/>
        <w:t xml:space="preserve">variance-covariance matrix of the random effects and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 is the variance-covariance matrix of the errors. For abdominal circumference and head circumference,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 is </w:t>
      </w:r>
      <w:r w:rsidRPr="00E46CF0">
        <w:rPr>
          <w:rFonts w:ascii="Times New Roman" w:hAnsi="Times New Roman" w:cs="Times New Roman"/>
        </w:rPr>
        <w:t xml:space="preserve">chosen as a </w:t>
      </w:r>
      <m:oMath>
        <m:r>
          <w:rPr>
            <w:rFonts w:ascii="Cambria Math" w:hAnsi="Cambria Math" w:cs="Times New Roman"/>
          </w:rPr>
          <m:t>T×T</m:t>
        </m:r>
      </m:oMath>
      <w:r w:rsidRPr="00E46CF0">
        <w:rPr>
          <w:rFonts w:ascii="Times New Roman" w:hAnsi="Times New Roman" w:cs="Times New Roman"/>
        </w:rPr>
        <w:t xml:space="preserve"> identity</w:t>
      </w:r>
      <w:r>
        <w:rPr>
          <w:rFonts w:ascii="Times New Roman" w:hAnsi="Times New Roman" w:cs="Times New Roman"/>
        </w:rPr>
        <w:t xml:space="preserve"> matrix to reflect independent error structure; for femur length and estimated fetal weight and birth weight, </w:t>
      </w:r>
      <m:oMath>
        <m:r>
          <w:rPr>
            <w:rFonts w:ascii="Cambria Math" w:hAnsi="Cambria Math" w:cs="Times New Roman"/>
          </w:rPr>
          <m:t>R</m:t>
        </m:r>
      </m:oMath>
      <w:r w:rsidRPr="00620A03">
        <w:rPr>
          <w:rFonts w:ascii="Times New Roman" w:hAnsi="Times New Roman" w:cs="Times New Roman"/>
        </w:rPr>
        <w:t xml:space="preserve"> is unstructured correlation matrix.</w:t>
      </w:r>
      <w:r>
        <w:rPr>
          <w:rFonts w:ascii="Times New Roman" w:hAnsi="Times New Roman" w:cs="Times New Roman"/>
        </w:rPr>
        <w:t xml:space="preserve"> These selections of the variance-covariance structure were governed by the AIC. </w:t>
      </w:r>
    </w:p>
    <w:p w:rsidR="00D02D71" w:rsidRDefault="00D02D71" w:rsidP="00D02D7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imputation was performed as follows, using abdominal circumference as an example</w:t>
      </w:r>
      <w:r w:rsidRPr="00620A03">
        <w:rPr>
          <w:rFonts w:ascii="Times New Roman" w:hAnsi="Times New Roman" w:cs="Times New Roman"/>
        </w:rPr>
        <w:t xml:space="preserve">. There are 897 subjects who have complete covariates and at least one </w:t>
      </w:r>
      <w:r>
        <w:rPr>
          <w:rFonts w:ascii="Times New Roman" w:hAnsi="Times New Roman" w:cs="Times New Roman"/>
        </w:rPr>
        <w:t>abdominal circumference</w:t>
      </w:r>
      <w:r w:rsidRPr="00620A03">
        <w:rPr>
          <w:rFonts w:ascii="Times New Roman" w:hAnsi="Times New Roman" w:cs="Times New Roman"/>
        </w:rPr>
        <w:t xml:space="preserve"> measurement. </w:t>
      </w:r>
      <w:r>
        <w:rPr>
          <w:rFonts w:ascii="Times New Roman" w:hAnsi="Times New Roman" w:cs="Times New Roman"/>
        </w:rPr>
        <w:t xml:space="preserve">We </w:t>
      </w:r>
      <w:r w:rsidRPr="00041B60">
        <w:rPr>
          <w:rFonts w:ascii="Times New Roman" w:hAnsi="Times New Roman" w:cs="Times New Roman"/>
        </w:rPr>
        <w:t>created 50 data sets with imputed measurements for missing abdominal</w:t>
      </w:r>
      <w:r>
        <w:rPr>
          <w:rFonts w:ascii="Times New Roman" w:hAnsi="Times New Roman" w:cs="Times New Roman"/>
        </w:rPr>
        <w:t xml:space="preserve"> circumference</w:t>
      </w:r>
      <w:r w:rsidRPr="00620A03">
        <w:rPr>
          <w:rFonts w:ascii="Times New Roman" w:hAnsi="Times New Roman" w:cs="Times New Roman"/>
        </w:rPr>
        <w:t xml:space="preserve">. For each data set, missing gestational </w:t>
      </w:r>
      <w:r>
        <w:rPr>
          <w:rFonts w:ascii="Times New Roman" w:hAnsi="Times New Roman" w:cs="Times New Roman"/>
        </w:rPr>
        <w:t>ages for time points where abdominal circumference were missing</w:t>
      </w:r>
      <w:r w:rsidRPr="00620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620A03">
        <w:rPr>
          <w:rFonts w:ascii="Times New Roman" w:hAnsi="Times New Roman" w:cs="Times New Roman"/>
        </w:rPr>
        <w:t xml:space="preserve"> randomly drawn from a normal distribution </w:t>
      </w:r>
      <m:oMath>
        <m:r>
          <w:rPr>
            <w:rFonts w:ascii="Cambria Math" w:hAnsi="Cambria Math" w:cs="Times New Roman"/>
          </w:rPr>
          <m:t>N(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)</m:t>
        </m:r>
      </m:oMath>
      <w:r w:rsidRPr="00620A03">
        <w:rPr>
          <w:rFonts w:ascii="Times New Roman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Pr="00620A03">
        <w:rPr>
          <w:rFonts w:ascii="Times New Roman" w:hAnsi="Times New Roman" w:cs="Times New Roman"/>
        </w:rPr>
        <w:t xml:space="preserve"> is the mean gestational age at visit </w:t>
      </w:r>
      <m:oMath>
        <m:r>
          <w:rPr>
            <w:rFonts w:ascii="Cambria Math" w:hAnsi="Cambria Math" w:cs="Times New Roman"/>
          </w:rPr>
          <m:t>j</m:t>
        </m:r>
      </m:oMath>
      <w:r w:rsidRPr="00620A03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Pr="00620A03">
        <w:rPr>
          <w:rFonts w:ascii="Times New Roman" w:hAnsi="Times New Roman" w:cs="Times New Roman"/>
        </w:rPr>
        <w:t xml:space="preserve"> is the standard deviation of gestational age at visit </w:t>
      </w:r>
      <m:oMath>
        <m:r>
          <w:rPr>
            <w:rFonts w:ascii="Cambria Math" w:hAnsi="Cambria Math" w:cs="Times New Roman"/>
          </w:rPr>
          <m:t>j</m:t>
        </m:r>
      </m:oMath>
      <w:r w:rsidRPr="00620A03">
        <w:rPr>
          <w:rFonts w:ascii="Times New Roman" w:hAnsi="Times New Roman" w:cs="Times New Roman"/>
        </w:rPr>
        <w:t xml:space="preserve">. Parameters in the </w:t>
      </w:r>
      <w:r>
        <w:rPr>
          <w:rFonts w:ascii="Times New Roman" w:hAnsi="Times New Roman" w:cs="Times New Roman"/>
        </w:rPr>
        <w:t>linear mixed-effects</w:t>
      </w:r>
      <w:r w:rsidRPr="00620A03">
        <w:rPr>
          <w:rFonts w:ascii="Times New Roman" w:hAnsi="Times New Roman" w:cs="Times New Roman"/>
        </w:rPr>
        <w:t xml:space="preserve"> model</w:t>
      </w:r>
      <w:r>
        <w:rPr>
          <w:rFonts w:ascii="Times New Roman" w:hAnsi="Times New Roman" w:cs="Times New Roman"/>
        </w:rPr>
        <w:t xml:space="preserve"> of abdominal circumference</w:t>
      </w:r>
      <w:r w:rsidRPr="00620A03">
        <w:rPr>
          <w:rFonts w:ascii="Times New Roman" w:hAnsi="Times New Roman" w:cs="Times New Roman"/>
        </w:rPr>
        <w:t xml:space="preserve"> were estimated by restricted maximum likelihood (REML). The imputed values are estimated by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</m:sSub>
          </m:e>
        </m:func>
        <m:r>
          <w:rPr>
            <w:rFonts w:ascii="Cambria Math" w:hAnsi="Cambria Math" w:cs="Times New Roman"/>
          </w:rPr>
          <m:t>+</m:t>
        </m:r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γ</m:t>
            </m:r>
          </m:e>
        </m:acc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 w:rsidRPr="00620A03">
        <w:rPr>
          <w:rFonts w:ascii="Times New Roman" w:hAnsi="Times New Roman" w:cs="Times New Roman"/>
        </w:rPr>
        <w:t xml:space="preserve">, where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β</m:t>
            </m:r>
          </m:e>
        </m:acc>
      </m:oMath>
      <w:r w:rsidRPr="00620A03">
        <w:rPr>
          <w:rFonts w:ascii="Times New Roman" w:hAnsi="Times New Roman" w:cs="Times New Roman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γ</m:t>
            </m:r>
          </m:e>
        </m:acc>
      </m:oMath>
      <w:r w:rsidRPr="00620A03">
        <w:rPr>
          <w:rFonts w:ascii="Times New Roman" w:hAnsi="Times New Roman" w:cs="Times New Roman"/>
          <w:b/>
        </w:rPr>
        <w:t xml:space="preserve"> </w:t>
      </w:r>
      <w:r w:rsidRPr="00620A03">
        <w:rPr>
          <w:rFonts w:ascii="Times New Roman" w:hAnsi="Times New Roman" w:cs="Times New Roman"/>
        </w:rPr>
        <w:t xml:space="preserve">are fixed effects estimates,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0i</m:t>
            </m:r>
          </m:sub>
        </m:sSub>
      </m:oMath>
      <w:r w:rsidRPr="00620A03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1i</m:t>
            </m:r>
          </m:sub>
        </m:sSub>
      </m:oMath>
      <w:r w:rsidRPr="00620A03">
        <w:rPr>
          <w:rFonts w:ascii="Times New Roman" w:hAnsi="Times New Roman" w:cs="Times New Roman"/>
        </w:rPr>
        <w:t xml:space="preserve"> are best linear unbiased predictor (BLUP) of random effects of the </w:t>
      </w:r>
      <m:oMath>
        <m:r>
          <w:rPr>
            <w:rFonts w:ascii="Cambria Math" w:hAnsi="Cambria Math" w:cs="Times New Roman"/>
          </w:rPr>
          <m:t>i</m:t>
        </m:r>
      </m:oMath>
      <w:r w:rsidRPr="00620A03">
        <w:rPr>
          <w:rFonts w:ascii="Times New Roman" w:hAnsi="Times New Roman" w:cs="Times New Roman"/>
        </w:rPr>
        <w:t xml:space="preserve">th subject,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</m:oMath>
      <w:r w:rsidRPr="00620A03">
        <w:rPr>
          <w:rFonts w:ascii="Times New Roman" w:hAnsi="Times New Roman" w:cs="Times New Roman"/>
        </w:rPr>
        <w:t xml:space="preserve"> is estimated random error, which is sampled from </w:t>
      </w:r>
      <m:oMath>
        <m:r>
          <w:rPr>
            <w:rFonts w:ascii="Cambria Math" w:hAnsi="Cambria Math" w:cs="Times New Roman"/>
          </w:rPr>
          <m:t xml:space="preserve">N(0,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τ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620A03">
        <w:rPr>
          <w:rFonts w:ascii="Times New Roman" w:hAnsi="Times New Roman" w:cs="Times New Roman"/>
        </w:rPr>
        <w:t xml:space="preserve">, where </w:t>
      </w:r>
      <m:oMath>
        <m:r>
          <w:rPr>
            <w:rFonts w:ascii="Cambria Math" w:hAnsi="Cambria Math" w:cs="Times New Roman"/>
          </w:rPr>
          <m:t>τ</m:t>
        </m:r>
      </m:oMath>
      <w:r w:rsidRPr="00620A03">
        <w:rPr>
          <w:rFonts w:ascii="Times New Roman" w:hAnsi="Times New Roman" w:cs="Times New Roman"/>
        </w:rPr>
        <w:t xml:space="preserve"> is the standard error </w:t>
      </w:r>
      <w:r>
        <w:rPr>
          <w:rFonts w:ascii="Times New Roman" w:hAnsi="Times New Roman" w:cs="Times New Roman"/>
        </w:rPr>
        <w:t xml:space="preserve">(SE) </w:t>
      </w:r>
      <w:r w:rsidRPr="00620A03">
        <w:rPr>
          <w:rFonts w:ascii="Times New Roman" w:hAnsi="Times New Roman" w:cs="Times New Roman"/>
        </w:rPr>
        <w:t>of residuals.</w:t>
      </w:r>
      <w:r>
        <w:rPr>
          <w:rFonts w:ascii="Times New Roman" w:hAnsi="Times New Roman" w:cs="Times New Roman"/>
        </w:rPr>
        <w:t xml:space="preserve"> Within the 50 imputed datasets, if the gestational age that was imputed for a missing measurement was after the gestational age at delivery, it was deleted from the imputed dataset. If the gestational age that was imputed for visit </w:t>
      </w:r>
      <m:oMath>
        <m:r>
          <w:rPr>
            <w:rFonts w:ascii="Cambria Math" w:hAnsi="Cambria Math" w:cs="Times New Roman"/>
          </w:rPr>
          <m:t>j</m:t>
        </m:r>
      </m:oMath>
      <w:r>
        <w:rPr>
          <w:rFonts w:ascii="Times New Roman" w:hAnsi="Times New Roman" w:cs="Times New Roman"/>
        </w:rPr>
        <w:t xml:space="preserve"> was after the observed gestational age for visit </w:t>
      </w:r>
      <m:oMath>
        <m:r>
          <w:rPr>
            <w:rFonts w:ascii="Cambria Math" w:hAnsi="Cambria Math" w:cs="Times New Roman"/>
          </w:rPr>
          <m:t>j</m:t>
        </m:r>
      </m:oMath>
      <w:r>
        <w:rPr>
          <w:rFonts w:ascii="Times New Roman" w:hAnsi="Times New Roman" w:cs="Times New Roman"/>
        </w:rPr>
        <w:t>+1, it was deleted from the imputed dataset as well</w:t>
      </w:r>
      <w:r w:rsidRPr="00620A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resulted in varying numbers of observations for subsequent statistical models that were fitted. The same procedure was performed for each of the other growth parameters.</w:t>
      </w:r>
    </w:p>
    <w:p w:rsidR="00510B1A" w:rsidRDefault="00D02D71" w:rsidP="00D02D71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</w:rPr>
        <w:lastRenderedPageBreak/>
        <w:t>Demographic, behavioral, and pregnancy information on study participants was included in both LMM and MICE imputations. These included the following maternal factors: age (in years, continuous); pre-pregnancy body mass index (BMI, in kg/m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continuous); Race (White, Black, or Other); health insurance provider (public vs. private); tobacco and alcohol use during pregnancy (yes or no); and parity (continuous). We additionally included information on the pregnancy itself in the imputation calculations: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 vitro fertilization </w:t>
      </w:r>
      <w:r>
        <w:rPr>
          <w:rFonts w:ascii="Times New Roman" w:eastAsia="Times New Roman" w:hAnsi="Times New Roman" w:cs="Times New Roman"/>
          <w:color w:val="000000"/>
        </w:rPr>
        <w:t>(IVF, yes or no); presence of preeclampsia (yes or no); and infant sex (male or female). Finally, we included gestational age at the time of ultrasound measurement (or at delivery, for birth weight) for both approaches.</w:t>
      </w:r>
    </w:p>
    <w:sectPr w:rsidR="00510B1A" w:rsidSect="00A71CA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D02D71"/>
    <w:rsid w:val="000E1E19"/>
    <w:rsid w:val="00945E3F"/>
    <w:rsid w:val="00A71CA5"/>
    <w:rsid w:val="00D02D71"/>
    <w:rsid w:val="00D42EED"/>
    <w:rsid w:val="00D8251B"/>
    <w:rsid w:val="00E6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Youfei Yu</dc:creator>
  <cp:keywords/>
  <dc:description/>
  <cp:lastModifiedBy>0013341</cp:lastModifiedBy>
  <cp:revision>2</cp:revision>
  <dcterms:created xsi:type="dcterms:W3CDTF">2018-05-05T03:06:00Z</dcterms:created>
  <dcterms:modified xsi:type="dcterms:W3CDTF">2018-06-19T14:57:00Z</dcterms:modified>
</cp:coreProperties>
</file>