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4CB3" w14:textId="77777777" w:rsidR="006C7CBF" w:rsidRDefault="005A6961">
      <w:r>
        <w:t>Supplemental Information on Exposure Assessment</w:t>
      </w:r>
    </w:p>
    <w:p w14:paraId="20981611" w14:textId="77777777" w:rsidR="00B00AD2" w:rsidRDefault="00B00AD2">
      <w:r>
        <w:t xml:space="preserve">Methods in Brief: </w:t>
      </w:r>
    </w:p>
    <w:p w14:paraId="05935602" w14:textId="77777777" w:rsidR="005A6961" w:rsidRDefault="006D005B">
      <w:r>
        <w:t xml:space="preserve">In a previous publication, </w:t>
      </w:r>
      <w:r w:rsidR="003B5F1B">
        <w:t xml:space="preserve">the occupational exposures </w:t>
      </w:r>
      <w:r w:rsidR="00176108">
        <w:t xml:space="preserve">resulting in doses </w:t>
      </w:r>
      <w:r w:rsidR="003B5F1B">
        <w:t xml:space="preserve">to three of the eight pesticides included in this study are </w:t>
      </w:r>
      <w:r w:rsidR="00176108">
        <w:t xml:space="preserve">derived and the methods described in detail.  The remaining five pesticide doses were calculated following the same methods.  </w:t>
      </w:r>
    </w:p>
    <w:p w14:paraId="00573750" w14:textId="77777777" w:rsidR="00176108" w:rsidRDefault="00176108">
      <w:r>
        <w:t>These exposures and doses were calculated following the methods used by the Environmental Protection Agency</w:t>
      </w:r>
      <w:r w:rsidR="004F31E6">
        <w:t xml:space="preserve"> (EPA)</w:t>
      </w:r>
      <w:r w:rsidR="00D4281B">
        <w:t xml:space="preserve"> in the risk assessments carried out for pesticide registration, with the addition of variability and uncertainty to build probabilistic estimates. </w:t>
      </w:r>
      <w:r w:rsidR="004F31E6">
        <w:t>EPA occupational pesticide exposures are calculated based on a set of field studies curated by the Agricultural Handler Exposure Task Force of the dermal and inhalation exposures experienced by occupational applicators</w:t>
      </w:r>
      <w:r w:rsidR="007B341B">
        <w:t xml:space="preserve"> </w:t>
      </w:r>
      <w:r w:rsidR="007840B6">
        <w:t>performing</w:t>
      </w:r>
      <w:r w:rsidR="007B341B">
        <w:t xml:space="preserve"> a variety of tasks.</w:t>
      </w:r>
      <w:r w:rsidR="00BD243B">
        <w:t xml:space="preserve"> In this study, we examined eight of the most popular pesticides for control of codling moth in apple orchards.  These pesticides are diluted from their concentrated form into large tanks which are then applied to trees via airblast</w:t>
      </w:r>
      <w:r w:rsidR="001A032F">
        <w:t xml:space="preserve">, therefore the relevant tasks on which the exposures are based in this study are mixing and loading of liquid concentrates, </w:t>
      </w:r>
      <w:r w:rsidR="00F70976">
        <w:t xml:space="preserve">dry flowables, </w:t>
      </w:r>
      <w:r w:rsidR="001A032F">
        <w:t xml:space="preserve">wettable powders, packaged wettable powders, and </w:t>
      </w:r>
      <w:proofErr w:type="spellStart"/>
      <w:r w:rsidR="001A032F">
        <w:t>emulsifiable</w:t>
      </w:r>
      <w:proofErr w:type="spellEnd"/>
      <w:r w:rsidR="001A032F">
        <w:t xml:space="preserve"> concentrates</w:t>
      </w:r>
      <w:r w:rsidR="00F70976">
        <w:t xml:space="preserve">, and open cab airblast applications in tree fruit orchards. </w:t>
      </w:r>
      <w:r w:rsidR="001A032F">
        <w:t xml:space="preserve"> </w:t>
      </w:r>
    </w:p>
    <w:p w14:paraId="2CF1AE76" w14:textId="77777777" w:rsidR="00AA6C02" w:rsidRDefault="00AA6C02">
      <w:r>
        <w:t>Exposure</w:t>
      </w:r>
      <w:r w:rsidR="00422CCF">
        <w:t xml:space="preserve"> rates</w:t>
      </w:r>
      <w:r>
        <w:t xml:space="preserve"> under the EPA methodology are</w:t>
      </w:r>
      <w:r w:rsidR="00422CCF">
        <w:t xml:space="preserve"> in units of micrograms of exposure to the active ingredient per pound of active ingredient used in the task. Occupational exposures were estimated for one eight-hour </w:t>
      </w:r>
      <w:proofErr w:type="spellStart"/>
      <w:r w:rsidR="00422CCF">
        <w:t>day’s worth</w:t>
      </w:r>
      <w:proofErr w:type="spellEnd"/>
      <w:r w:rsidR="00422CCF">
        <w:t xml:space="preserve"> of work based on </w:t>
      </w:r>
      <w:proofErr w:type="gramStart"/>
      <w:r w:rsidR="00422CCF">
        <w:t>a number of</w:t>
      </w:r>
      <w:proofErr w:type="gramEnd"/>
      <w:r w:rsidR="00422CCF">
        <w:t xml:space="preserve"> assumptions about the size of the area that would be covered in one day of pesticide application</w:t>
      </w:r>
      <w:r w:rsidR="00037AA5">
        <w:t xml:space="preserve">, and on the rate of pesticide mass applied to land area for control of the pest of interest. </w:t>
      </w:r>
    </w:p>
    <w:p w14:paraId="4EBEB9C3" w14:textId="77777777" w:rsidR="00CB7925" w:rsidRDefault="00093227">
      <w:r>
        <w:t>Variability distributions of the</w:t>
      </w:r>
      <w:r w:rsidR="00571CC8">
        <w:t xml:space="preserve"> </w:t>
      </w:r>
      <w:r w:rsidR="00CB7925">
        <w:t>dermal pesticide deposition</w:t>
      </w:r>
      <w:r>
        <w:t xml:space="preserve"> were developed for each area of the body</w:t>
      </w:r>
      <w:r w:rsidR="00571CC8">
        <w:t xml:space="preserve"> and for the inhalation </w:t>
      </w:r>
      <w:r w:rsidR="00BA61A7">
        <w:t>filter collections</w:t>
      </w:r>
      <w:r w:rsidR="00571CC8">
        <w:t xml:space="preserve"> within a scenario. Distributions were also developed for the effect of protective clothing and equipment, the pesticide application rates, the size of area applied</w:t>
      </w:r>
      <w:r w:rsidR="00D55712">
        <w:t xml:space="preserve">, and physiological factors such as </w:t>
      </w:r>
      <w:r w:rsidR="00916F4A">
        <w:t>breathing rate</w:t>
      </w:r>
      <w:r w:rsidR="00CB7925">
        <w:t>, skin surface area, body weight,</w:t>
      </w:r>
      <w:r w:rsidR="00916F4A">
        <w:t xml:space="preserve"> and dermal absorption rates for pesticides</w:t>
      </w:r>
      <w:r w:rsidR="00CB7925">
        <w:t xml:space="preserve"> in order to estimate the dermal and inhalation exposure and the absorbed internal dose.</w:t>
      </w:r>
      <w:r w:rsidR="001E2B30">
        <w:t xml:space="preserve"> </w:t>
      </w:r>
      <w:r w:rsidR="00BA61A7">
        <w:t xml:space="preserve"> These factors were combined to adjust the measured pesticide deposition and air filt</w:t>
      </w:r>
      <w:r w:rsidR="001A356F">
        <w:t xml:space="preserve">rate </w:t>
      </w:r>
      <w:r w:rsidR="00BA61A7">
        <w:t xml:space="preserve">to the dose that an adult pesticide applicator </w:t>
      </w:r>
      <w:r w:rsidR="001A356F">
        <w:t xml:space="preserve">would </w:t>
      </w:r>
      <w:r w:rsidR="00912CC9">
        <w:t>receive internally</w:t>
      </w:r>
      <w:r w:rsidR="00920E04">
        <w:t>, using the following</w:t>
      </w:r>
      <w:r w:rsidR="00455F3D">
        <w:t xml:space="preserve"> generalized</w:t>
      </w:r>
      <w:r w:rsidR="00920E04">
        <w:t xml:space="preserve"> formulae</w:t>
      </w:r>
      <w:r w:rsidR="00785559">
        <w:t xml:space="preserve"> per task</w:t>
      </w:r>
      <w:r w:rsidR="00920E04">
        <w:t xml:space="preserve">: </w:t>
      </w:r>
    </w:p>
    <w:p w14:paraId="05E94E5A" w14:textId="77777777" w:rsidR="008B5075" w:rsidRDefault="00FF6F42">
      <m:oMathPara>
        <m:oMath>
          <m:sSub>
            <m:sSubPr>
              <m:ctrlPr>
                <w:rPr>
                  <w:rFonts w:ascii="Cambria Math" w:hAnsi="Cambria Math"/>
                  <w:i/>
                  <w:sz w:val="20"/>
                </w:rPr>
              </m:ctrlPr>
            </m:sSubPr>
            <m:e>
              <m:r>
                <w:rPr>
                  <w:rFonts w:ascii="Cambria Math" w:hAnsi="Cambria Math"/>
                  <w:sz w:val="20"/>
                </w:rPr>
                <m:t>Exposure Rate</m:t>
              </m:r>
            </m:e>
            <m:sub>
              <m:r>
                <w:rPr>
                  <w:rFonts w:ascii="Cambria Math" w:hAnsi="Cambria Math"/>
                  <w:sz w:val="20"/>
                </w:rPr>
                <m:t>area</m:t>
              </m:r>
            </m:sub>
          </m:sSub>
          <m:r>
            <w:rPr>
              <w:rFonts w:ascii="Cambria Math" w:hAnsi="Cambria Math"/>
              <w:sz w:val="20"/>
            </w:rPr>
            <m:t>=</m:t>
          </m:r>
          <m:sSub>
            <m:sSubPr>
              <m:ctrlPr>
                <w:rPr>
                  <w:rFonts w:ascii="Cambria Math" w:hAnsi="Cambria Math"/>
                  <w:i/>
                  <w:sz w:val="20"/>
                </w:rPr>
              </m:ctrlPr>
            </m:sSubPr>
            <m:e>
              <m:r>
                <w:rPr>
                  <w:rFonts w:ascii="Cambria Math" w:hAnsi="Cambria Math"/>
                  <w:sz w:val="20"/>
                </w:rPr>
                <m:t>Deposition Rate</m:t>
              </m:r>
            </m:e>
            <m:sub>
              <m:r>
                <w:rPr>
                  <w:rFonts w:ascii="Cambria Math" w:hAnsi="Cambria Math"/>
                  <w:sz w:val="20"/>
                </w:rPr>
                <m:t>area</m:t>
              </m:r>
            </m:sub>
          </m:sSub>
          <m:r>
            <w:rPr>
              <w:rFonts w:ascii="Cambria Math" w:hAnsi="Cambria Math"/>
              <w:sz w:val="20"/>
            </w:rPr>
            <m:t xml:space="preserve">×Application Rate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lbs</m:t>
                  </m:r>
                </m:num>
                <m:den>
                  <m:r>
                    <w:rPr>
                      <w:rFonts w:ascii="Cambria Math" w:hAnsi="Cambria Math"/>
                      <w:sz w:val="20"/>
                    </w:rPr>
                    <m:t>acre</m:t>
                  </m:r>
                </m:den>
              </m:f>
            </m:e>
          </m:d>
          <m:r>
            <w:rPr>
              <w:rFonts w:ascii="Cambria Math" w:hAnsi="Cambria Math"/>
              <w:sz w:val="20"/>
            </w:rPr>
            <m:t>×Land area/day</m:t>
          </m:r>
        </m:oMath>
      </m:oMathPara>
    </w:p>
    <w:p w14:paraId="626F845F" w14:textId="77777777" w:rsidR="00920E04" w:rsidRPr="00455F3D" w:rsidRDefault="008B5075">
      <w:pPr>
        <w:rPr>
          <w:rFonts w:eastAsiaTheme="minorEastAsia"/>
          <w:sz w:val="20"/>
        </w:rPr>
      </w:pPr>
      <m:oMathPara>
        <m:oMath>
          <m:r>
            <w:rPr>
              <w:rFonts w:ascii="Cambria Math" w:hAnsi="Cambria Math"/>
              <w:sz w:val="20"/>
            </w:rPr>
            <m:t>Total Dermal dose =Dermal absorption fraction ×</m:t>
          </m:r>
          <m:nary>
            <m:naryPr>
              <m:chr m:val="∑"/>
              <m:limLoc m:val="subSup"/>
              <m:supHide m:val="1"/>
              <m:ctrlPr>
                <w:rPr>
                  <w:rFonts w:ascii="Cambria Math" w:hAnsi="Cambria Math"/>
                  <w:i/>
                  <w:sz w:val="20"/>
                </w:rPr>
              </m:ctrlPr>
            </m:naryPr>
            <m:sub>
              <m:eqArr>
                <m:eqArrPr>
                  <m:ctrlPr>
                    <w:rPr>
                      <w:rFonts w:ascii="Cambria Math" w:hAnsi="Cambria Math"/>
                      <w:i/>
                      <w:sz w:val="20"/>
                    </w:rPr>
                  </m:ctrlPr>
                </m:eqArrPr>
                <m:e>
                  <m:r>
                    <w:rPr>
                      <w:rFonts w:ascii="Cambria Math" w:hAnsi="Cambria Math"/>
                      <w:sz w:val="20"/>
                    </w:rPr>
                    <m:t>Body</m:t>
                  </m:r>
                </m:e>
                <m:e>
                  <m:r>
                    <w:rPr>
                      <w:rFonts w:ascii="Cambria Math" w:hAnsi="Cambria Math"/>
                      <w:sz w:val="20"/>
                    </w:rPr>
                    <m:t xml:space="preserve"> areas</m:t>
                  </m:r>
                </m:e>
              </m:eqArr>
            </m:sub>
            <m:sup/>
            <m:e>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Exposure Rate</m:t>
                  </m:r>
                </m:e>
                <m:sub>
                  <m:r>
                    <w:rPr>
                      <w:rFonts w:ascii="Cambria Math" w:hAnsi="Cambria Math"/>
                      <w:sz w:val="20"/>
                    </w:rPr>
                    <m:t>area</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Surface Area</m:t>
                  </m:r>
                </m:e>
                <m:sub>
                  <m:r>
                    <w:rPr>
                      <w:rFonts w:ascii="Cambria Math" w:hAnsi="Cambria Math"/>
                      <w:sz w:val="20"/>
                    </w:rPr>
                    <m:t>area</m:t>
                  </m:r>
                </m:sub>
              </m:sSub>
              <m:r>
                <w:rPr>
                  <w:rFonts w:ascii="Cambria Math" w:hAnsi="Cambria Math"/>
                  <w:sz w:val="20"/>
                </w:rPr>
                <m:t>×</m:t>
              </m:r>
              <m:sSub>
                <m:sSubPr>
                  <m:ctrlPr>
                    <w:rPr>
                      <w:rFonts w:ascii="Cambria Math" w:hAnsi="Cambria Math"/>
                      <w:i/>
                      <w:sz w:val="20"/>
                    </w:rPr>
                  </m:ctrlPr>
                </m:sSubPr>
                <m:e>
                  <m:r>
                    <w:rPr>
                      <w:rFonts w:ascii="Cambria Math" w:hAnsi="Cambria Math"/>
                      <w:sz w:val="20"/>
                    </w:rPr>
                    <m:t xml:space="preserve"> Clothing protection</m:t>
                  </m:r>
                </m:e>
                <m:sub>
                  <m:r>
                    <w:rPr>
                      <w:rFonts w:ascii="Cambria Math" w:hAnsi="Cambria Math"/>
                      <w:sz w:val="20"/>
                    </w:rPr>
                    <m:t>area</m:t>
                  </m:r>
                </m:sub>
              </m:sSub>
              <m:r>
                <w:rPr>
                  <w:rFonts w:ascii="Cambria Math" w:hAnsi="Cambria Math"/>
                  <w:sz w:val="20"/>
                </w:rPr>
                <m:t xml:space="preserve"> × </m:t>
              </m:r>
              <m:sSub>
                <m:sSubPr>
                  <m:ctrlPr>
                    <w:rPr>
                      <w:rFonts w:ascii="Cambria Math" w:hAnsi="Cambria Math"/>
                      <w:i/>
                      <w:sz w:val="20"/>
                    </w:rPr>
                  </m:ctrlPr>
                </m:sSubPr>
                <m:e>
                  <m:r>
                    <w:rPr>
                      <w:rFonts w:ascii="Cambria Math" w:hAnsi="Cambria Math"/>
                      <w:sz w:val="20"/>
                    </w:rPr>
                    <m:t>PPE</m:t>
                  </m:r>
                </m:e>
                <m:sub>
                  <m:r>
                    <w:rPr>
                      <w:rFonts w:ascii="Cambria Math" w:hAnsi="Cambria Math"/>
                      <w:sz w:val="20"/>
                    </w:rPr>
                    <m:t>area</m:t>
                  </m:r>
                </m:sub>
              </m:sSub>
              <m:r>
                <w:rPr>
                  <w:rFonts w:ascii="Cambria Math" w:hAnsi="Cambria Math"/>
                  <w:sz w:val="20"/>
                </w:rPr>
                <m:t>)</m:t>
              </m:r>
            </m:e>
          </m:nary>
        </m:oMath>
      </m:oMathPara>
    </w:p>
    <w:p w14:paraId="6B361AC2" w14:textId="77777777" w:rsidR="00455F3D" w:rsidRPr="00455F3D" w:rsidRDefault="00455F3D" w:rsidP="00455F3D">
      <w:pPr>
        <w:spacing w:after="0" w:line="480" w:lineRule="auto"/>
        <w:jc w:val="center"/>
        <w:rPr>
          <w:rFonts w:ascii="Times New Roman" w:eastAsiaTheme="minorEastAsia" w:hAnsi="Times New Roman" w:cs="Times New Roman"/>
          <w:sz w:val="20"/>
          <w:szCs w:val="24"/>
        </w:rPr>
      </w:pPr>
      <m:oMathPara>
        <m:oMath>
          <m:r>
            <w:rPr>
              <w:rFonts w:ascii="Cambria Math" w:eastAsiaTheme="minorEastAsia" w:hAnsi="Cambria Math"/>
              <w:sz w:val="20"/>
              <w:szCs w:val="24"/>
            </w:rPr>
            <m:t xml:space="preserve">Inhalation Dose= </m:t>
          </m:r>
          <m:f>
            <m:fPr>
              <m:ctrlPr>
                <w:rPr>
                  <w:rFonts w:ascii="Cambria Math" w:hAnsi="Cambria Math" w:cs="Times New Roman"/>
                  <w:i/>
                  <w:sz w:val="20"/>
                  <w:szCs w:val="24"/>
                </w:rPr>
              </m:ctrlPr>
            </m:fPr>
            <m:num>
              <m:r>
                <w:rPr>
                  <w:rFonts w:ascii="Cambria Math" w:hAnsi="Cambria Math" w:cs="Times New Roman"/>
                  <w:sz w:val="20"/>
                  <w:szCs w:val="24"/>
                </w:rPr>
                <m:t>sample mass*inhalation rate</m:t>
              </m:r>
            </m:num>
            <m:den>
              <m:r>
                <w:rPr>
                  <w:rFonts w:ascii="Cambria Math" w:hAnsi="Cambria Math" w:cs="Times New Roman"/>
                  <w:sz w:val="20"/>
                  <w:szCs w:val="24"/>
                </w:rPr>
                <m:t>sampling flow rate*mass active ingredient applied</m:t>
              </m:r>
            </m:den>
          </m:f>
        </m:oMath>
      </m:oMathPara>
    </w:p>
    <w:p w14:paraId="15AD740C" w14:textId="77777777" w:rsidR="00455F3D" w:rsidRDefault="00455F3D">
      <w:pPr>
        <w:rPr>
          <w:rFonts w:eastAsiaTheme="minorEastAsia"/>
        </w:rPr>
      </w:pPr>
      <w:r w:rsidRPr="00455F3D">
        <w:rPr>
          <w:rFonts w:eastAsiaTheme="minorEastAsia"/>
        </w:rPr>
        <w:t xml:space="preserve"> Details on the values used in each equation are described in the previous publication. </w:t>
      </w:r>
    </w:p>
    <w:p w14:paraId="3A49B5AB" w14:textId="77777777" w:rsidR="008F05C6" w:rsidRDefault="00B00AD2">
      <w:pPr>
        <w:rPr>
          <w:rFonts w:eastAsiaTheme="minorEastAsia"/>
        </w:rPr>
      </w:pPr>
      <w:r>
        <w:rPr>
          <w:rFonts w:eastAsiaTheme="minorEastAsia"/>
        </w:rPr>
        <w:t xml:space="preserve">Results: </w:t>
      </w:r>
    </w:p>
    <w:p w14:paraId="38CB3BA3" w14:textId="77777777" w:rsidR="00B00AD2" w:rsidRDefault="00B00AD2">
      <w:pPr>
        <w:rPr>
          <w:rFonts w:eastAsiaTheme="minorEastAsia"/>
        </w:rPr>
      </w:pPr>
      <w:r>
        <w:rPr>
          <w:rFonts w:eastAsiaTheme="minorEastAsia"/>
        </w:rPr>
        <w:lastRenderedPageBreak/>
        <w:t xml:space="preserve">The estimated dose distributions are summarized in the following table and figure. The table also includes the values used in the EPA human health risk assessments for these pesticides for tree fruit applicators and mixers-loaders. </w:t>
      </w:r>
      <w:r w:rsidRPr="00B00AD2">
        <w:rPr>
          <w:rFonts w:eastAsiaTheme="minorEastAsia"/>
        </w:rPr>
        <w:t xml:space="preserve">Total doses for handlers of azinphos methyl ranged from 5.27 ng/kg/day to 3.34 mg/kg/day, with a geometric mean of 2.73 µg/kg/day (GSD = 5.8).  The dermal dose was an average of 97% of the total dose, ranging from 30% to 100%.  Emamectin benzoate doses ranged from 11.31 </w:t>
      </w:r>
      <w:proofErr w:type="spellStart"/>
      <w:r w:rsidRPr="00B00AD2">
        <w:rPr>
          <w:rFonts w:eastAsiaTheme="minorEastAsia"/>
        </w:rPr>
        <w:t>pg</w:t>
      </w:r>
      <w:proofErr w:type="spellEnd"/>
      <w:r w:rsidRPr="00B00AD2">
        <w:rPr>
          <w:rFonts w:eastAsiaTheme="minorEastAsia"/>
        </w:rPr>
        <w:t xml:space="preserve">/kg/day to 0.12 mg/kg/day, with a geometric mean of 0.043 µg/kg/day (GSD = 8.0).  The dermal dose of emamectin benzoate ranged from 0.01% to 100% of the total </w:t>
      </w:r>
      <w:proofErr w:type="gramStart"/>
      <w:r w:rsidRPr="00B00AD2">
        <w:rPr>
          <w:rFonts w:eastAsiaTheme="minorEastAsia"/>
        </w:rPr>
        <w:t>dose, and</w:t>
      </w:r>
      <w:proofErr w:type="gramEnd"/>
      <w:r w:rsidRPr="00B00AD2">
        <w:rPr>
          <w:rFonts w:eastAsiaTheme="minorEastAsia"/>
        </w:rPr>
        <w:t xml:space="preserve"> averaged 65% of the total.  The doses calculated for acetamiprid handlers ranged from 13.19 ng/kg/day to 3.36 mg/kg/day and had a geometric mean of 5.05 µg/kg/day (GSD 6.2).  The acetamiprid dermal dose ranged from 18% to 100%, mean of 87%, of the total dose.  </w:t>
      </w:r>
    </w:p>
    <w:p w14:paraId="67BB9FDF" w14:textId="77777777" w:rsidR="00FE0EFB" w:rsidRDefault="00FE0EFB">
      <w:pPr>
        <w:rPr>
          <w:rFonts w:eastAsiaTheme="minorEastAsia"/>
        </w:rPr>
      </w:pPr>
    </w:p>
    <w:p w14:paraId="23F12F0A" w14:textId="77777777" w:rsidR="00FE0EFB" w:rsidRDefault="00B00AD2" w:rsidP="00FE0EFB">
      <w:pPr>
        <w:keepNext/>
      </w:pPr>
      <w:r>
        <w:rPr>
          <w:noProof/>
        </w:rPr>
        <w:drawing>
          <wp:inline distT="0" distB="0" distL="0" distR="0" wp14:anchorId="13E72269" wp14:editId="251FD8E8">
            <wp:extent cx="6063586"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360" cy="2699031"/>
                    </a:xfrm>
                    <a:prstGeom prst="rect">
                      <a:avLst/>
                    </a:prstGeom>
                    <a:noFill/>
                    <a:ln>
                      <a:noFill/>
                    </a:ln>
                  </pic:spPr>
                </pic:pic>
              </a:graphicData>
            </a:graphic>
          </wp:inline>
        </w:drawing>
      </w:r>
    </w:p>
    <w:p w14:paraId="76A6643A" w14:textId="2E69B21F" w:rsidR="00B00AD2" w:rsidRDefault="00FE0EFB" w:rsidP="00FE0EFB">
      <w:pPr>
        <w:pStyle w:val="Caption"/>
      </w:pPr>
      <w:r>
        <w:t xml:space="preserve">Figure </w:t>
      </w:r>
      <w:r w:rsidR="00FF6F42">
        <w:rPr>
          <w:noProof/>
        </w:rPr>
        <w:fldChar w:fldCharType="begin"/>
      </w:r>
      <w:r w:rsidR="00FF6F42">
        <w:rPr>
          <w:noProof/>
        </w:rPr>
        <w:instrText xml:space="preserve"> SEQ Figure \* ARABIC </w:instrText>
      </w:r>
      <w:r w:rsidR="00FF6F42">
        <w:rPr>
          <w:noProof/>
        </w:rPr>
        <w:fldChar w:fldCharType="separate"/>
      </w:r>
      <w:r>
        <w:rPr>
          <w:noProof/>
        </w:rPr>
        <w:t>1</w:t>
      </w:r>
      <w:r w:rsidR="00FF6F42">
        <w:rPr>
          <w:noProof/>
        </w:rPr>
        <w:fldChar w:fldCharType="end"/>
      </w:r>
      <w:r>
        <w:t xml:space="preserve">: </w:t>
      </w:r>
      <w:r w:rsidRPr="00670DE0">
        <w:t>Probabilistic dose estimation for one day’s dose following mixing and loading and application for each pesticide.  The vertical lines represent the dose used in the human health risk assessment. The shaded portions represent the 95th percentile of the uncertainty simulations surrounding the median estimate of dose.</w:t>
      </w:r>
    </w:p>
    <w:p w14:paraId="27E3086F" w14:textId="45CD2FC7" w:rsidR="00FF6F42" w:rsidRPr="00FF6F42" w:rsidRDefault="00FF6F42" w:rsidP="00FF6F42"/>
    <w:p w14:paraId="10BF8FE1" w14:textId="77777777" w:rsidR="00FF6F42" w:rsidRDefault="00FE0EFB">
      <w:pPr>
        <w:rPr>
          <w:i/>
          <w:sz w:val="24"/>
        </w:rPr>
        <w:sectPr w:rsidR="00FF6F42" w:rsidSect="00FE0EFB">
          <w:pgSz w:w="12240" w:h="15840"/>
          <w:pgMar w:top="1440" w:right="1440" w:bottom="1440" w:left="1440" w:header="720" w:footer="720" w:gutter="0"/>
          <w:cols w:space="720"/>
          <w:docGrid w:linePitch="360"/>
        </w:sectPr>
      </w:pPr>
      <w:r>
        <w:rPr>
          <w:i/>
          <w:sz w:val="24"/>
        </w:rPr>
        <w:br w:type="page"/>
      </w:r>
    </w:p>
    <w:p w14:paraId="62ADFFFE" w14:textId="77777777" w:rsidR="00FF6F42" w:rsidRDefault="00FF6F42">
      <w:pPr>
        <w:rPr>
          <w:iCs/>
          <w:sz w:val="24"/>
          <w:szCs w:val="18"/>
        </w:rPr>
      </w:pPr>
      <w:r>
        <w:rPr>
          <w:noProof/>
        </w:rPr>
        <w:lastRenderedPageBreak/>
        <w:drawing>
          <wp:inline distT="0" distB="0" distL="0" distR="0" wp14:anchorId="79C60C17" wp14:editId="7931EB4C">
            <wp:extent cx="8542903" cy="3648075"/>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8570205" cy="3659734"/>
                    </a:xfrm>
                    <a:prstGeom prst="rect">
                      <a:avLst/>
                    </a:prstGeom>
                  </pic:spPr>
                </pic:pic>
              </a:graphicData>
            </a:graphic>
          </wp:inline>
        </w:drawing>
      </w:r>
    </w:p>
    <w:p w14:paraId="3D06D961" w14:textId="77777777" w:rsidR="00FF6F42" w:rsidRDefault="00FF6F42">
      <w:pPr>
        <w:rPr>
          <w:iCs/>
          <w:sz w:val="24"/>
          <w:szCs w:val="18"/>
        </w:rPr>
      </w:pPr>
    </w:p>
    <w:p w14:paraId="4ACE3155" w14:textId="47501E6B" w:rsidR="00FF6F42" w:rsidRDefault="00FF6F42" w:rsidP="00FF6F42">
      <w:pPr>
        <w:pStyle w:val="Caption"/>
        <w:rPr>
          <w:sz w:val="20"/>
        </w:rPr>
      </w:pPr>
      <w:r w:rsidRPr="00CC52AE">
        <w:rPr>
          <w:sz w:val="20"/>
        </w:rPr>
        <w:t xml:space="preserve">Figure </w:t>
      </w:r>
      <w:r>
        <w:rPr>
          <w:sz w:val="20"/>
        </w:rPr>
        <w:t>2</w:t>
      </w:r>
      <w:bookmarkStart w:id="0" w:name="_GoBack"/>
      <w:bookmarkEnd w:id="0"/>
      <w:r w:rsidRPr="00CC52AE">
        <w:rPr>
          <w:sz w:val="20"/>
        </w:rPr>
        <w:t xml:space="preserve">:  Cumulative distributions of pesticide doses calculated as previously described with associated (100x) safety factor adjusted benchmark doses used to calculate exceedance fractions for pesticide handlers working with each compound, for all associated health impact categories. </w:t>
      </w:r>
    </w:p>
    <w:p w14:paraId="260FD026" w14:textId="484292CF" w:rsidR="00FF6F42" w:rsidRDefault="00FF6F42">
      <w:pPr>
        <w:rPr>
          <w:iCs/>
          <w:sz w:val="24"/>
          <w:szCs w:val="18"/>
        </w:rPr>
        <w:sectPr w:rsidR="00FF6F42" w:rsidSect="00FF6F42">
          <w:pgSz w:w="15840" w:h="12240" w:orient="landscape"/>
          <w:pgMar w:top="1440" w:right="1440" w:bottom="1440" w:left="1440" w:header="720" w:footer="720" w:gutter="0"/>
          <w:cols w:space="720"/>
          <w:docGrid w:linePitch="360"/>
        </w:sectPr>
      </w:pPr>
    </w:p>
    <w:p w14:paraId="685FFDDA" w14:textId="1FFF73F2" w:rsidR="00FE0EFB" w:rsidRDefault="00FE0EFB">
      <w:pPr>
        <w:rPr>
          <w:iCs/>
          <w:sz w:val="24"/>
          <w:szCs w:val="18"/>
        </w:rPr>
      </w:pPr>
    </w:p>
    <w:p w14:paraId="551C6BA8" w14:textId="77777777" w:rsidR="00B00AD2" w:rsidRPr="003072A7" w:rsidRDefault="00B00AD2" w:rsidP="00B00AD2">
      <w:pPr>
        <w:pStyle w:val="Caption"/>
        <w:keepNext/>
        <w:spacing w:after="0"/>
        <w:rPr>
          <w:i w:val="0"/>
          <w:color w:val="auto"/>
          <w:sz w:val="24"/>
        </w:rPr>
      </w:pPr>
      <w:r w:rsidRPr="003072A7">
        <w:rPr>
          <w:i w:val="0"/>
          <w:color w:val="auto"/>
          <w:sz w:val="24"/>
        </w:rPr>
        <w:t xml:space="preserve">Table </w:t>
      </w:r>
      <w:r w:rsidR="00FE0EFB">
        <w:rPr>
          <w:i w:val="0"/>
          <w:color w:val="auto"/>
          <w:sz w:val="24"/>
        </w:rPr>
        <w:t>1</w:t>
      </w:r>
      <w:r w:rsidRPr="003072A7">
        <w:rPr>
          <w:i w:val="0"/>
          <w:color w:val="auto"/>
          <w:sz w:val="24"/>
        </w:rPr>
        <w:t>:  Exceedance fractions</w:t>
      </w:r>
      <w:r>
        <w:rPr>
          <w:i w:val="0"/>
          <w:color w:val="auto"/>
          <w:sz w:val="24"/>
        </w:rPr>
        <w:t>, expressed as population percentages,</w:t>
      </w:r>
      <w:r w:rsidRPr="003072A7">
        <w:rPr>
          <w:i w:val="0"/>
          <w:color w:val="auto"/>
          <w:sz w:val="24"/>
        </w:rPr>
        <w:t xml:space="preserve"> of probabilistic estimates</w:t>
      </w:r>
      <w:r>
        <w:rPr>
          <w:i w:val="0"/>
          <w:color w:val="auto"/>
          <w:sz w:val="24"/>
        </w:rPr>
        <w:t xml:space="preserve"> and summary statistics</w:t>
      </w:r>
      <w:r w:rsidRPr="003072A7">
        <w:rPr>
          <w:i w:val="0"/>
          <w:color w:val="auto"/>
          <w:sz w:val="24"/>
        </w:rPr>
        <w:t xml:space="preserve"> for EPA </w:t>
      </w:r>
      <w:r>
        <w:rPr>
          <w:i w:val="0"/>
          <w:color w:val="auto"/>
          <w:sz w:val="24"/>
        </w:rPr>
        <w:t>Human Health Risk (</w:t>
      </w:r>
      <w:r w:rsidRPr="003072A7">
        <w:rPr>
          <w:i w:val="0"/>
          <w:color w:val="auto"/>
          <w:sz w:val="24"/>
        </w:rPr>
        <w:t>HHR</w:t>
      </w:r>
      <w:r>
        <w:rPr>
          <w:i w:val="0"/>
          <w:color w:val="auto"/>
          <w:sz w:val="24"/>
        </w:rPr>
        <w:t>)</w:t>
      </w:r>
      <w:r w:rsidRPr="003072A7">
        <w:rPr>
          <w:i w:val="0"/>
          <w:color w:val="auto"/>
          <w:sz w:val="24"/>
        </w:rPr>
        <w:t xml:space="preserve"> deterministic values of dose</w:t>
      </w:r>
      <w:r>
        <w:rPr>
          <w:i w:val="0"/>
          <w:color w:val="auto"/>
          <w:sz w:val="24"/>
        </w:rPr>
        <w:t xml:space="preserve"> and</w:t>
      </w:r>
      <w:r w:rsidRPr="003072A7">
        <w:rPr>
          <w:i w:val="0"/>
          <w:color w:val="auto"/>
          <w:sz w:val="24"/>
        </w:rPr>
        <w:t xml:space="preserve"> margin of exposure (MOE) and level of concern (LOC), and NOAELs identified from relevant studies of neurotoxicity.</w:t>
      </w:r>
    </w:p>
    <w:tbl>
      <w:tblPr>
        <w:tblW w:w="10795" w:type="dxa"/>
        <w:tblLook w:val="04A0" w:firstRow="1" w:lastRow="0" w:firstColumn="1" w:lastColumn="0" w:noHBand="0" w:noVBand="1"/>
      </w:tblPr>
      <w:tblGrid>
        <w:gridCol w:w="1435"/>
        <w:gridCol w:w="1374"/>
        <w:gridCol w:w="1416"/>
        <w:gridCol w:w="1169"/>
        <w:gridCol w:w="1343"/>
        <w:gridCol w:w="1268"/>
        <w:gridCol w:w="1440"/>
        <w:gridCol w:w="1350"/>
      </w:tblGrid>
      <w:tr w:rsidR="00B00AD2" w:rsidRPr="003072A7" w14:paraId="59351E41" w14:textId="77777777" w:rsidTr="00C1017F">
        <w:trPr>
          <w:trHeight w:val="1224"/>
        </w:trPr>
        <w:tc>
          <w:tcPr>
            <w:tcW w:w="1435" w:type="dxa"/>
            <w:tcBorders>
              <w:top w:val="single" w:sz="4" w:space="0" w:color="auto"/>
              <w:left w:val="single" w:sz="4" w:space="0" w:color="auto"/>
              <w:bottom w:val="single" w:sz="4" w:space="0" w:color="auto"/>
              <w:right w:val="nil"/>
            </w:tcBorders>
            <w:shd w:val="clear" w:color="auto" w:fill="auto"/>
            <w:noWrap/>
            <w:vAlign w:val="bottom"/>
            <w:hideMark/>
          </w:tcPr>
          <w:p w14:paraId="3E5B01E5" w14:textId="77777777" w:rsidR="00B00AD2" w:rsidRPr="003072A7" w:rsidRDefault="00B00AD2" w:rsidP="00C1017F">
            <w:pPr>
              <w:rPr>
                <w:rFonts w:ascii="Calibri" w:hAnsi="Calibri"/>
              </w:rPr>
            </w:pPr>
            <w:r w:rsidRPr="003072A7">
              <w:rPr>
                <w:rFonts w:ascii="Calibri" w:hAnsi="Calibri"/>
              </w:rPr>
              <w:t> </w:t>
            </w:r>
          </w:p>
        </w:tc>
        <w:tc>
          <w:tcPr>
            <w:tcW w:w="1374" w:type="dxa"/>
            <w:tcBorders>
              <w:top w:val="single" w:sz="4" w:space="0" w:color="auto"/>
              <w:left w:val="nil"/>
              <w:bottom w:val="single" w:sz="4" w:space="0" w:color="auto"/>
              <w:right w:val="nil"/>
            </w:tcBorders>
            <w:shd w:val="clear" w:color="auto" w:fill="auto"/>
            <w:vAlign w:val="center"/>
            <w:hideMark/>
          </w:tcPr>
          <w:p w14:paraId="44647D51" w14:textId="77777777" w:rsidR="00B00AD2" w:rsidRPr="003072A7" w:rsidRDefault="00B00AD2" w:rsidP="00C1017F">
            <w:pPr>
              <w:jc w:val="center"/>
              <w:rPr>
                <w:rFonts w:ascii="Calibri" w:hAnsi="Calibri"/>
              </w:rPr>
            </w:pPr>
            <w:r w:rsidRPr="003072A7">
              <w:rPr>
                <w:rFonts w:ascii="Calibri" w:hAnsi="Calibri"/>
              </w:rPr>
              <w:t>NOAEL (µg/kg/day)</w:t>
            </w:r>
          </w:p>
        </w:tc>
        <w:tc>
          <w:tcPr>
            <w:tcW w:w="1416" w:type="dxa"/>
            <w:tcBorders>
              <w:top w:val="single" w:sz="4" w:space="0" w:color="auto"/>
              <w:left w:val="nil"/>
              <w:bottom w:val="single" w:sz="4" w:space="0" w:color="auto"/>
              <w:right w:val="nil"/>
            </w:tcBorders>
            <w:shd w:val="clear" w:color="auto" w:fill="auto"/>
            <w:vAlign w:val="center"/>
            <w:hideMark/>
          </w:tcPr>
          <w:p w14:paraId="5E285F12" w14:textId="77777777" w:rsidR="00B00AD2" w:rsidRPr="003072A7" w:rsidRDefault="00B00AD2" w:rsidP="00C1017F">
            <w:pPr>
              <w:jc w:val="center"/>
              <w:rPr>
                <w:rFonts w:ascii="Calibri" w:hAnsi="Calibri"/>
              </w:rPr>
            </w:pPr>
            <w:r w:rsidRPr="003072A7">
              <w:rPr>
                <w:rFonts w:ascii="Calibri" w:hAnsi="Calibri"/>
              </w:rPr>
              <w:t xml:space="preserve">EPA HHR </w:t>
            </w:r>
            <w:r>
              <w:rPr>
                <w:rFonts w:ascii="Calibri" w:hAnsi="Calibri"/>
              </w:rPr>
              <w:t xml:space="preserve">deterministic </w:t>
            </w:r>
            <w:r w:rsidRPr="003072A7">
              <w:rPr>
                <w:rFonts w:ascii="Calibri" w:hAnsi="Calibri"/>
              </w:rPr>
              <w:t>dose (µg/kg/day)</w:t>
            </w:r>
          </w:p>
        </w:tc>
        <w:tc>
          <w:tcPr>
            <w:tcW w:w="1169" w:type="dxa"/>
            <w:tcBorders>
              <w:top w:val="single" w:sz="4" w:space="0" w:color="auto"/>
              <w:left w:val="nil"/>
              <w:bottom w:val="single" w:sz="4" w:space="0" w:color="auto"/>
              <w:right w:val="nil"/>
            </w:tcBorders>
            <w:vAlign w:val="center"/>
          </w:tcPr>
          <w:p w14:paraId="4DD41CCA" w14:textId="77777777" w:rsidR="00B00AD2" w:rsidRPr="003072A7" w:rsidRDefault="00B00AD2" w:rsidP="00C1017F">
            <w:pPr>
              <w:jc w:val="center"/>
              <w:rPr>
                <w:rFonts w:ascii="Calibri" w:hAnsi="Calibri"/>
              </w:rPr>
            </w:pPr>
            <w:r w:rsidRPr="00F73476">
              <w:t>EPA HHR estimated MOE</w:t>
            </w:r>
          </w:p>
        </w:tc>
        <w:tc>
          <w:tcPr>
            <w:tcW w:w="1343" w:type="dxa"/>
            <w:tcBorders>
              <w:top w:val="single" w:sz="4" w:space="0" w:color="auto"/>
              <w:left w:val="nil"/>
              <w:bottom w:val="single" w:sz="4" w:space="0" w:color="auto"/>
              <w:right w:val="nil"/>
            </w:tcBorders>
          </w:tcPr>
          <w:p w14:paraId="5D6156C2" w14:textId="77777777" w:rsidR="00B00AD2" w:rsidRDefault="00B00AD2" w:rsidP="00C1017F">
            <w:pPr>
              <w:rPr>
                <w:rFonts w:ascii="Calibri" w:hAnsi="Calibri"/>
              </w:rPr>
            </w:pPr>
          </w:p>
          <w:p w14:paraId="7A4A4776" w14:textId="77777777" w:rsidR="00B00AD2" w:rsidRPr="003072A7" w:rsidRDefault="00B00AD2" w:rsidP="00C1017F">
            <w:pPr>
              <w:jc w:val="center"/>
              <w:rPr>
                <w:rFonts w:ascii="Calibri" w:hAnsi="Calibri"/>
              </w:rPr>
            </w:pPr>
            <w:r w:rsidRPr="00E95025">
              <w:rPr>
                <w:rFonts w:ascii="Calibri" w:hAnsi="Calibri"/>
              </w:rPr>
              <w:t>EPA Levels of concern (LOCs) used to evaluate MOE</w:t>
            </w:r>
          </w:p>
        </w:tc>
        <w:tc>
          <w:tcPr>
            <w:tcW w:w="1268" w:type="dxa"/>
            <w:tcBorders>
              <w:top w:val="single" w:sz="4" w:space="0" w:color="auto"/>
              <w:left w:val="nil"/>
              <w:bottom w:val="single" w:sz="4" w:space="0" w:color="auto"/>
              <w:right w:val="nil"/>
            </w:tcBorders>
            <w:vAlign w:val="center"/>
          </w:tcPr>
          <w:p w14:paraId="0EA464CB" w14:textId="77777777" w:rsidR="00B00AD2" w:rsidRPr="003072A7" w:rsidRDefault="00B00AD2" w:rsidP="00C1017F">
            <w:pPr>
              <w:jc w:val="center"/>
              <w:rPr>
                <w:rFonts w:ascii="Calibri" w:hAnsi="Calibri"/>
              </w:rPr>
            </w:pPr>
            <w:r>
              <w:rPr>
                <w:rFonts w:ascii="Arial" w:hAnsi="Arial" w:cs="Arial"/>
                <w:color w:val="222222"/>
                <w:sz w:val="19"/>
                <w:szCs w:val="19"/>
                <w:shd w:val="clear" w:color="auto" w:fill="FFFFFF"/>
              </w:rPr>
              <w:t>Mean of probabilistic dose distribution</w:t>
            </w:r>
            <w:r w:rsidRPr="003072A7">
              <w:rPr>
                <w:rFonts w:ascii="Calibri" w:hAnsi="Calibri"/>
              </w:rPr>
              <w:t xml:space="preserve"> (µg/kg/day)</w:t>
            </w:r>
          </w:p>
        </w:tc>
        <w:tc>
          <w:tcPr>
            <w:tcW w:w="1440" w:type="dxa"/>
            <w:tcBorders>
              <w:top w:val="single" w:sz="4" w:space="0" w:color="auto"/>
              <w:left w:val="nil"/>
              <w:bottom w:val="single" w:sz="4" w:space="0" w:color="auto"/>
              <w:right w:val="nil"/>
            </w:tcBorders>
            <w:shd w:val="clear" w:color="auto" w:fill="auto"/>
            <w:vAlign w:val="center"/>
            <w:hideMark/>
          </w:tcPr>
          <w:p w14:paraId="53BB7B03" w14:textId="77777777" w:rsidR="00B00AD2" w:rsidRPr="003072A7" w:rsidRDefault="00B00AD2" w:rsidP="00C1017F">
            <w:pPr>
              <w:jc w:val="center"/>
              <w:rPr>
                <w:rFonts w:ascii="Calibri" w:hAnsi="Calibri"/>
              </w:rPr>
            </w:pPr>
            <w:r>
              <w:rPr>
                <w:rFonts w:ascii="Arial" w:hAnsi="Arial" w:cs="Arial"/>
                <w:color w:val="222222"/>
                <w:sz w:val="19"/>
                <w:szCs w:val="19"/>
                <w:shd w:val="clear" w:color="auto" w:fill="FFFFFF"/>
              </w:rPr>
              <w:t>% (95% C.I.) of probabilistic dose distribution greater than HHR deterministic dose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6B15ED" w14:textId="77777777" w:rsidR="00B00AD2" w:rsidRPr="003072A7" w:rsidRDefault="00B00AD2" w:rsidP="00C1017F">
            <w:pPr>
              <w:jc w:val="center"/>
              <w:rPr>
                <w:rFonts w:ascii="Calibri" w:hAnsi="Calibri"/>
              </w:rPr>
            </w:pPr>
            <w:r>
              <w:rPr>
                <w:rFonts w:ascii="Arial" w:hAnsi="Arial" w:cs="Arial"/>
                <w:color w:val="222222"/>
                <w:sz w:val="19"/>
                <w:szCs w:val="19"/>
                <w:shd w:val="clear" w:color="auto" w:fill="FFFFFF"/>
              </w:rPr>
              <w:t>% (95% C.I.) of probabilistic MOE distribution beyond (less than) LOC</w:t>
            </w:r>
            <w:r w:rsidRPr="003072A7">
              <w:rPr>
                <w:rFonts w:ascii="Calibri" w:hAnsi="Calibri"/>
                <w:vertAlign w:val="superscript"/>
              </w:rPr>
              <w:t>‡</w:t>
            </w:r>
          </w:p>
        </w:tc>
      </w:tr>
      <w:tr w:rsidR="00B00AD2" w:rsidRPr="00B82C72" w14:paraId="70FC148B"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65D698CD" w14:textId="77777777" w:rsidR="00B00AD2" w:rsidRPr="00B82C72" w:rsidRDefault="00B00AD2" w:rsidP="00C1017F">
            <w:pPr>
              <w:rPr>
                <w:rFonts w:ascii="Calibri" w:hAnsi="Calibri"/>
                <w:color w:val="000000"/>
              </w:rPr>
            </w:pPr>
            <w:r w:rsidRPr="00B82C72">
              <w:rPr>
                <w:rFonts w:ascii="Calibri" w:hAnsi="Calibri"/>
                <w:color w:val="000000"/>
              </w:rPr>
              <w:t>AZM</w:t>
            </w:r>
          </w:p>
        </w:tc>
        <w:tc>
          <w:tcPr>
            <w:tcW w:w="1374" w:type="dxa"/>
            <w:tcBorders>
              <w:top w:val="nil"/>
              <w:left w:val="nil"/>
              <w:bottom w:val="nil"/>
              <w:right w:val="nil"/>
            </w:tcBorders>
            <w:shd w:val="clear" w:color="auto" w:fill="auto"/>
            <w:noWrap/>
            <w:vAlign w:val="bottom"/>
            <w:hideMark/>
          </w:tcPr>
          <w:p w14:paraId="74B0CD9B" w14:textId="77777777" w:rsidR="00B00AD2" w:rsidRPr="00B82C72" w:rsidRDefault="00B00AD2" w:rsidP="00C1017F">
            <w:pPr>
              <w:jc w:val="center"/>
              <w:rPr>
                <w:rFonts w:ascii="Calibri" w:hAnsi="Calibri"/>
                <w:color w:val="000000"/>
              </w:rPr>
            </w:pPr>
            <w:r w:rsidRPr="00B82C72">
              <w:rPr>
                <w:rFonts w:ascii="Calibri" w:hAnsi="Calibri"/>
                <w:color w:val="000000"/>
              </w:rPr>
              <w:t>150</w:t>
            </w:r>
          </w:p>
        </w:tc>
        <w:tc>
          <w:tcPr>
            <w:tcW w:w="1416" w:type="dxa"/>
            <w:tcBorders>
              <w:top w:val="nil"/>
              <w:left w:val="nil"/>
              <w:bottom w:val="nil"/>
              <w:right w:val="nil"/>
            </w:tcBorders>
            <w:shd w:val="clear" w:color="auto" w:fill="auto"/>
            <w:noWrap/>
            <w:vAlign w:val="bottom"/>
            <w:hideMark/>
          </w:tcPr>
          <w:p w14:paraId="3DCCAB0B" w14:textId="77777777" w:rsidR="00B00AD2" w:rsidRPr="00B82C72" w:rsidRDefault="00B00AD2" w:rsidP="00C1017F">
            <w:pPr>
              <w:jc w:val="center"/>
              <w:rPr>
                <w:rFonts w:ascii="Calibri" w:hAnsi="Calibri"/>
                <w:color w:val="000000"/>
              </w:rPr>
            </w:pPr>
            <w:r w:rsidRPr="00B82C72">
              <w:rPr>
                <w:rFonts w:ascii="Calibri" w:hAnsi="Calibri"/>
                <w:color w:val="000000"/>
              </w:rPr>
              <w:t>8.33</w:t>
            </w:r>
            <w:r w:rsidRPr="00B25140">
              <w:rPr>
                <w:rFonts w:ascii="Calibri" w:hAnsi="Calibri"/>
                <w:color w:val="000000"/>
                <w:vertAlign w:val="superscript"/>
              </w:rPr>
              <w:t>†</w:t>
            </w:r>
          </w:p>
        </w:tc>
        <w:tc>
          <w:tcPr>
            <w:tcW w:w="1169" w:type="dxa"/>
            <w:tcBorders>
              <w:top w:val="nil"/>
              <w:left w:val="nil"/>
              <w:bottom w:val="nil"/>
              <w:right w:val="nil"/>
            </w:tcBorders>
          </w:tcPr>
          <w:p w14:paraId="6FCAA906" w14:textId="77777777" w:rsidR="00B00AD2" w:rsidRPr="00B82C72" w:rsidRDefault="00B00AD2" w:rsidP="00C1017F">
            <w:pPr>
              <w:jc w:val="center"/>
              <w:rPr>
                <w:rFonts w:ascii="Lucida Console" w:hAnsi="Lucida Console"/>
                <w:color w:val="000000"/>
                <w:sz w:val="20"/>
                <w:szCs w:val="20"/>
              </w:rPr>
            </w:pPr>
            <w:r w:rsidRPr="00F73476">
              <w:t xml:space="preserve">18 </w:t>
            </w:r>
          </w:p>
        </w:tc>
        <w:tc>
          <w:tcPr>
            <w:tcW w:w="1343" w:type="dxa"/>
            <w:tcBorders>
              <w:top w:val="nil"/>
              <w:left w:val="nil"/>
              <w:bottom w:val="nil"/>
              <w:right w:val="nil"/>
            </w:tcBorders>
          </w:tcPr>
          <w:p w14:paraId="4CC337D3" w14:textId="77777777" w:rsidR="00B00AD2" w:rsidRPr="00B82C72" w:rsidRDefault="00B00AD2" w:rsidP="00C1017F">
            <w:pPr>
              <w:jc w:val="center"/>
              <w:rPr>
                <w:rFonts w:ascii="Calibri" w:hAnsi="Calibri"/>
                <w:color w:val="000000"/>
              </w:rPr>
            </w:pPr>
            <w:r>
              <w:rPr>
                <w:rFonts w:ascii="Calibri" w:hAnsi="Calibri"/>
                <w:color w:val="000000"/>
              </w:rPr>
              <w:t>100</w:t>
            </w:r>
          </w:p>
        </w:tc>
        <w:tc>
          <w:tcPr>
            <w:tcW w:w="1268" w:type="dxa"/>
            <w:tcBorders>
              <w:top w:val="nil"/>
              <w:left w:val="nil"/>
              <w:bottom w:val="nil"/>
              <w:right w:val="nil"/>
            </w:tcBorders>
            <w:vAlign w:val="bottom"/>
          </w:tcPr>
          <w:p w14:paraId="7841822D" w14:textId="77777777" w:rsidR="00B00AD2" w:rsidRPr="00B82C72" w:rsidRDefault="00B00AD2" w:rsidP="00C1017F">
            <w:pPr>
              <w:jc w:val="center"/>
              <w:rPr>
                <w:rFonts w:ascii="Lucida Console" w:hAnsi="Lucida Console"/>
                <w:color w:val="000000"/>
                <w:sz w:val="20"/>
                <w:szCs w:val="20"/>
              </w:rPr>
            </w:pPr>
            <w:r w:rsidRPr="00B82C72">
              <w:rPr>
                <w:rFonts w:ascii="Calibri" w:hAnsi="Calibri"/>
                <w:color w:val="000000"/>
              </w:rPr>
              <w:t>18.3</w:t>
            </w:r>
          </w:p>
        </w:tc>
        <w:tc>
          <w:tcPr>
            <w:tcW w:w="1440" w:type="dxa"/>
            <w:tcBorders>
              <w:top w:val="nil"/>
              <w:left w:val="nil"/>
              <w:bottom w:val="nil"/>
              <w:right w:val="nil"/>
            </w:tcBorders>
            <w:shd w:val="clear" w:color="auto" w:fill="auto"/>
            <w:noWrap/>
            <w:vAlign w:val="center"/>
            <w:hideMark/>
          </w:tcPr>
          <w:p w14:paraId="042BE11A" w14:textId="77777777" w:rsidR="00B00AD2" w:rsidRPr="00E505BC" w:rsidRDefault="00B00AD2" w:rsidP="00C1017F">
            <w:pPr>
              <w:jc w:val="center"/>
              <w:rPr>
                <w:rFonts w:cstheme="minorHAnsi"/>
                <w:color w:val="000000"/>
                <w:sz w:val="20"/>
                <w:szCs w:val="20"/>
              </w:rPr>
            </w:pPr>
            <w:r w:rsidRPr="00E505BC">
              <w:rPr>
                <w:rFonts w:cstheme="minorHAnsi"/>
                <w:color w:val="000000"/>
                <w:sz w:val="20"/>
                <w:szCs w:val="20"/>
              </w:rPr>
              <w:t xml:space="preserve">27(19,38) </w:t>
            </w:r>
          </w:p>
        </w:tc>
        <w:tc>
          <w:tcPr>
            <w:tcW w:w="1350" w:type="dxa"/>
            <w:tcBorders>
              <w:top w:val="nil"/>
              <w:left w:val="nil"/>
              <w:bottom w:val="nil"/>
              <w:right w:val="single" w:sz="4" w:space="0" w:color="auto"/>
            </w:tcBorders>
            <w:shd w:val="clear" w:color="auto" w:fill="auto"/>
            <w:noWrap/>
            <w:vAlign w:val="center"/>
            <w:hideMark/>
          </w:tcPr>
          <w:p w14:paraId="22675387" w14:textId="77777777" w:rsidR="00B00AD2" w:rsidRPr="00E505BC" w:rsidRDefault="00B00AD2" w:rsidP="00C1017F">
            <w:pPr>
              <w:jc w:val="center"/>
              <w:rPr>
                <w:rFonts w:cstheme="minorHAnsi"/>
                <w:color w:val="000000"/>
                <w:szCs w:val="20"/>
              </w:rPr>
            </w:pPr>
            <w:r w:rsidRPr="00E505BC">
              <w:rPr>
                <w:rFonts w:cstheme="minorHAnsi"/>
                <w:color w:val="000000"/>
                <w:szCs w:val="20"/>
              </w:rPr>
              <w:t xml:space="preserve">54(42,64) </w:t>
            </w:r>
          </w:p>
        </w:tc>
      </w:tr>
      <w:tr w:rsidR="00B00AD2" w:rsidRPr="00B82C72" w14:paraId="2C591970"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11AD02AC" w14:textId="77777777" w:rsidR="00B00AD2" w:rsidRPr="00B82C72" w:rsidRDefault="00B00AD2" w:rsidP="00C1017F">
            <w:pPr>
              <w:jc w:val="right"/>
              <w:rPr>
                <w:rFonts w:ascii="Calibri" w:hAnsi="Calibri"/>
                <w:color w:val="000000"/>
              </w:rPr>
            </w:pPr>
            <w:r w:rsidRPr="00B82C72">
              <w:rPr>
                <w:rFonts w:ascii="Calibri" w:hAnsi="Calibri"/>
                <w:color w:val="000000"/>
              </w:rPr>
              <w:t>Dermal</w:t>
            </w:r>
          </w:p>
        </w:tc>
        <w:tc>
          <w:tcPr>
            <w:tcW w:w="1374" w:type="dxa"/>
            <w:tcBorders>
              <w:top w:val="nil"/>
              <w:left w:val="nil"/>
              <w:bottom w:val="nil"/>
              <w:right w:val="nil"/>
            </w:tcBorders>
            <w:shd w:val="clear" w:color="auto" w:fill="auto"/>
            <w:noWrap/>
            <w:vAlign w:val="bottom"/>
            <w:hideMark/>
          </w:tcPr>
          <w:p w14:paraId="354C42CC" w14:textId="77777777" w:rsidR="00B00AD2" w:rsidRPr="00B82C72" w:rsidRDefault="00B00AD2" w:rsidP="00C1017F">
            <w:pPr>
              <w:jc w:val="center"/>
              <w:rPr>
                <w:rFonts w:ascii="Calibri" w:hAnsi="Calibri"/>
                <w:color w:val="000000"/>
              </w:rPr>
            </w:pPr>
            <w:r w:rsidRPr="00B82C72">
              <w:rPr>
                <w:rFonts w:ascii="Calibri" w:hAnsi="Calibri"/>
                <w:color w:val="000000"/>
              </w:rPr>
              <w:t>560</w:t>
            </w:r>
          </w:p>
        </w:tc>
        <w:tc>
          <w:tcPr>
            <w:tcW w:w="1416" w:type="dxa"/>
            <w:tcBorders>
              <w:top w:val="nil"/>
              <w:left w:val="nil"/>
              <w:bottom w:val="nil"/>
              <w:right w:val="nil"/>
            </w:tcBorders>
            <w:shd w:val="clear" w:color="auto" w:fill="auto"/>
            <w:noWrap/>
            <w:vAlign w:val="bottom"/>
            <w:hideMark/>
          </w:tcPr>
          <w:p w14:paraId="49AB5C6F" w14:textId="77777777" w:rsidR="00B00AD2" w:rsidRPr="00B82C72" w:rsidRDefault="00B00AD2" w:rsidP="00C1017F">
            <w:pPr>
              <w:jc w:val="center"/>
              <w:rPr>
                <w:rFonts w:ascii="Calibri" w:hAnsi="Calibri"/>
                <w:color w:val="000000"/>
              </w:rPr>
            </w:pPr>
            <w:r w:rsidRPr="00B82C72">
              <w:rPr>
                <w:rFonts w:ascii="Calibri" w:hAnsi="Calibri"/>
                <w:color w:val="000000"/>
              </w:rPr>
              <w:t>--</w:t>
            </w:r>
          </w:p>
        </w:tc>
        <w:tc>
          <w:tcPr>
            <w:tcW w:w="1169" w:type="dxa"/>
            <w:tcBorders>
              <w:top w:val="nil"/>
              <w:left w:val="nil"/>
              <w:bottom w:val="nil"/>
              <w:right w:val="nil"/>
            </w:tcBorders>
          </w:tcPr>
          <w:p w14:paraId="4E05DD5F" w14:textId="77777777" w:rsidR="00B00AD2" w:rsidRPr="00B82C72" w:rsidRDefault="00B00AD2" w:rsidP="00C1017F">
            <w:pPr>
              <w:jc w:val="center"/>
              <w:rPr>
                <w:rFonts w:ascii="Calibri" w:hAnsi="Calibri"/>
                <w:color w:val="000000"/>
              </w:rPr>
            </w:pPr>
            <w:r w:rsidRPr="00F73476">
              <w:t>--</w:t>
            </w:r>
          </w:p>
        </w:tc>
        <w:tc>
          <w:tcPr>
            <w:tcW w:w="1343" w:type="dxa"/>
            <w:tcBorders>
              <w:top w:val="nil"/>
              <w:left w:val="nil"/>
              <w:bottom w:val="nil"/>
              <w:right w:val="nil"/>
            </w:tcBorders>
          </w:tcPr>
          <w:p w14:paraId="520A778D" w14:textId="77777777" w:rsidR="00B00AD2" w:rsidRPr="00B82C72" w:rsidRDefault="00B00AD2" w:rsidP="00C1017F">
            <w:pPr>
              <w:jc w:val="center"/>
              <w:rPr>
                <w:rFonts w:ascii="Calibri" w:hAnsi="Calibri"/>
                <w:color w:val="000000"/>
              </w:rPr>
            </w:pPr>
            <w:r>
              <w:rPr>
                <w:rFonts w:ascii="Calibri" w:hAnsi="Calibri"/>
                <w:color w:val="000000"/>
              </w:rPr>
              <w:t>100</w:t>
            </w:r>
          </w:p>
        </w:tc>
        <w:tc>
          <w:tcPr>
            <w:tcW w:w="1268" w:type="dxa"/>
            <w:tcBorders>
              <w:top w:val="nil"/>
              <w:left w:val="nil"/>
              <w:bottom w:val="nil"/>
              <w:right w:val="nil"/>
            </w:tcBorders>
            <w:vAlign w:val="bottom"/>
          </w:tcPr>
          <w:p w14:paraId="76994798" w14:textId="77777777" w:rsidR="00B00AD2" w:rsidRPr="00B82C72" w:rsidRDefault="00B00AD2" w:rsidP="00C1017F">
            <w:pPr>
              <w:jc w:val="center"/>
              <w:rPr>
                <w:rFonts w:ascii="Calibri" w:hAnsi="Calibri"/>
                <w:color w:val="000000"/>
              </w:rPr>
            </w:pPr>
            <w:r w:rsidRPr="00B82C72">
              <w:rPr>
                <w:rFonts w:ascii="Calibri" w:hAnsi="Calibri"/>
                <w:color w:val="000000"/>
              </w:rPr>
              <w:t>17</w:t>
            </w:r>
          </w:p>
        </w:tc>
        <w:tc>
          <w:tcPr>
            <w:tcW w:w="1440" w:type="dxa"/>
            <w:tcBorders>
              <w:top w:val="nil"/>
              <w:left w:val="nil"/>
              <w:bottom w:val="nil"/>
              <w:right w:val="nil"/>
            </w:tcBorders>
            <w:shd w:val="clear" w:color="auto" w:fill="auto"/>
            <w:noWrap/>
            <w:vAlign w:val="bottom"/>
            <w:hideMark/>
          </w:tcPr>
          <w:p w14:paraId="715C7738" w14:textId="77777777" w:rsidR="00B00AD2" w:rsidRPr="00E505BC" w:rsidRDefault="00B00AD2" w:rsidP="00C1017F">
            <w:pPr>
              <w:jc w:val="center"/>
              <w:rPr>
                <w:rFonts w:cstheme="minorHAnsi"/>
                <w:color w:val="000000"/>
              </w:rPr>
            </w:pPr>
            <w:r w:rsidRPr="00E505BC">
              <w:rPr>
                <w:rFonts w:cstheme="minorHAnsi"/>
                <w:color w:val="000000"/>
              </w:rPr>
              <w:t>--</w:t>
            </w:r>
          </w:p>
        </w:tc>
        <w:tc>
          <w:tcPr>
            <w:tcW w:w="1350" w:type="dxa"/>
            <w:tcBorders>
              <w:top w:val="nil"/>
              <w:left w:val="nil"/>
              <w:bottom w:val="nil"/>
              <w:right w:val="single" w:sz="4" w:space="0" w:color="auto"/>
            </w:tcBorders>
            <w:shd w:val="clear" w:color="auto" w:fill="auto"/>
            <w:noWrap/>
            <w:vAlign w:val="center"/>
            <w:hideMark/>
          </w:tcPr>
          <w:p w14:paraId="035699DB" w14:textId="77777777" w:rsidR="00B00AD2" w:rsidRPr="00E505BC" w:rsidRDefault="00B00AD2" w:rsidP="00C1017F">
            <w:pPr>
              <w:jc w:val="center"/>
              <w:rPr>
                <w:rFonts w:cstheme="minorHAnsi"/>
                <w:color w:val="000000"/>
                <w:szCs w:val="20"/>
              </w:rPr>
            </w:pPr>
            <w:r w:rsidRPr="00E505BC">
              <w:rPr>
                <w:rFonts w:cstheme="minorHAnsi"/>
                <w:color w:val="000000"/>
                <w:szCs w:val="20"/>
              </w:rPr>
              <w:t xml:space="preserve">53(43,64) </w:t>
            </w:r>
          </w:p>
        </w:tc>
      </w:tr>
      <w:tr w:rsidR="00B00AD2" w:rsidRPr="00B82C72" w14:paraId="41268BA3"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71319DF9" w14:textId="77777777" w:rsidR="00B00AD2" w:rsidRPr="00B82C72" w:rsidRDefault="00B00AD2" w:rsidP="00C1017F">
            <w:pPr>
              <w:jc w:val="right"/>
              <w:rPr>
                <w:rFonts w:ascii="Calibri" w:hAnsi="Calibri"/>
                <w:color w:val="000000"/>
              </w:rPr>
            </w:pPr>
            <w:r w:rsidRPr="00B82C72">
              <w:rPr>
                <w:rFonts w:ascii="Calibri" w:hAnsi="Calibri"/>
                <w:color w:val="000000"/>
              </w:rPr>
              <w:t>Inhalation</w:t>
            </w:r>
          </w:p>
        </w:tc>
        <w:tc>
          <w:tcPr>
            <w:tcW w:w="1374" w:type="dxa"/>
            <w:tcBorders>
              <w:top w:val="nil"/>
              <w:left w:val="nil"/>
              <w:bottom w:val="nil"/>
              <w:right w:val="nil"/>
            </w:tcBorders>
            <w:shd w:val="clear" w:color="auto" w:fill="auto"/>
            <w:noWrap/>
            <w:vAlign w:val="bottom"/>
            <w:hideMark/>
          </w:tcPr>
          <w:p w14:paraId="178653D1" w14:textId="77777777" w:rsidR="00B00AD2" w:rsidRPr="00B82C72" w:rsidRDefault="00B00AD2" w:rsidP="00C1017F">
            <w:pPr>
              <w:jc w:val="center"/>
              <w:rPr>
                <w:rFonts w:ascii="Calibri" w:hAnsi="Calibri"/>
                <w:color w:val="000000"/>
              </w:rPr>
            </w:pPr>
            <w:r w:rsidRPr="00B82C72">
              <w:rPr>
                <w:rFonts w:ascii="Calibri" w:hAnsi="Calibri"/>
                <w:color w:val="000000"/>
              </w:rPr>
              <w:t>200</w:t>
            </w:r>
          </w:p>
        </w:tc>
        <w:tc>
          <w:tcPr>
            <w:tcW w:w="1416" w:type="dxa"/>
            <w:tcBorders>
              <w:top w:val="nil"/>
              <w:left w:val="nil"/>
              <w:bottom w:val="nil"/>
              <w:right w:val="nil"/>
            </w:tcBorders>
            <w:shd w:val="clear" w:color="auto" w:fill="auto"/>
            <w:noWrap/>
            <w:vAlign w:val="bottom"/>
            <w:hideMark/>
          </w:tcPr>
          <w:p w14:paraId="174A443B" w14:textId="77777777" w:rsidR="00B00AD2" w:rsidRPr="00B82C72" w:rsidRDefault="00B00AD2" w:rsidP="00C1017F">
            <w:pPr>
              <w:jc w:val="center"/>
              <w:rPr>
                <w:rFonts w:ascii="Calibri" w:hAnsi="Calibri"/>
                <w:color w:val="000000"/>
              </w:rPr>
            </w:pPr>
            <w:r w:rsidRPr="00B82C72">
              <w:rPr>
                <w:rFonts w:ascii="Calibri" w:hAnsi="Calibri"/>
                <w:color w:val="000000"/>
              </w:rPr>
              <w:t>3.42</w:t>
            </w:r>
          </w:p>
        </w:tc>
        <w:tc>
          <w:tcPr>
            <w:tcW w:w="1169" w:type="dxa"/>
            <w:tcBorders>
              <w:top w:val="nil"/>
              <w:left w:val="nil"/>
              <w:bottom w:val="nil"/>
              <w:right w:val="nil"/>
            </w:tcBorders>
          </w:tcPr>
          <w:p w14:paraId="172853F8" w14:textId="77777777" w:rsidR="00B00AD2" w:rsidRPr="00B82C72" w:rsidRDefault="00B00AD2" w:rsidP="00C1017F">
            <w:pPr>
              <w:jc w:val="center"/>
              <w:rPr>
                <w:rFonts w:ascii="Lucida Console" w:hAnsi="Lucida Console"/>
                <w:color w:val="000000"/>
                <w:sz w:val="20"/>
                <w:szCs w:val="20"/>
              </w:rPr>
            </w:pPr>
            <w:r w:rsidRPr="00F73476">
              <w:t xml:space="preserve">58  </w:t>
            </w:r>
          </w:p>
        </w:tc>
        <w:tc>
          <w:tcPr>
            <w:tcW w:w="1343" w:type="dxa"/>
            <w:tcBorders>
              <w:top w:val="nil"/>
              <w:left w:val="nil"/>
              <w:bottom w:val="nil"/>
              <w:right w:val="nil"/>
            </w:tcBorders>
          </w:tcPr>
          <w:p w14:paraId="0129FDFB" w14:textId="77777777" w:rsidR="00B00AD2" w:rsidRPr="00B82C72" w:rsidRDefault="00B00AD2" w:rsidP="00C1017F">
            <w:pPr>
              <w:jc w:val="center"/>
              <w:rPr>
                <w:rFonts w:ascii="Calibri" w:hAnsi="Calibri"/>
                <w:color w:val="000000"/>
              </w:rPr>
            </w:pPr>
          </w:p>
        </w:tc>
        <w:tc>
          <w:tcPr>
            <w:tcW w:w="1268" w:type="dxa"/>
            <w:tcBorders>
              <w:top w:val="nil"/>
              <w:left w:val="nil"/>
              <w:bottom w:val="nil"/>
              <w:right w:val="nil"/>
            </w:tcBorders>
            <w:vAlign w:val="bottom"/>
          </w:tcPr>
          <w:p w14:paraId="43013217" w14:textId="77777777" w:rsidR="00B00AD2" w:rsidRPr="00B82C72" w:rsidRDefault="00B00AD2" w:rsidP="00C1017F">
            <w:pPr>
              <w:jc w:val="center"/>
              <w:rPr>
                <w:rFonts w:ascii="Lucida Console" w:hAnsi="Lucida Console"/>
                <w:color w:val="000000"/>
                <w:sz w:val="20"/>
                <w:szCs w:val="20"/>
              </w:rPr>
            </w:pPr>
            <w:r w:rsidRPr="00B82C72">
              <w:rPr>
                <w:rFonts w:ascii="Calibri" w:hAnsi="Calibri"/>
                <w:color w:val="000000"/>
              </w:rPr>
              <w:t>1.3</w:t>
            </w:r>
          </w:p>
        </w:tc>
        <w:tc>
          <w:tcPr>
            <w:tcW w:w="1440" w:type="dxa"/>
            <w:tcBorders>
              <w:top w:val="nil"/>
              <w:left w:val="nil"/>
              <w:bottom w:val="nil"/>
              <w:right w:val="nil"/>
            </w:tcBorders>
            <w:shd w:val="clear" w:color="auto" w:fill="auto"/>
            <w:noWrap/>
            <w:vAlign w:val="bottom"/>
            <w:hideMark/>
          </w:tcPr>
          <w:p w14:paraId="1FEB8722" w14:textId="77777777" w:rsidR="00B00AD2" w:rsidRPr="00E505BC" w:rsidRDefault="00B00AD2" w:rsidP="00C1017F">
            <w:pPr>
              <w:jc w:val="center"/>
              <w:rPr>
                <w:rFonts w:cstheme="minorHAnsi"/>
                <w:color w:val="000000"/>
              </w:rPr>
            </w:pPr>
            <w:r w:rsidRPr="00E505BC">
              <w:rPr>
                <w:rFonts w:cstheme="minorHAnsi"/>
                <w:color w:val="000000"/>
                <w:sz w:val="20"/>
                <w:szCs w:val="20"/>
              </w:rPr>
              <w:t>19(6,43)</w:t>
            </w:r>
          </w:p>
        </w:tc>
        <w:tc>
          <w:tcPr>
            <w:tcW w:w="1350" w:type="dxa"/>
            <w:tcBorders>
              <w:top w:val="nil"/>
              <w:left w:val="nil"/>
              <w:bottom w:val="nil"/>
              <w:right w:val="single" w:sz="4" w:space="0" w:color="auto"/>
            </w:tcBorders>
            <w:shd w:val="clear" w:color="auto" w:fill="auto"/>
            <w:noWrap/>
            <w:vAlign w:val="center"/>
            <w:hideMark/>
          </w:tcPr>
          <w:p w14:paraId="29ABDC13" w14:textId="77777777" w:rsidR="00B00AD2" w:rsidRPr="00E505BC" w:rsidRDefault="00B00AD2" w:rsidP="00C1017F">
            <w:pPr>
              <w:jc w:val="center"/>
              <w:rPr>
                <w:rFonts w:cstheme="minorHAnsi"/>
                <w:color w:val="000000"/>
                <w:szCs w:val="20"/>
              </w:rPr>
            </w:pPr>
            <w:r w:rsidRPr="00E505BC">
              <w:rPr>
                <w:rFonts w:cstheme="minorHAnsi"/>
                <w:color w:val="000000"/>
                <w:szCs w:val="20"/>
              </w:rPr>
              <w:t xml:space="preserve">9(3,15) </w:t>
            </w:r>
          </w:p>
        </w:tc>
      </w:tr>
      <w:tr w:rsidR="00B00AD2" w:rsidRPr="00B82C72" w14:paraId="591D7A87"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7EC7B1AB" w14:textId="77777777" w:rsidR="00B00AD2" w:rsidRPr="00B82C72" w:rsidRDefault="00B00AD2" w:rsidP="00C1017F">
            <w:pPr>
              <w:rPr>
                <w:rFonts w:ascii="Calibri" w:hAnsi="Calibri"/>
                <w:color w:val="000000"/>
              </w:rPr>
            </w:pPr>
            <w:r w:rsidRPr="00B82C72">
              <w:rPr>
                <w:rFonts w:ascii="Calibri" w:hAnsi="Calibri"/>
                <w:color w:val="000000"/>
              </w:rPr>
              <w:t>ACP</w:t>
            </w:r>
          </w:p>
        </w:tc>
        <w:tc>
          <w:tcPr>
            <w:tcW w:w="1374" w:type="dxa"/>
            <w:tcBorders>
              <w:top w:val="nil"/>
              <w:left w:val="nil"/>
              <w:bottom w:val="nil"/>
              <w:right w:val="nil"/>
            </w:tcBorders>
            <w:shd w:val="clear" w:color="auto" w:fill="auto"/>
            <w:noWrap/>
            <w:vAlign w:val="bottom"/>
            <w:hideMark/>
          </w:tcPr>
          <w:p w14:paraId="4DF7FBEF" w14:textId="77777777" w:rsidR="00B00AD2" w:rsidRPr="00B82C72" w:rsidRDefault="00B00AD2" w:rsidP="00C1017F">
            <w:pPr>
              <w:jc w:val="center"/>
              <w:rPr>
                <w:rFonts w:ascii="Calibri" w:hAnsi="Calibri"/>
                <w:color w:val="000000"/>
              </w:rPr>
            </w:pPr>
            <w:r w:rsidRPr="00B82C72">
              <w:rPr>
                <w:rFonts w:ascii="Calibri" w:hAnsi="Calibri"/>
                <w:color w:val="000000"/>
              </w:rPr>
              <w:t>10,000</w:t>
            </w:r>
          </w:p>
        </w:tc>
        <w:tc>
          <w:tcPr>
            <w:tcW w:w="1416" w:type="dxa"/>
            <w:tcBorders>
              <w:top w:val="nil"/>
              <w:left w:val="nil"/>
              <w:bottom w:val="nil"/>
              <w:right w:val="nil"/>
            </w:tcBorders>
            <w:shd w:val="clear" w:color="auto" w:fill="auto"/>
            <w:noWrap/>
            <w:vAlign w:val="bottom"/>
            <w:hideMark/>
          </w:tcPr>
          <w:p w14:paraId="3D88E1C2" w14:textId="77777777" w:rsidR="00B00AD2" w:rsidRPr="00B82C72" w:rsidRDefault="00B00AD2" w:rsidP="00C1017F">
            <w:pPr>
              <w:jc w:val="center"/>
              <w:rPr>
                <w:rFonts w:ascii="Calibri" w:hAnsi="Calibri"/>
                <w:color w:val="000000"/>
              </w:rPr>
            </w:pPr>
            <w:r w:rsidRPr="00B82C72">
              <w:rPr>
                <w:rFonts w:ascii="Calibri" w:hAnsi="Calibri"/>
                <w:color w:val="000000"/>
              </w:rPr>
              <w:t>35.43</w:t>
            </w:r>
          </w:p>
        </w:tc>
        <w:tc>
          <w:tcPr>
            <w:tcW w:w="1169" w:type="dxa"/>
            <w:tcBorders>
              <w:top w:val="nil"/>
              <w:left w:val="nil"/>
              <w:bottom w:val="nil"/>
              <w:right w:val="nil"/>
            </w:tcBorders>
          </w:tcPr>
          <w:p w14:paraId="47499276" w14:textId="77777777" w:rsidR="00B00AD2" w:rsidRPr="00B82C72" w:rsidRDefault="00B00AD2" w:rsidP="00C1017F">
            <w:pPr>
              <w:jc w:val="center"/>
              <w:rPr>
                <w:rFonts w:ascii="Lucida Console" w:hAnsi="Lucida Console"/>
                <w:color w:val="000000"/>
                <w:sz w:val="20"/>
                <w:szCs w:val="20"/>
              </w:rPr>
            </w:pPr>
            <w:r w:rsidRPr="00F73476">
              <w:t xml:space="preserve">282 </w:t>
            </w:r>
          </w:p>
        </w:tc>
        <w:tc>
          <w:tcPr>
            <w:tcW w:w="1343" w:type="dxa"/>
            <w:tcBorders>
              <w:top w:val="nil"/>
              <w:left w:val="nil"/>
              <w:bottom w:val="nil"/>
              <w:right w:val="nil"/>
            </w:tcBorders>
          </w:tcPr>
          <w:p w14:paraId="6C84A18A" w14:textId="77777777" w:rsidR="00B00AD2" w:rsidRPr="00B82C72" w:rsidRDefault="00B00AD2" w:rsidP="00C1017F">
            <w:pPr>
              <w:jc w:val="center"/>
              <w:rPr>
                <w:rFonts w:ascii="Calibri" w:hAnsi="Calibri"/>
                <w:color w:val="000000"/>
              </w:rPr>
            </w:pPr>
            <w:r>
              <w:rPr>
                <w:rFonts w:ascii="Calibri" w:hAnsi="Calibri"/>
                <w:color w:val="000000"/>
              </w:rPr>
              <w:t>100</w:t>
            </w:r>
          </w:p>
        </w:tc>
        <w:tc>
          <w:tcPr>
            <w:tcW w:w="1268" w:type="dxa"/>
            <w:tcBorders>
              <w:top w:val="nil"/>
              <w:left w:val="nil"/>
              <w:bottom w:val="nil"/>
              <w:right w:val="nil"/>
            </w:tcBorders>
            <w:vAlign w:val="bottom"/>
          </w:tcPr>
          <w:p w14:paraId="373621D2" w14:textId="77777777" w:rsidR="00B00AD2" w:rsidRPr="00B82C72" w:rsidRDefault="00B00AD2" w:rsidP="00C1017F">
            <w:pPr>
              <w:jc w:val="center"/>
              <w:rPr>
                <w:rFonts w:ascii="Lucida Console" w:hAnsi="Lucida Console"/>
                <w:color w:val="000000"/>
                <w:sz w:val="20"/>
                <w:szCs w:val="20"/>
              </w:rPr>
            </w:pPr>
            <w:r w:rsidRPr="00B82C72">
              <w:rPr>
                <w:rFonts w:ascii="Calibri" w:hAnsi="Calibri"/>
                <w:color w:val="000000"/>
              </w:rPr>
              <w:t>2.8</w:t>
            </w:r>
          </w:p>
        </w:tc>
        <w:tc>
          <w:tcPr>
            <w:tcW w:w="1440" w:type="dxa"/>
            <w:tcBorders>
              <w:top w:val="nil"/>
              <w:left w:val="nil"/>
              <w:bottom w:val="nil"/>
              <w:right w:val="nil"/>
            </w:tcBorders>
            <w:shd w:val="clear" w:color="auto" w:fill="auto"/>
            <w:noWrap/>
            <w:vAlign w:val="center"/>
            <w:hideMark/>
          </w:tcPr>
          <w:p w14:paraId="32BC4457" w14:textId="77777777" w:rsidR="00B00AD2" w:rsidRPr="00E505BC" w:rsidRDefault="00B00AD2" w:rsidP="00C1017F">
            <w:pPr>
              <w:jc w:val="center"/>
              <w:rPr>
                <w:rFonts w:cstheme="minorHAnsi"/>
                <w:color w:val="000000"/>
                <w:sz w:val="20"/>
                <w:szCs w:val="20"/>
                <w:highlight w:val="yellow"/>
              </w:rPr>
            </w:pPr>
            <w:r w:rsidRPr="00E505BC">
              <w:rPr>
                <w:rFonts w:cstheme="minorHAnsi"/>
                <w:color w:val="000000"/>
                <w:sz w:val="20"/>
                <w:szCs w:val="20"/>
              </w:rPr>
              <w:t>14(4,21)</w:t>
            </w:r>
          </w:p>
        </w:tc>
        <w:tc>
          <w:tcPr>
            <w:tcW w:w="1350" w:type="dxa"/>
            <w:tcBorders>
              <w:top w:val="nil"/>
              <w:left w:val="nil"/>
              <w:bottom w:val="nil"/>
              <w:right w:val="single" w:sz="4" w:space="0" w:color="auto"/>
            </w:tcBorders>
            <w:shd w:val="clear" w:color="auto" w:fill="auto"/>
            <w:noWrap/>
            <w:vAlign w:val="center"/>
            <w:hideMark/>
          </w:tcPr>
          <w:p w14:paraId="7B968948" w14:textId="77777777" w:rsidR="00B00AD2" w:rsidRPr="00E505BC" w:rsidRDefault="00B00AD2" w:rsidP="00C1017F">
            <w:pPr>
              <w:jc w:val="center"/>
              <w:rPr>
                <w:rFonts w:cstheme="minorHAnsi"/>
                <w:color w:val="000000"/>
                <w:szCs w:val="20"/>
              </w:rPr>
            </w:pPr>
            <w:r w:rsidRPr="00E505BC">
              <w:rPr>
                <w:rFonts w:cstheme="minorHAnsi"/>
                <w:color w:val="000000"/>
                <w:szCs w:val="20"/>
              </w:rPr>
              <w:t xml:space="preserve">5(3,8) </w:t>
            </w:r>
          </w:p>
        </w:tc>
      </w:tr>
      <w:tr w:rsidR="00B00AD2" w:rsidRPr="00B82C72" w14:paraId="1D8E7CF9"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5AF2721F" w14:textId="77777777" w:rsidR="00B00AD2" w:rsidRPr="00B82C72" w:rsidRDefault="00B00AD2" w:rsidP="00C1017F">
            <w:pPr>
              <w:jc w:val="right"/>
              <w:rPr>
                <w:rFonts w:ascii="Calibri" w:hAnsi="Calibri"/>
                <w:color w:val="000000"/>
              </w:rPr>
            </w:pPr>
            <w:r w:rsidRPr="00B82C72">
              <w:rPr>
                <w:rFonts w:ascii="Calibri" w:hAnsi="Calibri"/>
                <w:color w:val="000000"/>
              </w:rPr>
              <w:t>Dermal</w:t>
            </w:r>
          </w:p>
        </w:tc>
        <w:tc>
          <w:tcPr>
            <w:tcW w:w="1374" w:type="dxa"/>
            <w:tcBorders>
              <w:top w:val="nil"/>
              <w:left w:val="nil"/>
              <w:bottom w:val="nil"/>
              <w:right w:val="nil"/>
            </w:tcBorders>
            <w:shd w:val="clear" w:color="auto" w:fill="auto"/>
            <w:noWrap/>
            <w:vAlign w:val="bottom"/>
            <w:hideMark/>
          </w:tcPr>
          <w:p w14:paraId="2210EA60" w14:textId="77777777" w:rsidR="00B00AD2" w:rsidRPr="00B82C72" w:rsidRDefault="00B00AD2" w:rsidP="00C1017F">
            <w:pPr>
              <w:jc w:val="center"/>
              <w:rPr>
                <w:rFonts w:ascii="Calibri" w:hAnsi="Calibri"/>
                <w:color w:val="000000"/>
              </w:rPr>
            </w:pPr>
            <w:r w:rsidRPr="00B82C72">
              <w:rPr>
                <w:rFonts w:ascii="Calibri" w:hAnsi="Calibri"/>
                <w:color w:val="000000"/>
              </w:rPr>
              <w:t>10,000</w:t>
            </w:r>
          </w:p>
        </w:tc>
        <w:tc>
          <w:tcPr>
            <w:tcW w:w="1416" w:type="dxa"/>
            <w:tcBorders>
              <w:top w:val="nil"/>
              <w:left w:val="nil"/>
              <w:bottom w:val="nil"/>
              <w:right w:val="nil"/>
            </w:tcBorders>
            <w:shd w:val="clear" w:color="auto" w:fill="auto"/>
            <w:noWrap/>
            <w:vAlign w:val="bottom"/>
            <w:hideMark/>
          </w:tcPr>
          <w:p w14:paraId="7DFC39EA" w14:textId="77777777" w:rsidR="00B00AD2" w:rsidRPr="00B82C72" w:rsidRDefault="00B00AD2" w:rsidP="00C1017F">
            <w:pPr>
              <w:jc w:val="center"/>
              <w:rPr>
                <w:rFonts w:ascii="Calibri" w:hAnsi="Calibri"/>
                <w:color w:val="000000"/>
              </w:rPr>
            </w:pPr>
            <w:r w:rsidRPr="00B82C72">
              <w:rPr>
                <w:rFonts w:ascii="Calibri" w:hAnsi="Calibri"/>
                <w:color w:val="000000"/>
              </w:rPr>
              <w:t>31.71</w:t>
            </w:r>
          </w:p>
        </w:tc>
        <w:tc>
          <w:tcPr>
            <w:tcW w:w="1169" w:type="dxa"/>
            <w:tcBorders>
              <w:top w:val="nil"/>
              <w:left w:val="nil"/>
              <w:bottom w:val="nil"/>
              <w:right w:val="nil"/>
            </w:tcBorders>
          </w:tcPr>
          <w:p w14:paraId="5046CC6E" w14:textId="77777777" w:rsidR="00B00AD2" w:rsidRPr="00B82C72" w:rsidRDefault="00B00AD2" w:rsidP="00C1017F">
            <w:pPr>
              <w:jc w:val="center"/>
              <w:rPr>
                <w:rFonts w:ascii="Lucida Console" w:hAnsi="Lucida Console"/>
                <w:color w:val="000000"/>
                <w:sz w:val="20"/>
                <w:szCs w:val="20"/>
              </w:rPr>
            </w:pPr>
            <w:r w:rsidRPr="00F73476">
              <w:t xml:space="preserve">315 </w:t>
            </w:r>
          </w:p>
        </w:tc>
        <w:tc>
          <w:tcPr>
            <w:tcW w:w="1343" w:type="dxa"/>
            <w:tcBorders>
              <w:top w:val="nil"/>
              <w:left w:val="nil"/>
              <w:bottom w:val="nil"/>
              <w:right w:val="nil"/>
            </w:tcBorders>
          </w:tcPr>
          <w:p w14:paraId="471D6CB4" w14:textId="77777777" w:rsidR="00B00AD2" w:rsidRPr="00B82C72" w:rsidRDefault="00B00AD2" w:rsidP="00C1017F">
            <w:pPr>
              <w:jc w:val="center"/>
              <w:rPr>
                <w:rFonts w:ascii="Calibri" w:hAnsi="Calibri"/>
                <w:color w:val="000000"/>
              </w:rPr>
            </w:pPr>
            <w:r>
              <w:rPr>
                <w:rFonts w:ascii="Calibri" w:hAnsi="Calibri"/>
                <w:color w:val="000000"/>
              </w:rPr>
              <w:t>100</w:t>
            </w:r>
          </w:p>
        </w:tc>
        <w:tc>
          <w:tcPr>
            <w:tcW w:w="1268" w:type="dxa"/>
            <w:tcBorders>
              <w:top w:val="nil"/>
              <w:left w:val="nil"/>
              <w:bottom w:val="nil"/>
              <w:right w:val="nil"/>
            </w:tcBorders>
            <w:vAlign w:val="bottom"/>
          </w:tcPr>
          <w:p w14:paraId="4EE01FF0" w14:textId="77777777" w:rsidR="00B00AD2" w:rsidRPr="00B82C72" w:rsidRDefault="00B00AD2" w:rsidP="00C1017F">
            <w:pPr>
              <w:jc w:val="center"/>
              <w:rPr>
                <w:rFonts w:ascii="Lucida Console" w:hAnsi="Lucida Console"/>
                <w:color w:val="000000"/>
                <w:sz w:val="20"/>
                <w:szCs w:val="20"/>
              </w:rPr>
            </w:pPr>
            <w:r w:rsidRPr="00B82C72">
              <w:rPr>
                <w:rFonts w:ascii="Calibri" w:hAnsi="Calibri"/>
                <w:color w:val="000000"/>
              </w:rPr>
              <w:t>2.2</w:t>
            </w:r>
          </w:p>
        </w:tc>
        <w:tc>
          <w:tcPr>
            <w:tcW w:w="1440" w:type="dxa"/>
            <w:tcBorders>
              <w:top w:val="nil"/>
              <w:left w:val="nil"/>
              <w:bottom w:val="nil"/>
              <w:right w:val="nil"/>
            </w:tcBorders>
            <w:shd w:val="clear" w:color="auto" w:fill="auto"/>
            <w:noWrap/>
            <w:vAlign w:val="center"/>
            <w:hideMark/>
          </w:tcPr>
          <w:p w14:paraId="07361F45" w14:textId="77777777" w:rsidR="00B00AD2" w:rsidRPr="00E505BC" w:rsidRDefault="00B00AD2" w:rsidP="00C1017F">
            <w:pPr>
              <w:jc w:val="center"/>
              <w:rPr>
                <w:rFonts w:cstheme="minorHAnsi"/>
                <w:color w:val="000000"/>
                <w:sz w:val="20"/>
                <w:szCs w:val="20"/>
              </w:rPr>
            </w:pPr>
            <w:r w:rsidRPr="00E505BC">
              <w:rPr>
                <w:rFonts w:cstheme="minorHAnsi"/>
                <w:color w:val="000000"/>
                <w:sz w:val="20"/>
                <w:szCs w:val="20"/>
              </w:rPr>
              <w:t>13(8,18)</w:t>
            </w:r>
          </w:p>
        </w:tc>
        <w:tc>
          <w:tcPr>
            <w:tcW w:w="1350" w:type="dxa"/>
            <w:tcBorders>
              <w:top w:val="nil"/>
              <w:left w:val="nil"/>
              <w:bottom w:val="nil"/>
              <w:right w:val="single" w:sz="4" w:space="0" w:color="auto"/>
            </w:tcBorders>
            <w:shd w:val="clear" w:color="auto" w:fill="auto"/>
            <w:noWrap/>
            <w:vAlign w:val="center"/>
            <w:hideMark/>
          </w:tcPr>
          <w:p w14:paraId="425A4ED1" w14:textId="77777777" w:rsidR="00B00AD2" w:rsidRPr="00E505BC" w:rsidRDefault="00B00AD2" w:rsidP="00C1017F">
            <w:pPr>
              <w:jc w:val="center"/>
              <w:rPr>
                <w:rFonts w:cstheme="minorHAnsi"/>
                <w:color w:val="000000"/>
                <w:szCs w:val="20"/>
              </w:rPr>
            </w:pPr>
            <w:r w:rsidRPr="00E505BC">
              <w:rPr>
                <w:rFonts w:cstheme="minorHAnsi"/>
                <w:color w:val="000000"/>
                <w:szCs w:val="20"/>
              </w:rPr>
              <w:t>4 (3,8)</w:t>
            </w:r>
          </w:p>
        </w:tc>
      </w:tr>
      <w:tr w:rsidR="00B00AD2" w:rsidRPr="00B82C72" w14:paraId="484DB31B"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7E5D1626" w14:textId="77777777" w:rsidR="00B00AD2" w:rsidRPr="00B82C72" w:rsidRDefault="00B00AD2" w:rsidP="00C1017F">
            <w:pPr>
              <w:jc w:val="right"/>
              <w:rPr>
                <w:rFonts w:ascii="Calibri" w:hAnsi="Calibri"/>
                <w:color w:val="000000"/>
              </w:rPr>
            </w:pPr>
            <w:r w:rsidRPr="00B82C72">
              <w:rPr>
                <w:rFonts w:ascii="Calibri" w:hAnsi="Calibri"/>
                <w:color w:val="000000"/>
              </w:rPr>
              <w:t>Inhalation</w:t>
            </w:r>
          </w:p>
        </w:tc>
        <w:tc>
          <w:tcPr>
            <w:tcW w:w="1374" w:type="dxa"/>
            <w:tcBorders>
              <w:top w:val="nil"/>
              <w:left w:val="nil"/>
              <w:bottom w:val="nil"/>
              <w:right w:val="nil"/>
            </w:tcBorders>
            <w:shd w:val="clear" w:color="auto" w:fill="auto"/>
            <w:noWrap/>
            <w:vAlign w:val="bottom"/>
            <w:hideMark/>
          </w:tcPr>
          <w:p w14:paraId="5427AAC3" w14:textId="77777777" w:rsidR="00B00AD2" w:rsidRPr="00B82C72" w:rsidRDefault="00B00AD2" w:rsidP="00C1017F">
            <w:pPr>
              <w:jc w:val="center"/>
              <w:rPr>
                <w:rFonts w:ascii="Calibri" w:hAnsi="Calibri"/>
                <w:color w:val="000000"/>
              </w:rPr>
            </w:pPr>
            <w:r w:rsidRPr="00B82C72">
              <w:rPr>
                <w:rFonts w:ascii="Calibri" w:hAnsi="Calibri"/>
                <w:color w:val="000000"/>
              </w:rPr>
              <w:t>10,000</w:t>
            </w:r>
          </w:p>
        </w:tc>
        <w:tc>
          <w:tcPr>
            <w:tcW w:w="1416" w:type="dxa"/>
            <w:tcBorders>
              <w:top w:val="nil"/>
              <w:left w:val="nil"/>
              <w:bottom w:val="nil"/>
              <w:right w:val="nil"/>
            </w:tcBorders>
            <w:shd w:val="clear" w:color="auto" w:fill="auto"/>
            <w:noWrap/>
            <w:vAlign w:val="bottom"/>
            <w:hideMark/>
          </w:tcPr>
          <w:p w14:paraId="10CED788" w14:textId="77777777" w:rsidR="00B00AD2" w:rsidRPr="00B82C72" w:rsidRDefault="00B00AD2" w:rsidP="00C1017F">
            <w:pPr>
              <w:jc w:val="center"/>
              <w:rPr>
                <w:rFonts w:ascii="Calibri" w:hAnsi="Calibri"/>
                <w:color w:val="000000"/>
              </w:rPr>
            </w:pPr>
            <w:r w:rsidRPr="00B82C72">
              <w:rPr>
                <w:rFonts w:ascii="Calibri" w:hAnsi="Calibri"/>
                <w:color w:val="000000"/>
              </w:rPr>
              <w:t>3.72</w:t>
            </w:r>
          </w:p>
        </w:tc>
        <w:tc>
          <w:tcPr>
            <w:tcW w:w="1169" w:type="dxa"/>
            <w:tcBorders>
              <w:top w:val="nil"/>
              <w:left w:val="nil"/>
              <w:bottom w:val="nil"/>
              <w:right w:val="nil"/>
            </w:tcBorders>
          </w:tcPr>
          <w:p w14:paraId="6A2F23F7" w14:textId="77777777" w:rsidR="00B00AD2" w:rsidRPr="00B82C72" w:rsidRDefault="00B00AD2" w:rsidP="00C1017F">
            <w:pPr>
              <w:jc w:val="center"/>
              <w:rPr>
                <w:rFonts w:ascii="Lucida Console" w:hAnsi="Lucida Console"/>
                <w:color w:val="000000"/>
                <w:sz w:val="20"/>
                <w:szCs w:val="20"/>
              </w:rPr>
            </w:pPr>
            <w:r w:rsidRPr="00F73476">
              <w:t xml:space="preserve">2688 </w:t>
            </w:r>
          </w:p>
        </w:tc>
        <w:tc>
          <w:tcPr>
            <w:tcW w:w="1343" w:type="dxa"/>
            <w:tcBorders>
              <w:top w:val="nil"/>
              <w:left w:val="nil"/>
              <w:bottom w:val="nil"/>
              <w:right w:val="nil"/>
            </w:tcBorders>
          </w:tcPr>
          <w:p w14:paraId="2D83B756" w14:textId="77777777" w:rsidR="00B00AD2" w:rsidRPr="00B82C72" w:rsidRDefault="00B00AD2" w:rsidP="00C1017F">
            <w:pPr>
              <w:jc w:val="center"/>
              <w:rPr>
                <w:rFonts w:ascii="Calibri" w:hAnsi="Calibri"/>
                <w:color w:val="000000"/>
              </w:rPr>
            </w:pPr>
            <w:r>
              <w:rPr>
                <w:rFonts w:ascii="Calibri" w:hAnsi="Calibri"/>
                <w:color w:val="000000"/>
              </w:rPr>
              <w:t>1000</w:t>
            </w:r>
          </w:p>
        </w:tc>
        <w:tc>
          <w:tcPr>
            <w:tcW w:w="1268" w:type="dxa"/>
            <w:tcBorders>
              <w:top w:val="nil"/>
              <w:left w:val="nil"/>
              <w:bottom w:val="nil"/>
              <w:right w:val="nil"/>
            </w:tcBorders>
            <w:vAlign w:val="bottom"/>
          </w:tcPr>
          <w:p w14:paraId="311D3AB4" w14:textId="77777777" w:rsidR="00B00AD2" w:rsidRPr="00B82C72" w:rsidRDefault="00B00AD2" w:rsidP="00C1017F">
            <w:pPr>
              <w:jc w:val="center"/>
              <w:rPr>
                <w:rFonts w:ascii="Lucida Console" w:hAnsi="Lucida Console"/>
                <w:color w:val="000000"/>
                <w:sz w:val="20"/>
                <w:szCs w:val="20"/>
              </w:rPr>
            </w:pPr>
            <w:r w:rsidRPr="00B82C72">
              <w:rPr>
                <w:rFonts w:ascii="Calibri" w:hAnsi="Calibri"/>
                <w:color w:val="000000"/>
              </w:rPr>
              <w:t>0.6</w:t>
            </w:r>
          </w:p>
        </w:tc>
        <w:tc>
          <w:tcPr>
            <w:tcW w:w="1440" w:type="dxa"/>
            <w:tcBorders>
              <w:top w:val="nil"/>
              <w:left w:val="nil"/>
              <w:bottom w:val="nil"/>
              <w:right w:val="nil"/>
            </w:tcBorders>
            <w:shd w:val="clear" w:color="auto" w:fill="auto"/>
            <w:noWrap/>
            <w:vAlign w:val="center"/>
            <w:hideMark/>
          </w:tcPr>
          <w:p w14:paraId="4961EAC6" w14:textId="77777777" w:rsidR="00B00AD2" w:rsidRPr="00E505BC" w:rsidRDefault="00B00AD2" w:rsidP="00C1017F">
            <w:pPr>
              <w:jc w:val="center"/>
              <w:rPr>
                <w:rFonts w:cstheme="minorHAnsi"/>
                <w:color w:val="000000"/>
                <w:sz w:val="20"/>
                <w:szCs w:val="20"/>
              </w:rPr>
            </w:pPr>
            <w:r w:rsidRPr="00E505BC">
              <w:rPr>
                <w:rFonts w:cstheme="minorHAnsi"/>
                <w:color w:val="000000"/>
                <w:sz w:val="20"/>
                <w:szCs w:val="20"/>
              </w:rPr>
              <w:t>20(12,28)</w:t>
            </w:r>
          </w:p>
        </w:tc>
        <w:tc>
          <w:tcPr>
            <w:tcW w:w="1350" w:type="dxa"/>
            <w:tcBorders>
              <w:top w:val="nil"/>
              <w:left w:val="nil"/>
              <w:bottom w:val="nil"/>
              <w:right w:val="single" w:sz="4" w:space="0" w:color="auto"/>
            </w:tcBorders>
            <w:shd w:val="clear" w:color="auto" w:fill="auto"/>
            <w:noWrap/>
            <w:vAlign w:val="center"/>
            <w:hideMark/>
          </w:tcPr>
          <w:p w14:paraId="4C789089" w14:textId="77777777" w:rsidR="00B00AD2" w:rsidRPr="00E505BC" w:rsidRDefault="00B00AD2" w:rsidP="00C1017F">
            <w:pPr>
              <w:jc w:val="center"/>
              <w:rPr>
                <w:rFonts w:cstheme="minorHAnsi"/>
                <w:color w:val="000000"/>
                <w:szCs w:val="20"/>
              </w:rPr>
            </w:pPr>
            <w:r w:rsidRPr="00E505BC">
              <w:rPr>
                <w:rFonts w:cstheme="minorHAnsi"/>
                <w:color w:val="000000"/>
                <w:szCs w:val="20"/>
              </w:rPr>
              <w:t>12(6,18)</w:t>
            </w:r>
          </w:p>
        </w:tc>
      </w:tr>
      <w:tr w:rsidR="00B00AD2" w:rsidRPr="00B82C72" w14:paraId="7D62A75A"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67DCFCC1" w14:textId="77777777" w:rsidR="00B00AD2" w:rsidRPr="00B82C72" w:rsidRDefault="00B00AD2" w:rsidP="00C1017F">
            <w:pPr>
              <w:rPr>
                <w:rFonts w:ascii="Calibri" w:hAnsi="Calibri"/>
                <w:color w:val="000000"/>
              </w:rPr>
            </w:pPr>
            <w:r w:rsidRPr="00B82C72">
              <w:rPr>
                <w:rFonts w:ascii="Calibri" w:hAnsi="Calibri"/>
                <w:color w:val="000000"/>
              </w:rPr>
              <w:t>EB</w:t>
            </w:r>
          </w:p>
        </w:tc>
        <w:tc>
          <w:tcPr>
            <w:tcW w:w="1374" w:type="dxa"/>
            <w:tcBorders>
              <w:top w:val="nil"/>
              <w:left w:val="nil"/>
              <w:bottom w:val="nil"/>
              <w:right w:val="nil"/>
            </w:tcBorders>
            <w:shd w:val="clear" w:color="auto" w:fill="auto"/>
            <w:noWrap/>
            <w:vAlign w:val="bottom"/>
            <w:hideMark/>
          </w:tcPr>
          <w:p w14:paraId="23D9722C" w14:textId="77777777" w:rsidR="00B00AD2" w:rsidRPr="00B82C72" w:rsidRDefault="00B00AD2" w:rsidP="00C1017F">
            <w:pPr>
              <w:jc w:val="center"/>
              <w:rPr>
                <w:rFonts w:ascii="Calibri" w:hAnsi="Calibri"/>
                <w:color w:val="000000"/>
              </w:rPr>
            </w:pPr>
            <w:r w:rsidRPr="00B82C72">
              <w:rPr>
                <w:rFonts w:ascii="Calibri" w:hAnsi="Calibri"/>
                <w:color w:val="000000"/>
              </w:rPr>
              <w:t>75</w:t>
            </w:r>
          </w:p>
        </w:tc>
        <w:tc>
          <w:tcPr>
            <w:tcW w:w="1416" w:type="dxa"/>
            <w:tcBorders>
              <w:top w:val="nil"/>
              <w:left w:val="nil"/>
              <w:bottom w:val="nil"/>
              <w:right w:val="nil"/>
            </w:tcBorders>
            <w:shd w:val="clear" w:color="auto" w:fill="auto"/>
            <w:noWrap/>
            <w:vAlign w:val="bottom"/>
            <w:hideMark/>
          </w:tcPr>
          <w:p w14:paraId="67FDD7B3" w14:textId="77777777" w:rsidR="00B00AD2" w:rsidRPr="00B82C72" w:rsidRDefault="00B00AD2" w:rsidP="00C1017F">
            <w:pPr>
              <w:jc w:val="center"/>
              <w:rPr>
                <w:rFonts w:ascii="Calibri" w:hAnsi="Calibri"/>
                <w:color w:val="000000"/>
              </w:rPr>
            </w:pPr>
            <w:r w:rsidRPr="00B82C72">
              <w:rPr>
                <w:rFonts w:ascii="Calibri" w:hAnsi="Calibri"/>
                <w:color w:val="000000"/>
              </w:rPr>
              <w:t>0.09</w:t>
            </w:r>
          </w:p>
        </w:tc>
        <w:tc>
          <w:tcPr>
            <w:tcW w:w="1169" w:type="dxa"/>
            <w:tcBorders>
              <w:top w:val="nil"/>
              <w:left w:val="nil"/>
              <w:bottom w:val="nil"/>
              <w:right w:val="nil"/>
            </w:tcBorders>
          </w:tcPr>
          <w:p w14:paraId="1048E671" w14:textId="77777777" w:rsidR="00B00AD2" w:rsidRPr="00B82C72" w:rsidRDefault="00B00AD2" w:rsidP="00C1017F">
            <w:pPr>
              <w:jc w:val="center"/>
              <w:rPr>
                <w:rFonts w:ascii="Lucida Console" w:hAnsi="Lucida Console"/>
                <w:color w:val="000000"/>
                <w:sz w:val="20"/>
                <w:szCs w:val="20"/>
              </w:rPr>
            </w:pPr>
            <w:r w:rsidRPr="00F73476">
              <w:t xml:space="preserve">837 </w:t>
            </w:r>
          </w:p>
        </w:tc>
        <w:tc>
          <w:tcPr>
            <w:tcW w:w="1343" w:type="dxa"/>
            <w:tcBorders>
              <w:top w:val="nil"/>
              <w:left w:val="nil"/>
              <w:bottom w:val="nil"/>
              <w:right w:val="nil"/>
            </w:tcBorders>
          </w:tcPr>
          <w:p w14:paraId="57BD2C8E" w14:textId="77777777" w:rsidR="00B00AD2" w:rsidRPr="00B82C72" w:rsidRDefault="00B00AD2" w:rsidP="00C1017F">
            <w:pPr>
              <w:jc w:val="center"/>
              <w:rPr>
                <w:rFonts w:ascii="Calibri" w:hAnsi="Calibri"/>
                <w:color w:val="000000"/>
              </w:rPr>
            </w:pPr>
            <w:r>
              <w:rPr>
                <w:rFonts w:ascii="Calibri" w:hAnsi="Calibri"/>
                <w:color w:val="000000"/>
              </w:rPr>
              <w:t>300</w:t>
            </w:r>
          </w:p>
        </w:tc>
        <w:tc>
          <w:tcPr>
            <w:tcW w:w="1268" w:type="dxa"/>
            <w:tcBorders>
              <w:top w:val="nil"/>
              <w:left w:val="nil"/>
              <w:bottom w:val="nil"/>
              <w:right w:val="nil"/>
            </w:tcBorders>
            <w:vAlign w:val="bottom"/>
          </w:tcPr>
          <w:p w14:paraId="0F632393" w14:textId="77777777" w:rsidR="00B00AD2" w:rsidRPr="00B82C72" w:rsidRDefault="00B00AD2" w:rsidP="00C1017F">
            <w:pPr>
              <w:jc w:val="center"/>
              <w:rPr>
                <w:rFonts w:ascii="Lucida Console" w:hAnsi="Lucida Console"/>
                <w:color w:val="000000"/>
                <w:sz w:val="20"/>
                <w:szCs w:val="20"/>
              </w:rPr>
            </w:pPr>
            <w:r w:rsidRPr="00B82C72">
              <w:rPr>
                <w:rFonts w:ascii="Calibri" w:hAnsi="Calibri"/>
                <w:color w:val="000000"/>
              </w:rPr>
              <w:t>0.4</w:t>
            </w:r>
          </w:p>
        </w:tc>
        <w:tc>
          <w:tcPr>
            <w:tcW w:w="1440" w:type="dxa"/>
            <w:tcBorders>
              <w:top w:val="nil"/>
              <w:left w:val="nil"/>
              <w:bottom w:val="nil"/>
              <w:right w:val="nil"/>
            </w:tcBorders>
            <w:shd w:val="clear" w:color="auto" w:fill="auto"/>
            <w:noWrap/>
            <w:vAlign w:val="center"/>
            <w:hideMark/>
          </w:tcPr>
          <w:p w14:paraId="695865AA" w14:textId="77777777" w:rsidR="00B00AD2" w:rsidRPr="00E505BC" w:rsidRDefault="00B00AD2" w:rsidP="00C1017F">
            <w:pPr>
              <w:jc w:val="center"/>
              <w:rPr>
                <w:rFonts w:cstheme="minorHAnsi"/>
                <w:color w:val="000000"/>
                <w:sz w:val="20"/>
                <w:szCs w:val="20"/>
              </w:rPr>
            </w:pPr>
            <w:r w:rsidRPr="00E505BC">
              <w:rPr>
                <w:rFonts w:cstheme="minorHAnsi"/>
                <w:color w:val="000000"/>
                <w:sz w:val="20"/>
                <w:szCs w:val="20"/>
              </w:rPr>
              <w:t>36(28,47)</w:t>
            </w:r>
          </w:p>
        </w:tc>
        <w:tc>
          <w:tcPr>
            <w:tcW w:w="1350" w:type="dxa"/>
            <w:tcBorders>
              <w:top w:val="nil"/>
              <w:left w:val="nil"/>
              <w:bottom w:val="nil"/>
              <w:right w:val="single" w:sz="4" w:space="0" w:color="auto"/>
            </w:tcBorders>
            <w:shd w:val="clear" w:color="auto" w:fill="auto"/>
            <w:noWrap/>
            <w:vAlign w:val="center"/>
            <w:hideMark/>
          </w:tcPr>
          <w:p w14:paraId="7F410B7D" w14:textId="77777777" w:rsidR="00B00AD2" w:rsidRPr="00E505BC" w:rsidRDefault="00B00AD2" w:rsidP="00C1017F">
            <w:pPr>
              <w:jc w:val="center"/>
              <w:rPr>
                <w:rFonts w:cstheme="minorHAnsi"/>
                <w:color w:val="000000"/>
                <w:szCs w:val="20"/>
              </w:rPr>
            </w:pPr>
            <w:r w:rsidRPr="00E505BC">
              <w:rPr>
                <w:rFonts w:cstheme="minorHAnsi"/>
                <w:color w:val="000000"/>
                <w:szCs w:val="20"/>
              </w:rPr>
              <w:t xml:space="preserve">20(14,26) </w:t>
            </w:r>
          </w:p>
        </w:tc>
      </w:tr>
      <w:tr w:rsidR="00B00AD2" w:rsidRPr="00B82C72" w14:paraId="71C0DDBF" w14:textId="77777777" w:rsidTr="00C1017F">
        <w:trPr>
          <w:trHeight w:val="288"/>
        </w:trPr>
        <w:tc>
          <w:tcPr>
            <w:tcW w:w="1435" w:type="dxa"/>
            <w:tcBorders>
              <w:top w:val="nil"/>
              <w:left w:val="single" w:sz="4" w:space="0" w:color="auto"/>
              <w:bottom w:val="nil"/>
              <w:right w:val="nil"/>
            </w:tcBorders>
            <w:shd w:val="clear" w:color="auto" w:fill="auto"/>
            <w:noWrap/>
            <w:vAlign w:val="bottom"/>
            <w:hideMark/>
          </w:tcPr>
          <w:p w14:paraId="4CBB2C18" w14:textId="77777777" w:rsidR="00B00AD2" w:rsidRPr="00B82C72" w:rsidRDefault="00B00AD2" w:rsidP="00C1017F">
            <w:pPr>
              <w:jc w:val="right"/>
              <w:rPr>
                <w:rFonts w:ascii="Calibri" w:hAnsi="Calibri"/>
                <w:color w:val="000000"/>
              </w:rPr>
            </w:pPr>
            <w:r w:rsidRPr="00B82C72">
              <w:rPr>
                <w:rFonts w:ascii="Calibri" w:hAnsi="Calibri"/>
                <w:color w:val="000000"/>
              </w:rPr>
              <w:t>Dermal</w:t>
            </w:r>
          </w:p>
        </w:tc>
        <w:tc>
          <w:tcPr>
            <w:tcW w:w="1374" w:type="dxa"/>
            <w:tcBorders>
              <w:top w:val="nil"/>
              <w:left w:val="nil"/>
              <w:bottom w:val="nil"/>
              <w:right w:val="nil"/>
            </w:tcBorders>
            <w:shd w:val="clear" w:color="auto" w:fill="auto"/>
            <w:noWrap/>
            <w:vAlign w:val="bottom"/>
            <w:hideMark/>
          </w:tcPr>
          <w:p w14:paraId="43976D0F" w14:textId="77777777" w:rsidR="00B00AD2" w:rsidRPr="00B82C72" w:rsidRDefault="00B00AD2" w:rsidP="00C1017F">
            <w:pPr>
              <w:jc w:val="center"/>
              <w:rPr>
                <w:rFonts w:ascii="Calibri" w:hAnsi="Calibri"/>
                <w:color w:val="000000"/>
              </w:rPr>
            </w:pPr>
            <w:r w:rsidRPr="00B82C72">
              <w:rPr>
                <w:rFonts w:ascii="Calibri" w:hAnsi="Calibri"/>
                <w:color w:val="000000"/>
              </w:rPr>
              <w:t>75</w:t>
            </w:r>
          </w:p>
        </w:tc>
        <w:tc>
          <w:tcPr>
            <w:tcW w:w="1416" w:type="dxa"/>
            <w:tcBorders>
              <w:top w:val="nil"/>
              <w:left w:val="nil"/>
              <w:bottom w:val="nil"/>
              <w:right w:val="nil"/>
            </w:tcBorders>
            <w:shd w:val="clear" w:color="auto" w:fill="auto"/>
            <w:noWrap/>
            <w:vAlign w:val="bottom"/>
            <w:hideMark/>
          </w:tcPr>
          <w:p w14:paraId="233FB836" w14:textId="77777777" w:rsidR="00B00AD2" w:rsidRPr="00B82C72" w:rsidRDefault="00B00AD2" w:rsidP="00C1017F">
            <w:pPr>
              <w:jc w:val="center"/>
              <w:rPr>
                <w:rFonts w:ascii="Calibri" w:hAnsi="Calibri"/>
                <w:color w:val="000000"/>
              </w:rPr>
            </w:pPr>
            <w:r w:rsidRPr="00B82C72">
              <w:rPr>
                <w:rFonts w:ascii="Calibri" w:hAnsi="Calibri"/>
                <w:color w:val="000000"/>
              </w:rPr>
              <w:t>0.04</w:t>
            </w:r>
          </w:p>
        </w:tc>
        <w:tc>
          <w:tcPr>
            <w:tcW w:w="1169" w:type="dxa"/>
            <w:tcBorders>
              <w:top w:val="nil"/>
              <w:left w:val="nil"/>
              <w:bottom w:val="nil"/>
              <w:right w:val="nil"/>
            </w:tcBorders>
          </w:tcPr>
          <w:p w14:paraId="5E8AA856" w14:textId="77777777" w:rsidR="00B00AD2" w:rsidRPr="00B82C72" w:rsidRDefault="00B00AD2" w:rsidP="00C1017F">
            <w:pPr>
              <w:jc w:val="center"/>
              <w:rPr>
                <w:rFonts w:ascii="Lucida Console" w:hAnsi="Lucida Console"/>
                <w:color w:val="000000"/>
                <w:sz w:val="20"/>
                <w:szCs w:val="20"/>
              </w:rPr>
            </w:pPr>
            <w:r w:rsidRPr="00F73476">
              <w:t xml:space="preserve">1705 </w:t>
            </w:r>
          </w:p>
        </w:tc>
        <w:tc>
          <w:tcPr>
            <w:tcW w:w="1343" w:type="dxa"/>
            <w:tcBorders>
              <w:top w:val="nil"/>
              <w:left w:val="nil"/>
              <w:bottom w:val="nil"/>
              <w:right w:val="nil"/>
            </w:tcBorders>
          </w:tcPr>
          <w:p w14:paraId="0868D857" w14:textId="77777777" w:rsidR="00B00AD2" w:rsidRPr="00B82C72" w:rsidRDefault="00B00AD2" w:rsidP="00C1017F">
            <w:pPr>
              <w:jc w:val="center"/>
              <w:rPr>
                <w:rFonts w:ascii="Calibri" w:hAnsi="Calibri"/>
                <w:color w:val="000000"/>
              </w:rPr>
            </w:pPr>
            <w:r>
              <w:rPr>
                <w:rFonts w:ascii="Calibri" w:hAnsi="Calibri"/>
                <w:color w:val="000000"/>
              </w:rPr>
              <w:t>300</w:t>
            </w:r>
          </w:p>
        </w:tc>
        <w:tc>
          <w:tcPr>
            <w:tcW w:w="1268" w:type="dxa"/>
            <w:tcBorders>
              <w:top w:val="nil"/>
              <w:left w:val="nil"/>
              <w:bottom w:val="nil"/>
              <w:right w:val="nil"/>
            </w:tcBorders>
            <w:vAlign w:val="bottom"/>
          </w:tcPr>
          <w:p w14:paraId="39404711" w14:textId="77777777" w:rsidR="00B00AD2" w:rsidRPr="00B82C72" w:rsidRDefault="00B00AD2" w:rsidP="00C1017F">
            <w:pPr>
              <w:jc w:val="center"/>
              <w:rPr>
                <w:rFonts w:ascii="Lucida Console" w:hAnsi="Lucida Console"/>
                <w:color w:val="000000"/>
                <w:sz w:val="20"/>
                <w:szCs w:val="20"/>
              </w:rPr>
            </w:pPr>
            <w:r w:rsidRPr="00B82C72">
              <w:rPr>
                <w:rFonts w:ascii="Calibri" w:hAnsi="Calibri"/>
                <w:color w:val="000000"/>
              </w:rPr>
              <w:t>0.3</w:t>
            </w:r>
          </w:p>
        </w:tc>
        <w:tc>
          <w:tcPr>
            <w:tcW w:w="1440" w:type="dxa"/>
            <w:tcBorders>
              <w:top w:val="nil"/>
              <w:left w:val="nil"/>
              <w:bottom w:val="nil"/>
              <w:right w:val="nil"/>
            </w:tcBorders>
            <w:shd w:val="clear" w:color="auto" w:fill="auto"/>
            <w:noWrap/>
            <w:vAlign w:val="center"/>
            <w:hideMark/>
          </w:tcPr>
          <w:p w14:paraId="71F31943" w14:textId="77777777" w:rsidR="00B00AD2" w:rsidRPr="00E505BC" w:rsidRDefault="00B00AD2" w:rsidP="00C1017F">
            <w:pPr>
              <w:jc w:val="center"/>
              <w:rPr>
                <w:rFonts w:cstheme="minorHAnsi"/>
                <w:color w:val="000000"/>
                <w:sz w:val="20"/>
                <w:szCs w:val="20"/>
              </w:rPr>
            </w:pPr>
            <w:r w:rsidRPr="00E505BC">
              <w:rPr>
                <w:rFonts w:cstheme="minorHAnsi"/>
                <w:color w:val="000000"/>
                <w:sz w:val="20"/>
                <w:szCs w:val="20"/>
              </w:rPr>
              <w:t>39(5,59)</w:t>
            </w:r>
          </w:p>
        </w:tc>
        <w:tc>
          <w:tcPr>
            <w:tcW w:w="1350" w:type="dxa"/>
            <w:tcBorders>
              <w:top w:val="nil"/>
              <w:left w:val="nil"/>
              <w:bottom w:val="nil"/>
              <w:right w:val="single" w:sz="4" w:space="0" w:color="auto"/>
            </w:tcBorders>
            <w:shd w:val="clear" w:color="auto" w:fill="auto"/>
            <w:noWrap/>
            <w:vAlign w:val="center"/>
            <w:hideMark/>
          </w:tcPr>
          <w:p w14:paraId="161D0120" w14:textId="77777777" w:rsidR="00B00AD2" w:rsidRPr="00E505BC" w:rsidRDefault="00B00AD2" w:rsidP="00C1017F">
            <w:pPr>
              <w:jc w:val="center"/>
              <w:rPr>
                <w:rFonts w:cstheme="minorHAnsi"/>
                <w:color w:val="000000"/>
                <w:szCs w:val="20"/>
              </w:rPr>
            </w:pPr>
            <w:r w:rsidRPr="00E505BC">
              <w:rPr>
                <w:rFonts w:cstheme="minorHAnsi"/>
                <w:color w:val="000000"/>
                <w:szCs w:val="20"/>
              </w:rPr>
              <w:t xml:space="preserve">15(10,26) </w:t>
            </w:r>
          </w:p>
        </w:tc>
      </w:tr>
      <w:tr w:rsidR="00B00AD2" w:rsidRPr="00B82C72" w14:paraId="237ACFD5" w14:textId="77777777" w:rsidTr="00C1017F">
        <w:trPr>
          <w:trHeight w:val="288"/>
        </w:trPr>
        <w:tc>
          <w:tcPr>
            <w:tcW w:w="1435" w:type="dxa"/>
            <w:tcBorders>
              <w:top w:val="nil"/>
              <w:left w:val="single" w:sz="4" w:space="0" w:color="auto"/>
              <w:bottom w:val="single" w:sz="4" w:space="0" w:color="auto"/>
              <w:right w:val="nil"/>
            </w:tcBorders>
            <w:shd w:val="clear" w:color="auto" w:fill="auto"/>
            <w:noWrap/>
            <w:vAlign w:val="bottom"/>
            <w:hideMark/>
          </w:tcPr>
          <w:p w14:paraId="0F07E046" w14:textId="77777777" w:rsidR="00B00AD2" w:rsidRPr="00B82C72" w:rsidRDefault="00B00AD2" w:rsidP="00C1017F">
            <w:pPr>
              <w:jc w:val="right"/>
              <w:rPr>
                <w:rFonts w:ascii="Calibri" w:hAnsi="Calibri"/>
                <w:color w:val="000000"/>
              </w:rPr>
            </w:pPr>
            <w:r w:rsidRPr="00B82C72">
              <w:rPr>
                <w:rFonts w:ascii="Calibri" w:hAnsi="Calibri"/>
                <w:color w:val="000000"/>
              </w:rPr>
              <w:t>Inhalation</w:t>
            </w:r>
          </w:p>
        </w:tc>
        <w:tc>
          <w:tcPr>
            <w:tcW w:w="1374" w:type="dxa"/>
            <w:tcBorders>
              <w:top w:val="nil"/>
              <w:left w:val="nil"/>
              <w:bottom w:val="single" w:sz="4" w:space="0" w:color="auto"/>
              <w:right w:val="nil"/>
            </w:tcBorders>
            <w:shd w:val="clear" w:color="auto" w:fill="auto"/>
            <w:noWrap/>
            <w:vAlign w:val="bottom"/>
            <w:hideMark/>
          </w:tcPr>
          <w:p w14:paraId="3C33A8E2" w14:textId="77777777" w:rsidR="00B00AD2" w:rsidRPr="00B82C72" w:rsidRDefault="00B00AD2" w:rsidP="00C1017F">
            <w:pPr>
              <w:jc w:val="center"/>
              <w:rPr>
                <w:rFonts w:ascii="Calibri" w:hAnsi="Calibri"/>
                <w:color w:val="000000"/>
              </w:rPr>
            </w:pPr>
            <w:r w:rsidRPr="00B82C72">
              <w:rPr>
                <w:rFonts w:ascii="Calibri" w:hAnsi="Calibri"/>
                <w:color w:val="000000"/>
              </w:rPr>
              <w:t>75</w:t>
            </w:r>
          </w:p>
        </w:tc>
        <w:tc>
          <w:tcPr>
            <w:tcW w:w="1416" w:type="dxa"/>
            <w:tcBorders>
              <w:top w:val="nil"/>
              <w:left w:val="nil"/>
              <w:bottom w:val="single" w:sz="4" w:space="0" w:color="auto"/>
              <w:right w:val="nil"/>
            </w:tcBorders>
            <w:shd w:val="clear" w:color="auto" w:fill="auto"/>
            <w:noWrap/>
            <w:vAlign w:val="bottom"/>
            <w:hideMark/>
          </w:tcPr>
          <w:p w14:paraId="24E2BC92" w14:textId="77777777" w:rsidR="00B00AD2" w:rsidRPr="00B82C72" w:rsidRDefault="00B00AD2" w:rsidP="00C1017F">
            <w:pPr>
              <w:jc w:val="center"/>
              <w:rPr>
                <w:rFonts w:ascii="Calibri" w:hAnsi="Calibri"/>
                <w:color w:val="000000"/>
              </w:rPr>
            </w:pPr>
            <w:r w:rsidRPr="00B82C72">
              <w:rPr>
                <w:rFonts w:ascii="Calibri" w:hAnsi="Calibri"/>
                <w:color w:val="000000"/>
              </w:rPr>
              <w:t>0.05</w:t>
            </w:r>
          </w:p>
        </w:tc>
        <w:tc>
          <w:tcPr>
            <w:tcW w:w="1169" w:type="dxa"/>
            <w:tcBorders>
              <w:top w:val="nil"/>
              <w:left w:val="nil"/>
              <w:bottom w:val="single" w:sz="4" w:space="0" w:color="auto"/>
              <w:right w:val="nil"/>
            </w:tcBorders>
          </w:tcPr>
          <w:p w14:paraId="2968F80B" w14:textId="77777777" w:rsidR="00B00AD2" w:rsidRDefault="00B00AD2" w:rsidP="00C1017F">
            <w:pPr>
              <w:jc w:val="center"/>
              <w:rPr>
                <w:rFonts w:ascii="Lucida Console" w:hAnsi="Lucida Console"/>
                <w:color w:val="000000"/>
                <w:sz w:val="20"/>
                <w:szCs w:val="20"/>
              </w:rPr>
            </w:pPr>
            <w:r w:rsidRPr="00F73476">
              <w:t xml:space="preserve">1645 </w:t>
            </w:r>
          </w:p>
        </w:tc>
        <w:tc>
          <w:tcPr>
            <w:tcW w:w="1343" w:type="dxa"/>
            <w:tcBorders>
              <w:top w:val="nil"/>
              <w:left w:val="nil"/>
              <w:bottom w:val="single" w:sz="4" w:space="0" w:color="auto"/>
              <w:right w:val="nil"/>
            </w:tcBorders>
          </w:tcPr>
          <w:p w14:paraId="3B009104" w14:textId="77777777" w:rsidR="00B00AD2" w:rsidRPr="00B82C72" w:rsidRDefault="00B00AD2" w:rsidP="00C1017F">
            <w:pPr>
              <w:jc w:val="center"/>
              <w:rPr>
                <w:rFonts w:ascii="Calibri" w:hAnsi="Calibri"/>
                <w:color w:val="000000"/>
              </w:rPr>
            </w:pPr>
            <w:r>
              <w:rPr>
                <w:rFonts w:ascii="Calibri" w:hAnsi="Calibri"/>
                <w:color w:val="000000"/>
              </w:rPr>
              <w:t>300</w:t>
            </w:r>
          </w:p>
        </w:tc>
        <w:tc>
          <w:tcPr>
            <w:tcW w:w="1268" w:type="dxa"/>
            <w:tcBorders>
              <w:top w:val="nil"/>
              <w:left w:val="nil"/>
              <w:bottom w:val="single" w:sz="4" w:space="0" w:color="auto"/>
              <w:right w:val="nil"/>
            </w:tcBorders>
            <w:vAlign w:val="bottom"/>
          </w:tcPr>
          <w:p w14:paraId="1FC82A2F" w14:textId="77777777" w:rsidR="00B00AD2" w:rsidRDefault="00B00AD2" w:rsidP="00C1017F">
            <w:pPr>
              <w:jc w:val="center"/>
              <w:rPr>
                <w:rFonts w:ascii="Lucida Console" w:hAnsi="Lucida Console"/>
                <w:color w:val="000000"/>
                <w:sz w:val="20"/>
                <w:szCs w:val="20"/>
              </w:rPr>
            </w:pPr>
            <w:r w:rsidRPr="00B82C72">
              <w:rPr>
                <w:rFonts w:ascii="Calibri" w:hAnsi="Calibri"/>
                <w:color w:val="000000"/>
              </w:rPr>
              <w:t>0.1</w:t>
            </w:r>
          </w:p>
        </w:tc>
        <w:tc>
          <w:tcPr>
            <w:tcW w:w="1440" w:type="dxa"/>
            <w:tcBorders>
              <w:top w:val="nil"/>
              <w:left w:val="nil"/>
              <w:bottom w:val="single" w:sz="4" w:space="0" w:color="auto"/>
              <w:right w:val="nil"/>
            </w:tcBorders>
            <w:shd w:val="clear" w:color="auto" w:fill="auto"/>
            <w:noWrap/>
            <w:vAlign w:val="center"/>
            <w:hideMark/>
          </w:tcPr>
          <w:p w14:paraId="5D071DD8" w14:textId="77777777" w:rsidR="00B00AD2" w:rsidRPr="00BF0F69" w:rsidRDefault="00B00AD2" w:rsidP="00C1017F">
            <w:pPr>
              <w:jc w:val="center"/>
              <w:rPr>
                <w:rFonts w:cstheme="minorHAnsi"/>
                <w:color w:val="000000"/>
                <w:sz w:val="20"/>
                <w:szCs w:val="20"/>
              </w:rPr>
            </w:pPr>
            <w:r w:rsidRPr="00BF0F69">
              <w:rPr>
                <w:rFonts w:cstheme="minorHAnsi"/>
                <w:color w:val="000000"/>
                <w:sz w:val="20"/>
                <w:szCs w:val="20"/>
              </w:rPr>
              <w:t>14(5,29)</w:t>
            </w:r>
          </w:p>
        </w:tc>
        <w:tc>
          <w:tcPr>
            <w:tcW w:w="1350" w:type="dxa"/>
            <w:tcBorders>
              <w:top w:val="nil"/>
              <w:left w:val="nil"/>
              <w:bottom w:val="single" w:sz="4" w:space="0" w:color="auto"/>
              <w:right w:val="single" w:sz="4" w:space="0" w:color="auto"/>
            </w:tcBorders>
            <w:shd w:val="clear" w:color="auto" w:fill="auto"/>
            <w:noWrap/>
            <w:vAlign w:val="center"/>
            <w:hideMark/>
          </w:tcPr>
          <w:p w14:paraId="7510E053" w14:textId="77777777" w:rsidR="00B00AD2" w:rsidRPr="00BF0F69" w:rsidRDefault="00B00AD2" w:rsidP="00C1017F">
            <w:pPr>
              <w:jc w:val="center"/>
              <w:rPr>
                <w:rFonts w:cstheme="minorHAnsi"/>
                <w:color w:val="000000"/>
                <w:szCs w:val="20"/>
              </w:rPr>
            </w:pPr>
            <w:r w:rsidRPr="00FC654B">
              <w:rPr>
                <w:rFonts w:cstheme="minorHAnsi"/>
                <w:color w:val="000000"/>
                <w:szCs w:val="20"/>
              </w:rPr>
              <w:t xml:space="preserve">12(4,20) </w:t>
            </w:r>
          </w:p>
        </w:tc>
      </w:tr>
    </w:tbl>
    <w:p w14:paraId="3983E5A3" w14:textId="77777777" w:rsidR="00B00AD2" w:rsidRDefault="00B00AD2" w:rsidP="00B00AD2">
      <w:pPr>
        <w:spacing w:after="0" w:line="240" w:lineRule="auto"/>
      </w:pPr>
      <w:r>
        <w:t xml:space="preserve">†The estimated dose used in the most recent EPA human health risk assessment of open-cab pesticide handlers for azinphos methyl is based on biomonitoring and inhalation data collected from mixer/loader/applicators (MRID </w:t>
      </w:r>
      <w:r w:rsidRPr="00B82C72">
        <w:t>46316406</w:t>
      </w:r>
      <w:r>
        <w:t>).</w:t>
      </w:r>
      <w:r w:rsidRPr="002E24D7">
        <w:rPr>
          <w:rFonts w:ascii="Calibri" w:hAnsi="Calibri" w:cs="Calibri"/>
          <w:vertAlign w:val="superscript"/>
        </w:rPr>
        <w:t>47</w:t>
      </w:r>
    </w:p>
    <w:p w14:paraId="140D6E17" w14:textId="77777777" w:rsidR="00B00AD2" w:rsidRDefault="00B00AD2" w:rsidP="00B00AD2">
      <w:pPr>
        <w:spacing w:before="120" w:after="0" w:line="240" w:lineRule="auto"/>
      </w:pPr>
      <w:r>
        <w:t xml:space="preserve">‡ </w:t>
      </w:r>
      <w:bookmarkStart w:id="1" w:name="_Hlk487400594"/>
      <w:r>
        <w:t>The levels of concern (LOC) for margins of exposure for azinphos methyl and dermal exposures to acetamiprid are 100, the typical value for occupational scenarios.  Because of a lack of inhalation study for acetamiprid, the occupational inhalation LOC for acetamiprid is 1000</w:t>
      </w:r>
      <w:r w:rsidRPr="008860F3">
        <w:t>.</w:t>
      </w:r>
      <w:r w:rsidRPr="002E24D7">
        <w:rPr>
          <w:rFonts w:ascii="Calibri" w:hAnsi="Calibri" w:cs="Calibri"/>
          <w:vertAlign w:val="superscript"/>
        </w:rPr>
        <w:t>22</w:t>
      </w:r>
      <w:r>
        <w:t xml:space="preserve"> The LOC for emamectin benzoate inhalation and dermal occupational exposures is 300 for short term and 1,000 for intermediate exposures.  The percent </w:t>
      </w:r>
      <w:r>
        <w:lastRenderedPageBreak/>
        <w:t>exceedance in this table uses 300 as the LOC MOE.  The additional uncertainty factor of 3 was applied in the EPA human health risk assessment due to the severity of the health impact at the LOAEL (neuropathology).</w:t>
      </w:r>
      <w:r w:rsidRPr="002E24D7">
        <w:rPr>
          <w:rFonts w:ascii="Calibri" w:hAnsi="Calibri" w:cs="Calibri"/>
          <w:vertAlign w:val="superscript"/>
        </w:rPr>
        <w:t>23</w:t>
      </w:r>
      <w:bookmarkEnd w:id="1"/>
      <w:r>
        <w:t xml:space="preserve">  </w:t>
      </w:r>
    </w:p>
    <w:p w14:paraId="624533F5" w14:textId="77777777" w:rsidR="00B00AD2" w:rsidRPr="00FE0EFB" w:rsidRDefault="00B00AD2"/>
    <w:sectPr w:rsidR="00B00AD2" w:rsidRPr="00FE0EFB" w:rsidSect="00FE0E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1"/>
    <w:rsid w:val="00011736"/>
    <w:rsid w:val="00016A79"/>
    <w:rsid w:val="00020F1D"/>
    <w:rsid w:val="00037AA5"/>
    <w:rsid w:val="00047500"/>
    <w:rsid w:val="00050A06"/>
    <w:rsid w:val="00056A07"/>
    <w:rsid w:val="00057328"/>
    <w:rsid w:val="00062EE4"/>
    <w:rsid w:val="000755BD"/>
    <w:rsid w:val="00093227"/>
    <w:rsid w:val="000934F9"/>
    <w:rsid w:val="000D0449"/>
    <w:rsid w:val="000F5F79"/>
    <w:rsid w:val="0010792B"/>
    <w:rsid w:val="0013106E"/>
    <w:rsid w:val="001339F0"/>
    <w:rsid w:val="00136797"/>
    <w:rsid w:val="00137E10"/>
    <w:rsid w:val="001462C7"/>
    <w:rsid w:val="00171C2B"/>
    <w:rsid w:val="0017544C"/>
    <w:rsid w:val="00176108"/>
    <w:rsid w:val="001A032F"/>
    <w:rsid w:val="001A0B98"/>
    <w:rsid w:val="001A2984"/>
    <w:rsid w:val="001A356F"/>
    <w:rsid w:val="001B6508"/>
    <w:rsid w:val="001C4EFD"/>
    <w:rsid w:val="001D71E8"/>
    <w:rsid w:val="001E2B30"/>
    <w:rsid w:val="001E6480"/>
    <w:rsid w:val="001F09F6"/>
    <w:rsid w:val="001F2497"/>
    <w:rsid w:val="00204074"/>
    <w:rsid w:val="002222B4"/>
    <w:rsid w:val="002475A3"/>
    <w:rsid w:val="002512AF"/>
    <w:rsid w:val="002641B1"/>
    <w:rsid w:val="00264357"/>
    <w:rsid w:val="002769E1"/>
    <w:rsid w:val="00290B38"/>
    <w:rsid w:val="002A14EF"/>
    <w:rsid w:val="002B45E5"/>
    <w:rsid w:val="002C0A81"/>
    <w:rsid w:val="002C1AC7"/>
    <w:rsid w:val="002D7590"/>
    <w:rsid w:val="00301ED9"/>
    <w:rsid w:val="00323FEA"/>
    <w:rsid w:val="00325ACB"/>
    <w:rsid w:val="00341D03"/>
    <w:rsid w:val="00342E07"/>
    <w:rsid w:val="0036737B"/>
    <w:rsid w:val="003806D2"/>
    <w:rsid w:val="003971F4"/>
    <w:rsid w:val="00397232"/>
    <w:rsid w:val="003A27F3"/>
    <w:rsid w:val="003A77A4"/>
    <w:rsid w:val="003B5F1B"/>
    <w:rsid w:val="003D4BC2"/>
    <w:rsid w:val="003D55CC"/>
    <w:rsid w:val="003E3A1F"/>
    <w:rsid w:val="003E492E"/>
    <w:rsid w:val="00400D8F"/>
    <w:rsid w:val="0040483C"/>
    <w:rsid w:val="00422CCF"/>
    <w:rsid w:val="004329EB"/>
    <w:rsid w:val="00437296"/>
    <w:rsid w:val="00455F3D"/>
    <w:rsid w:val="00464508"/>
    <w:rsid w:val="00471D1F"/>
    <w:rsid w:val="00474B00"/>
    <w:rsid w:val="00480022"/>
    <w:rsid w:val="00487F0B"/>
    <w:rsid w:val="00497293"/>
    <w:rsid w:val="004B0120"/>
    <w:rsid w:val="004B4214"/>
    <w:rsid w:val="004E26D9"/>
    <w:rsid w:val="004F31E6"/>
    <w:rsid w:val="0050253C"/>
    <w:rsid w:val="00503760"/>
    <w:rsid w:val="00505DF1"/>
    <w:rsid w:val="005322C9"/>
    <w:rsid w:val="0055017D"/>
    <w:rsid w:val="00553641"/>
    <w:rsid w:val="005550F3"/>
    <w:rsid w:val="00571CC8"/>
    <w:rsid w:val="00577E76"/>
    <w:rsid w:val="00581014"/>
    <w:rsid w:val="005A6961"/>
    <w:rsid w:val="005B33A5"/>
    <w:rsid w:val="005B4DA9"/>
    <w:rsid w:val="005B5FC3"/>
    <w:rsid w:val="005C1D16"/>
    <w:rsid w:val="005E50B8"/>
    <w:rsid w:val="00605F78"/>
    <w:rsid w:val="006065B7"/>
    <w:rsid w:val="00630292"/>
    <w:rsid w:val="00634EFD"/>
    <w:rsid w:val="00655DF4"/>
    <w:rsid w:val="006613B0"/>
    <w:rsid w:val="00665820"/>
    <w:rsid w:val="0067448D"/>
    <w:rsid w:val="00677510"/>
    <w:rsid w:val="006872D0"/>
    <w:rsid w:val="00694BF3"/>
    <w:rsid w:val="006A7BB0"/>
    <w:rsid w:val="006C17EE"/>
    <w:rsid w:val="006C672F"/>
    <w:rsid w:val="006C7CBF"/>
    <w:rsid w:val="006D005B"/>
    <w:rsid w:val="006E7116"/>
    <w:rsid w:val="00701DC3"/>
    <w:rsid w:val="00736734"/>
    <w:rsid w:val="0073775A"/>
    <w:rsid w:val="00737A39"/>
    <w:rsid w:val="00747CC4"/>
    <w:rsid w:val="00755EEC"/>
    <w:rsid w:val="0076682F"/>
    <w:rsid w:val="00782BB5"/>
    <w:rsid w:val="007840B6"/>
    <w:rsid w:val="00785559"/>
    <w:rsid w:val="00791525"/>
    <w:rsid w:val="007B341B"/>
    <w:rsid w:val="007C03C7"/>
    <w:rsid w:val="007C3853"/>
    <w:rsid w:val="007C391A"/>
    <w:rsid w:val="007D23C8"/>
    <w:rsid w:val="007D2F26"/>
    <w:rsid w:val="007D47A9"/>
    <w:rsid w:val="00814CA1"/>
    <w:rsid w:val="00821A84"/>
    <w:rsid w:val="00833018"/>
    <w:rsid w:val="00835F62"/>
    <w:rsid w:val="008509B0"/>
    <w:rsid w:val="008742A0"/>
    <w:rsid w:val="00875D24"/>
    <w:rsid w:val="00876EA4"/>
    <w:rsid w:val="00881314"/>
    <w:rsid w:val="00891194"/>
    <w:rsid w:val="008A7260"/>
    <w:rsid w:val="008B21EE"/>
    <w:rsid w:val="008B5075"/>
    <w:rsid w:val="008F05C6"/>
    <w:rsid w:val="00906A0A"/>
    <w:rsid w:val="0090716B"/>
    <w:rsid w:val="00912CC9"/>
    <w:rsid w:val="00916F4A"/>
    <w:rsid w:val="00920E04"/>
    <w:rsid w:val="009253AF"/>
    <w:rsid w:val="009276C6"/>
    <w:rsid w:val="009303DA"/>
    <w:rsid w:val="0093160A"/>
    <w:rsid w:val="0095635B"/>
    <w:rsid w:val="0095659B"/>
    <w:rsid w:val="00976CDE"/>
    <w:rsid w:val="009A05B8"/>
    <w:rsid w:val="009B00CB"/>
    <w:rsid w:val="009C6C89"/>
    <w:rsid w:val="009E31E0"/>
    <w:rsid w:val="00A00E0C"/>
    <w:rsid w:val="00A17493"/>
    <w:rsid w:val="00A7048C"/>
    <w:rsid w:val="00A77CA7"/>
    <w:rsid w:val="00A80CE8"/>
    <w:rsid w:val="00A87369"/>
    <w:rsid w:val="00A91803"/>
    <w:rsid w:val="00A96830"/>
    <w:rsid w:val="00AA6C02"/>
    <w:rsid w:val="00AD5AB6"/>
    <w:rsid w:val="00AD6B2A"/>
    <w:rsid w:val="00AF6850"/>
    <w:rsid w:val="00B00AD2"/>
    <w:rsid w:val="00B1195E"/>
    <w:rsid w:val="00B14A90"/>
    <w:rsid w:val="00B511CD"/>
    <w:rsid w:val="00B879FA"/>
    <w:rsid w:val="00B92E19"/>
    <w:rsid w:val="00B94624"/>
    <w:rsid w:val="00BA0D4D"/>
    <w:rsid w:val="00BA61A7"/>
    <w:rsid w:val="00BA67FD"/>
    <w:rsid w:val="00BA7083"/>
    <w:rsid w:val="00BB0D29"/>
    <w:rsid w:val="00BC0722"/>
    <w:rsid w:val="00BD243B"/>
    <w:rsid w:val="00BD3849"/>
    <w:rsid w:val="00BE5CE4"/>
    <w:rsid w:val="00C56A3A"/>
    <w:rsid w:val="00C770DF"/>
    <w:rsid w:val="00C92402"/>
    <w:rsid w:val="00CB3B18"/>
    <w:rsid w:val="00CB44E2"/>
    <w:rsid w:val="00CB7925"/>
    <w:rsid w:val="00CD4CCF"/>
    <w:rsid w:val="00CD592B"/>
    <w:rsid w:val="00CE5E09"/>
    <w:rsid w:val="00CF1014"/>
    <w:rsid w:val="00CF149D"/>
    <w:rsid w:val="00CF422A"/>
    <w:rsid w:val="00D2680D"/>
    <w:rsid w:val="00D37482"/>
    <w:rsid w:val="00D4163F"/>
    <w:rsid w:val="00D4281B"/>
    <w:rsid w:val="00D55712"/>
    <w:rsid w:val="00D60F9C"/>
    <w:rsid w:val="00D623FD"/>
    <w:rsid w:val="00D7798B"/>
    <w:rsid w:val="00D80C70"/>
    <w:rsid w:val="00D91F27"/>
    <w:rsid w:val="00DC0992"/>
    <w:rsid w:val="00DC4767"/>
    <w:rsid w:val="00DC4945"/>
    <w:rsid w:val="00DE7023"/>
    <w:rsid w:val="00E00541"/>
    <w:rsid w:val="00E20153"/>
    <w:rsid w:val="00E359FE"/>
    <w:rsid w:val="00E5072D"/>
    <w:rsid w:val="00E61246"/>
    <w:rsid w:val="00EB50DA"/>
    <w:rsid w:val="00EB60D9"/>
    <w:rsid w:val="00EC443A"/>
    <w:rsid w:val="00EE319C"/>
    <w:rsid w:val="00EE4973"/>
    <w:rsid w:val="00F02D71"/>
    <w:rsid w:val="00F119C7"/>
    <w:rsid w:val="00F2626E"/>
    <w:rsid w:val="00F26CDB"/>
    <w:rsid w:val="00F37CE6"/>
    <w:rsid w:val="00F53D36"/>
    <w:rsid w:val="00F57F2E"/>
    <w:rsid w:val="00F70976"/>
    <w:rsid w:val="00F70A75"/>
    <w:rsid w:val="00F93379"/>
    <w:rsid w:val="00FA60FE"/>
    <w:rsid w:val="00FB1E5A"/>
    <w:rsid w:val="00FD3501"/>
    <w:rsid w:val="00FE0EFB"/>
    <w:rsid w:val="00FF6308"/>
    <w:rsid w:val="00FF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9F68"/>
  <w15:chartTrackingRefBased/>
  <w15:docId w15:val="{D5FEA47B-7D2E-4A4E-9F44-9E76133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260"/>
    <w:rPr>
      <w:color w:val="808080"/>
    </w:rPr>
  </w:style>
  <w:style w:type="paragraph" w:styleId="Caption">
    <w:name w:val="caption"/>
    <w:basedOn w:val="Normal"/>
    <w:next w:val="Normal"/>
    <w:uiPriority w:val="35"/>
    <w:unhideWhenUsed/>
    <w:qFormat/>
    <w:rsid w:val="00B00AD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C8D1-03A8-4E98-9729-078B5580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Pouzou</dc:creator>
  <cp:keywords/>
  <dc:description/>
  <cp:lastModifiedBy>Jane Pouzou</cp:lastModifiedBy>
  <cp:revision>3</cp:revision>
  <dcterms:created xsi:type="dcterms:W3CDTF">2018-11-30T04:05:00Z</dcterms:created>
  <dcterms:modified xsi:type="dcterms:W3CDTF">2018-12-14T03:47:00Z</dcterms:modified>
</cp:coreProperties>
</file>