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4" w:rsidRDefault="008423C4" w:rsidP="0084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99012C">
        <w:rPr>
          <w:rFonts w:ascii="Times New Roman" w:hAnsi="Times New Roman" w:cs="Times New Roman"/>
          <w:b/>
          <w:sz w:val="24"/>
          <w:szCs w:val="24"/>
        </w:rPr>
        <w:t>Digital Content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9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012C">
        <w:rPr>
          <w:rFonts w:ascii="Times New Roman" w:hAnsi="Times New Roman" w:cs="Times New Roman"/>
          <w:sz w:val="24"/>
          <w:szCs w:val="24"/>
        </w:rPr>
        <w:t>Table that reports the i</w:t>
      </w:r>
      <w:r>
        <w:rPr>
          <w:rFonts w:ascii="Times New Roman" w:hAnsi="Times New Roman" w:cs="Times New Roman"/>
          <w:sz w:val="24"/>
          <w:szCs w:val="24"/>
        </w:rPr>
        <w:t>mpact of pharmacist-involved hypertension program on U.S. population over 20 years compared to usual care*</w:t>
      </w:r>
    </w:p>
    <w:p w:rsidR="008423C4" w:rsidRDefault="008423C4" w:rsidP="00842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6" w:type="dxa"/>
        <w:tblLayout w:type="fixed"/>
        <w:tblLook w:val="0000" w:firstRow="0" w:lastRow="0" w:firstColumn="0" w:lastColumn="0" w:noHBand="0" w:noVBand="0"/>
      </w:tblPr>
      <w:tblGrid>
        <w:gridCol w:w="2540"/>
        <w:gridCol w:w="6"/>
        <w:gridCol w:w="2534"/>
        <w:gridCol w:w="12"/>
        <w:gridCol w:w="2535"/>
        <w:gridCol w:w="11"/>
        <w:gridCol w:w="2548"/>
      </w:tblGrid>
      <w:tr w:rsidR="008423C4" w:rsidTr="002440A5">
        <w:trPr>
          <w:trHeight w:val="194"/>
        </w:trPr>
        <w:tc>
          <w:tcPr>
            <w:tcW w:w="2540" w:type="dxa"/>
            <w:vAlign w:val="center"/>
          </w:tcPr>
          <w:p w:rsidR="008423C4" w:rsidRPr="00FE6997" w:rsidRDefault="008423C4" w:rsidP="002440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97">
              <w:rPr>
                <w:rFonts w:ascii="Times New Roman" w:hAnsi="Times New Roman" w:cs="Times New Roman"/>
                <w:b/>
                <w:sz w:val="24"/>
                <w:szCs w:val="24"/>
              </w:rPr>
              <w:t>Health and Budget Impacts</w:t>
            </w:r>
          </w:p>
        </w:tc>
        <w:tc>
          <w:tcPr>
            <w:tcW w:w="2540" w:type="dxa"/>
            <w:gridSpan w:val="2"/>
          </w:tcPr>
          <w:p w:rsidR="008423C4" w:rsidRPr="00FE6997" w:rsidRDefault="00AC43DA" w:rsidP="0024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Target </w:t>
            </w:r>
            <w:r w:rsidR="004E5687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r w:rsidR="008423C4" w:rsidRPr="00FE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#1 </w:t>
            </w:r>
          </w:p>
          <w:p w:rsidR="008423C4" w:rsidRPr="00FE6997" w:rsidRDefault="008423C4" w:rsidP="0024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(newly diagnosed) </w:t>
            </w:r>
          </w:p>
        </w:tc>
        <w:tc>
          <w:tcPr>
            <w:tcW w:w="2547" w:type="dxa"/>
            <w:gridSpan w:val="2"/>
          </w:tcPr>
          <w:p w:rsidR="008423C4" w:rsidRPr="00FE6997" w:rsidRDefault="00AC43DA" w:rsidP="0024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Target </w:t>
            </w:r>
            <w:r w:rsidR="004E5687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r w:rsidR="008423C4" w:rsidRPr="00FE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#2 </w:t>
            </w:r>
          </w:p>
          <w:p w:rsidR="008423C4" w:rsidRPr="00FE6997" w:rsidRDefault="008423C4" w:rsidP="0024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(all uncontrolled) </w:t>
            </w:r>
          </w:p>
        </w:tc>
        <w:tc>
          <w:tcPr>
            <w:tcW w:w="2559" w:type="dxa"/>
            <w:gridSpan w:val="2"/>
          </w:tcPr>
          <w:p w:rsidR="008423C4" w:rsidRPr="00FE6997" w:rsidRDefault="00AC43DA" w:rsidP="0024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Target </w:t>
            </w:r>
            <w:r w:rsidR="004E5687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r w:rsidR="008423C4" w:rsidRPr="00FE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#3 </w:t>
            </w:r>
          </w:p>
          <w:p w:rsidR="008423C4" w:rsidRPr="00FE6997" w:rsidRDefault="008423C4" w:rsidP="0024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(treated uncontrolled) </w:t>
            </w:r>
          </w:p>
        </w:tc>
      </w:tr>
      <w:tr w:rsidR="008423C4" w:rsidTr="002440A5">
        <w:trPr>
          <w:trHeight w:val="194"/>
        </w:trPr>
        <w:tc>
          <w:tcPr>
            <w:tcW w:w="2540" w:type="dxa"/>
            <w:vAlign w:val="center"/>
          </w:tcPr>
          <w:p w:rsidR="008423C4" w:rsidRPr="00B5710F" w:rsidRDefault="008423C4" w:rsidP="0024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Persons enrolled (millions)</w:t>
            </w:r>
          </w:p>
        </w:tc>
        <w:tc>
          <w:tcPr>
            <w:tcW w:w="2540" w:type="dxa"/>
            <w:gridSpan w:val="2"/>
          </w:tcPr>
          <w:p w:rsidR="008423C4" w:rsidRPr="00456102" w:rsidRDefault="00456102" w:rsidP="00244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73.6</w:t>
            </w:r>
          </w:p>
        </w:tc>
        <w:tc>
          <w:tcPr>
            <w:tcW w:w="2547" w:type="dxa"/>
            <w:gridSpan w:val="2"/>
          </w:tcPr>
          <w:p w:rsidR="008423C4" w:rsidRPr="00B5710F" w:rsidRDefault="008423C4" w:rsidP="0024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F">
              <w:rPr>
                <w:rFonts w:ascii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2559" w:type="dxa"/>
            <w:gridSpan w:val="2"/>
          </w:tcPr>
          <w:p w:rsidR="008423C4" w:rsidRPr="00B5710F" w:rsidRDefault="008423C4" w:rsidP="00244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0F">
              <w:rPr>
                <w:rFonts w:ascii="Times New Roman" w:hAnsi="Times New Roman" w:cs="Times New Roman"/>
                <w:sz w:val="24"/>
                <w:szCs w:val="24"/>
              </w:rPr>
              <w:t>67.3</w:t>
            </w:r>
          </w:p>
        </w:tc>
      </w:tr>
      <w:tr w:rsidR="008423C4" w:rsidTr="002440A5">
        <w:trPr>
          <w:trHeight w:val="827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Person-years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uncontrolled blood pressure</w:t>
            </w:r>
            <w:r w:rsidRPr="002C5DCD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†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 (millions) 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546" w:type="dxa"/>
            <w:gridSpan w:val="2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-174.8</w:t>
            </w:r>
          </w:p>
        </w:tc>
        <w:tc>
          <w:tcPr>
            <w:tcW w:w="2548" w:type="dxa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-157.8</w:t>
            </w:r>
          </w:p>
        </w:tc>
      </w:tr>
      <w:tr w:rsidR="008423C4" w:rsidTr="002440A5">
        <w:trPr>
          <w:trHeight w:val="719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Incident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myocardial infarction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 (thousands) 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456102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546" w:type="dxa"/>
            <w:gridSpan w:val="2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-449.5</w:t>
            </w:r>
          </w:p>
        </w:tc>
        <w:tc>
          <w:tcPr>
            <w:tcW w:w="2548" w:type="dxa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-423.2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Incident stroke (thousands) 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2546" w:type="dxa"/>
            <w:gridSpan w:val="2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-473.4</w:t>
            </w:r>
          </w:p>
        </w:tc>
        <w:tc>
          <w:tcPr>
            <w:tcW w:w="2548" w:type="dxa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-462.7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Incident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cardiovascular disease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 death (thousands) 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2546" w:type="dxa"/>
            <w:gridSpan w:val="2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-607.3</w:t>
            </w:r>
          </w:p>
        </w:tc>
        <w:tc>
          <w:tcPr>
            <w:tcW w:w="2548" w:type="dxa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-607.4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isease costs (billions USD) 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546" w:type="dxa"/>
            <w:gridSpan w:val="2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-70.3</w:t>
            </w:r>
          </w:p>
        </w:tc>
        <w:tc>
          <w:tcPr>
            <w:tcW w:w="2548" w:type="dxa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-66.1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left="74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 insurance (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>billions USD)</w:t>
            </w:r>
          </w:p>
        </w:tc>
        <w:tc>
          <w:tcPr>
            <w:tcW w:w="2546" w:type="dxa"/>
            <w:gridSpan w:val="2"/>
          </w:tcPr>
          <w:p w:rsidR="008423C4" w:rsidRPr="00456102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  <w:r w:rsidR="004561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.5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-38.8</w:t>
            </w:r>
          </w:p>
        </w:tc>
        <w:tc>
          <w:tcPr>
            <w:tcW w:w="2548" w:type="dxa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left="74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Medicare (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>billions USD)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-25.5</w:t>
            </w:r>
          </w:p>
        </w:tc>
        <w:tc>
          <w:tcPr>
            <w:tcW w:w="2548" w:type="dxa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-24.4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left="74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Medicaid (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>billions USD)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</w:t>
            </w:r>
          </w:p>
        </w:tc>
        <w:tc>
          <w:tcPr>
            <w:tcW w:w="2548" w:type="dxa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>Intervention costs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all payers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(billions USD) 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2548" w:type="dxa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left="74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Private insurance 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>(billions USD)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2548" w:type="dxa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left="74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 (billions USD)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2548" w:type="dxa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left="74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Medicaid 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>billions USD)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548" w:type="dxa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Del="00FB75C5" w:rsidRDefault="008423C4" w:rsidP="002440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 costs (billions USD) 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</w:tc>
        <w:tc>
          <w:tcPr>
            <w:tcW w:w="2548" w:type="dxa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-9.6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Del="00FB75C5" w:rsidRDefault="008423C4" w:rsidP="002440A5">
            <w:pPr>
              <w:spacing w:line="240" w:lineRule="auto"/>
              <w:ind w:left="74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Private insurance (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>billions USD)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</w:tc>
        <w:tc>
          <w:tcPr>
            <w:tcW w:w="2548" w:type="dxa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Del="00FB75C5" w:rsidRDefault="008423C4" w:rsidP="002440A5">
            <w:pPr>
              <w:spacing w:line="240" w:lineRule="auto"/>
              <w:ind w:left="74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Medicare (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>billions USD)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-7.3</w:t>
            </w:r>
          </w:p>
        </w:tc>
        <w:tc>
          <w:tcPr>
            <w:tcW w:w="2548" w:type="dxa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-6.6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Del="00FB75C5" w:rsidRDefault="008423C4" w:rsidP="002440A5">
            <w:pPr>
              <w:spacing w:line="240" w:lineRule="auto"/>
              <w:ind w:left="747"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Medicaid (</w:t>
            </w: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>billions USD)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46" w:type="dxa"/>
            <w:gridSpan w:val="2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2548" w:type="dxa"/>
          </w:tcPr>
          <w:p w:rsidR="008423C4" w:rsidRPr="00B408A6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8423C4" w:rsidTr="002440A5">
        <w:trPr>
          <w:trHeight w:val="9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Net cost per person enrolled (USD) 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546" w:type="dxa"/>
            <w:gridSpan w:val="2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2548" w:type="dxa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</w:t>
            </w:r>
          </w:p>
        </w:tc>
      </w:tr>
      <w:tr w:rsidR="008423C4" w:rsidTr="002440A5">
        <w:trPr>
          <w:trHeight w:val="881"/>
        </w:trPr>
        <w:tc>
          <w:tcPr>
            <w:tcW w:w="2546" w:type="dxa"/>
            <w:gridSpan w:val="2"/>
            <w:vAlign w:val="center"/>
          </w:tcPr>
          <w:p w:rsidR="008423C4" w:rsidRPr="00FE6997" w:rsidRDefault="008423C4" w:rsidP="002440A5">
            <w:pPr>
              <w:spacing w:line="240" w:lineRule="auto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E6997">
              <w:rPr>
                <w:rFonts w:ascii="Times New Roman" w:hAnsi="Times New Roman" w:cs="Times New Roman"/>
                <w:sz w:val="24"/>
                <w:szCs w:val="24"/>
              </w:rPr>
              <w:t xml:space="preserve">Net cost per person achieving BP control (USD) </w:t>
            </w:r>
          </w:p>
        </w:tc>
        <w:tc>
          <w:tcPr>
            <w:tcW w:w="2546" w:type="dxa"/>
            <w:gridSpan w:val="2"/>
          </w:tcPr>
          <w:p w:rsidR="008423C4" w:rsidRPr="00456102" w:rsidRDefault="00456102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bookmarkStart w:id="0" w:name="_GoBack"/>
            <w:bookmarkEnd w:id="0"/>
          </w:p>
        </w:tc>
        <w:tc>
          <w:tcPr>
            <w:tcW w:w="2546" w:type="dxa"/>
            <w:gridSpan w:val="2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-142</w:t>
            </w:r>
          </w:p>
        </w:tc>
        <w:tc>
          <w:tcPr>
            <w:tcW w:w="2548" w:type="dxa"/>
          </w:tcPr>
          <w:p w:rsidR="008423C4" w:rsidRPr="00FE6997" w:rsidRDefault="008423C4" w:rsidP="002440A5">
            <w:pPr>
              <w:spacing w:line="240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-167</w:t>
            </w:r>
          </w:p>
        </w:tc>
      </w:tr>
    </w:tbl>
    <w:p w:rsidR="008423C4" w:rsidRDefault="008423C4" w:rsidP="008423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3A0D">
        <w:rPr>
          <w:rFonts w:ascii="Times New Roman" w:hAnsi="Times New Roman" w:cs="Times New Roman"/>
          <w:sz w:val="24"/>
        </w:rPr>
        <w:t xml:space="preserve">Abbreviations: </w:t>
      </w:r>
      <w:r>
        <w:rPr>
          <w:rFonts w:ascii="Times New Roman" w:hAnsi="Times New Roman" w:cs="Times New Roman"/>
          <w:sz w:val="24"/>
        </w:rPr>
        <w:t xml:space="preserve">BP, blood pressure; </w:t>
      </w:r>
      <w:r w:rsidRPr="009F3A0D">
        <w:rPr>
          <w:rFonts w:ascii="Times New Roman" w:hAnsi="Times New Roman" w:cs="Times New Roman"/>
          <w:sz w:val="24"/>
        </w:rPr>
        <w:t>USD, U.S. dollar.</w:t>
      </w:r>
    </w:p>
    <w:p w:rsidR="008423C4" w:rsidRDefault="008423C4" w:rsidP="008423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3A0D">
        <w:rPr>
          <w:rFonts w:ascii="Times New Roman" w:hAnsi="Times New Roman" w:cs="Times New Roman"/>
          <w:sz w:val="24"/>
        </w:rPr>
        <w:t xml:space="preserve">All costs are in 2012 U.S. dollars. </w:t>
      </w:r>
      <w:r>
        <w:rPr>
          <w:rFonts w:ascii="Times New Roman" w:hAnsi="Times New Roman" w:cs="Times New Roman"/>
          <w:sz w:val="24"/>
        </w:rPr>
        <w:t>Counts of p</w:t>
      </w:r>
      <w:r w:rsidRPr="009F3A0D">
        <w:rPr>
          <w:rFonts w:ascii="Times New Roman" w:hAnsi="Times New Roman" w:cs="Times New Roman"/>
          <w:sz w:val="24"/>
        </w:rPr>
        <w:t>ersons</w:t>
      </w:r>
      <w:r>
        <w:rPr>
          <w:rFonts w:ascii="Times New Roman" w:hAnsi="Times New Roman" w:cs="Times New Roman"/>
          <w:sz w:val="24"/>
        </w:rPr>
        <w:t>’</w:t>
      </w:r>
      <w:r w:rsidRPr="009F3A0D">
        <w:rPr>
          <w:rFonts w:ascii="Times New Roman" w:hAnsi="Times New Roman" w:cs="Times New Roman"/>
          <w:sz w:val="24"/>
        </w:rPr>
        <w:t xml:space="preserve"> enrolled are categorized by age at program enrollment. For the net cost outcomes, the denominator </w:t>
      </w:r>
      <w:r>
        <w:rPr>
          <w:rFonts w:ascii="Times New Roman" w:hAnsi="Times New Roman" w:cs="Times New Roman"/>
          <w:sz w:val="24"/>
        </w:rPr>
        <w:t>consists of</w:t>
      </w:r>
      <w:r w:rsidRPr="009F3A0D">
        <w:rPr>
          <w:rFonts w:ascii="Times New Roman" w:hAnsi="Times New Roman" w:cs="Times New Roman"/>
          <w:sz w:val="24"/>
        </w:rPr>
        <w:t xml:space="preserve"> persons meeting the criteria while in the specified age category, or previously, within the time horizon (e.g., a person enrolled at age 64 would be included in both the 55-64 and 65-75 age group denominators over 5 years). For all other results, the table reflects outcomes experienced while in an age category, and a single person may contribute to more than one age category over time.</w:t>
      </w:r>
    </w:p>
    <w:p w:rsidR="008423C4" w:rsidRPr="003A08CF" w:rsidRDefault="008423C4" w:rsidP="00842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DCD">
        <w:rPr>
          <w:rFonts w:ascii="Times New Roman" w:hAnsi="Times New Roman" w:cs="Times New Roman"/>
          <w:color w:val="000000"/>
          <w:sz w:val="24"/>
          <w:szCs w:val="24"/>
          <w:lang w:val="en"/>
        </w:rPr>
        <w:t>†</w:t>
      </w:r>
      <w:r w:rsidRPr="00F273A6">
        <w:rPr>
          <w:rFonts w:ascii="Times New Roman" w:hAnsi="Times New Roman" w:cs="Times New Roman"/>
          <w:sz w:val="24"/>
          <w:szCs w:val="24"/>
        </w:rPr>
        <w:t xml:space="preserve"> </w:t>
      </w:r>
      <w:r w:rsidRPr="003A08CF">
        <w:rPr>
          <w:rFonts w:ascii="Times New Roman" w:hAnsi="Times New Roman" w:cs="Times New Roman"/>
          <w:sz w:val="24"/>
          <w:szCs w:val="24"/>
        </w:rPr>
        <w:t xml:space="preserve">Uncontrolled </w:t>
      </w:r>
      <w:r>
        <w:rPr>
          <w:rFonts w:ascii="Times New Roman" w:hAnsi="Times New Roman" w:cs="Times New Roman"/>
          <w:sz w:val="24"/>
          <w:szCs w:val="24"/>
        </w:rPr>
        <w:t>BP</w:t>
      </w:r>
      <w:r w:rsidRPr="003A08CF">
        <w:rPr>
          <w:rFonts w:ascii="Times New Roman" w:hAnsi="Times New Roman" w:cs="Times New Roman"/>
          <w:sz w:val="24"/>
          <w:szCs w:val="24"/>
        </w:rPr>
        <w:t xml:space="preserve"> was defined as SBP ≥140 mm Hg</w:t>
      </w:r>
    </w:p>
    <w:p w:rsidR="008423C4" w:rsidRPr="009F3A0D" w:rsidRDefault="008423C4" w:rsidP="008423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C4"/>
    <w:rsid w:val="00456102"/>
    <w:rsid w:val="004E5687"/>
    <w:rsid w:val="005429FE"/>
    <w:rsid w:val="00807980"/>
    <w:rsid w:val="008423C4"/>
    <w:rsid w:val="0099012C"/>
    <w:rsid w:val="00AC43DA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EE63D"/>
  <w15:chartTrackingRefBased/>
  <w15:docId w15:val="{2E54F354-46C1-49EE-AB94-28338008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Overwyk, Katherine John (CDC/DDNID/NCCDPHP/DHDSP) (CTR)</dc:creator>
  <cp:keywords/>
  <dc:description/>
  <cp:lastModifiedBy>Overwyk, Katherine John (CDC/DDNID/NCCDPHP/DHDSP) (CTR)</cp:lastModifiedBy>
  <cp:revision>7</cp:revision>
  <dcterms:created xsi:type="dcterms:W3CDTF">2019-03-20T14:53:00Z</dcterms:created>
  <dcterms:modified xsi:type="dcterms:W3CDTF">2019-06-19T14:25:00Z</dcterms:modified>
</cp:coreProperties>
</file>