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98551" w14:textId="76D30CB6" w:rsidR="00B914EC" w:rsidRDefault="00F8019F" w:rsidP="00C03D09">
      <w:pPr>
        <w:jc w:val="center"/>
        <w:rPr>
          <w:b/>
          <w:lang w:val="en-US"/>
        </w:rPr>
      </w:pPr>
      <w:r>
        <w:rPr>
          <w:b/>
          <w:lang w:val="en-US"/>
        </w:rPr>
        <w:t>C</w:t>
      </w:r>
      <w:r w:rsidR="007D193B" w:rsidRPr="007D193B">
        <w:rPr>
          <w:b/>
          <w:lang w:val="en-US"/>
        </w:rPr>
        <w:t xml:space="preserve">ervical cancer risk in </w:t>
      </w:r>
      <w:r>
        <w:rPr>
          <w:b/>
          <w:lang w:val="en-US"/>
        </w:rPr>
        <w:t>women living with HIV</w:t>
      </w:r>
      <w:r w:rsidR="007D193B" w:rsidRPr="007D193B">
        <w:rPr>
          <w:b/>
          <w:lang w:val="en-US"/>
        </w:rPr>
        <w:t xml:space="preserve"> across four continents: a </w:t>
      </w:r>
      <w:proofErr w:type="spellStart"/>
      <w:r w:rsidR="007D193B" w:rsidRPr="007D193B">
        <w:rPr>
          <w:b/>
          <w:lang w:val="en-US"/>
        </w:rPr>
        <w:t>multicohort</w:t>
      </w:r>
      <w:proofErr w:type="spellEnd"/>
      <w:r w:rsidR="007D193B" w:rsidRPr="007D193B">
        <w:rPr>
          <w:b/>
          <w:lang w:val="en-US"/>
        </w:rPr>
        <w:t xml:space="preserve"> study</w:t>
      </w:r>
    </w:p>
    <w:p w14:paraId="1E2949A3" w14:textId="77777777" w:rsidR="007D193B" w:rsidRDefault="007D193B" w:rsidP="00C03D09">
      <w:pPr>
        <w:jc w:val="center"/>
        <w:rPr>
          <w:b/>
          <w:lang w:val="en-US"/>
        </w:rPr>
      </w:pPr>
    </w:p>
    <w:p w14:paraId="6A858432" w14:textId="66F55CCB" w:rsidR="00C03D09" w:rsidRPr="00B914EC" w:rsidRDefault="00C03D09" w:rsidP="00B914EC">
      <w:pPr>
        <w:jc w:val="center"/>
        <w:rPr>
          <w:lang w:val="en-US"/>
        </w:rPr>
      </w:pPr>
      <w:r w:rsidRPr="00BB2054">
        <w:rPr>
          <w:lang w:val="en-US"/>
        </w:rPr>
        <w:t xml:space="preserve">The AIDS-defining Cancer Project Working Group </w:t>
      </w:r>
      <w:r w:rsidR="00F8019F">
        <w:rPr>
          <w:lang w:val="en-US"/>
        </w:rPr>
        <w:t>of</w:t>
      </w:r>
      <w:r w:rsidRPr="00BB2054">
        <w:rPr>
          <w:lang w:val="en-US"/>
        </w:rPr>
        <w:t xml:space="preserve"> </w:t>
      </w:r>
      <w:proofErr w:type="spellStart"/>
      <w:r w:rsidRPr="00BB2054">
        <w:rPr>
          <w:lang w:val="en-US"/>
        </w:rPr>
        <w:t>IeDEA</w:t>
      </w:r>
      <w:proofErr w:type="spellEnd"/>
      <w:r w:rsidRPr="00BB2054">
        <w:rPr>
          <w:lang w:val="en-US"/>
        </w:rPr>
        <w:t xml:space="preserve"> and COHERE in </w:t>
      </w:r>
      <w:proofErr w:type="spellStart"/>
      <w:r w:rsidRPr="00BB2054">
        <w:rPr>
          <w:lang w:val="en-US"/>
        </w:rPr>
        <w:t>EuroCoord</w:t>
      </w:r>
      <w:proofErr w:type="spellEnd"/>
    </w:p>
    <w:p w14:paraId="00A7EAF6" w14:textId="77777777" w:rsidR="00C03D09" w:rsidRDefault="00C03D09">
      <w:pPr>
        <w:rPr>
          <w:b/>
          <w:u w:val="single"/>
          <w:lang w:val="en-US"/>
        </w:rPr>
      </w:pPr>
    </w:p>
    <w:p w14:paraId="53D87741" w14:textId="6EBDC127" w:rsidR="00EF1B3B" w:rsidRPr="00EB3D75" w:rsidRDefault="00E46075" w:rsidP="00C03D09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Supplementary material</w:t>
      </w:r>
    </w:p>
    <w:p w14:paraId="357314E7" w14:textId="1B7BBD22" w:rsidR="007164F7" w:rsidRDefault="007164F7" w:rsidP="007164F7">
      <w:pPr>
        <w:rPr>
          <w:b/>
          <w:lang w:val="en-US"/>
        </w:rPr>
      </w:pPr>
      <w:r>
        <w:rPr>
          <w:b/>
          <w:lang w:val="en-US"/>
        </w:rPr>
        <w:t>Figures</w:t>
      </w:r>
    </w:p>
    <w:p w14:paraId="25DDCA6E" w14:textId="1DAA7DA4" w:rsidR="007A098C" w:rsidRDefault="00C01579" w:rsidP="007164F7">
      <w:pPr>
        <w:pStyle w:val="ListParagraph"/>
        <w:numPr>
          <w:ilvl w:val="0"/>
          <w:numId w:val="2"/>
        </w:numPr>
        <w:spacing w:line="480" w:lineRule="auto"/>
        <w:ind w:left="357" w:hanging="357"/>
        <w:rPr>
          <w:rFonts w:cstheme="minorHAnsi"/>
          <w:color w:val="231F20"/>
          <w:lang w:val="en-US"/>
        </w:rPr>
      </w:pPr>
      <w:r>
        <w:rPr>
          <w:b/>
          <w:lang w:val="en-US"/>
        </w:rPr>
        <w:t>Supplementary F</w:t>
      </w:r>
      <w:r w:rsidR="007164F7" w:rsidRPr="007164F7">
        <w:rPr>
          <w:b/>
          <w:lang w:val="en-US"/>
        </w:rPr>
        <w:t xml:space="preserve">igure S1: </w:t>
      </w:r>
      <w:r w:rsidR="007164F7" w:rsidRPr="00F8019F">
        <w:rPr>
          <w:rFonts w:cstheme="minorHAnsi"/>
          <w:bCs/>
          <w:color w:val="231F20"/>
          <w:lang w:val="en-US"/>
        </w:rPr>
        <w:t>Identification of study population for analysis.</w:t>
      </w:r>
      <w:r w:rsidR="007164F7" w:rsidRPr="007164F7">
        <w:rPr>
          <w:rFonts w:cstheme="minorHAnsi"/>
          <w:b/>
          <w:bCs/>
          <w:color w:val="231F20"/>
          <w:lang w:val="en-US"/>
        </w:rPr>
        <w:t xml:space="preserve"> </w:t>
      </w:r>
      <w:r w:rsidR="007164F7" w:rsidRPr="007164F7">
        <w:rPr>
          <w:rFonts w:cstheme="minorHAnsi"/>
          <w:color w:val="231F20"/>
          <w:lang w:val="en-US"/>
        </w:rPr>
        <w:t>The flow diagram shows the number of included and excluded patients.</w:t>
      </w:r>
      <w:r w:rsidR="006F0FC0">
        <w:rPr>
          <w:rFonts w:cstheme="minorHAnsi"/>
          <w:color w:val="231F20"/>
          <w:lang w:val="en-US"/>
        </w:rPr>
        <w:t xml:space="preserve"> </w:t>
      </w:r>
    </w:p>
    <w:p w14:paraId="198D1A41" w14:textId="79DC3834" w:rsidR="00BC382A" w:rsidRDefault="00BC382A" w:rsidP="00BC382A">
      <w:pPr>
        <w:pStyle w:val="ListParagraph"/>
        <w:numPr>
          <w:ilvl w:val="0"/>
          <w:numId w:val="2"/>
        </w:numPr>
        <w:spacing w:line="480" w:lineRule="auto"/>
        <w:ind w:left="357" w:hanging="357"/>
        <w:rPr>
          <w:rFonts w:cstheme="minorHAnsi"/>
          <w:color w:val="231F20"/>
          <w:lang w:val="en-US"/>
        </w:rPr>
      </w:pPr>
      <w:r>
        <w:rPr>
          <w:b/>
          <w:lang w:val="en-US"/>
        </w:rPr>
        <w:t>Supplementary Figure S2</w:t>
      </w:r>
      <w:r w:rsidRPr="007164F7">
        <w:rPr>
          <w:b/>
          <w:lang w:val="en-US"/>
        </w:rPr>
        <w:t xml:space="preserve">: </w:t>
      </w:r>
      <w:r w:rsidRPr="00F8019F">
        <w:rPr>
          <w:rFonts w:cstheme="minorHAnsi"/>
          <w:bCs/>
          <w:color w:val="231F20"/>
          <w:lang w:val="en-US"/>
        </w:rPr>
        <w:t xml:space="preserve">Identification of study population for </w:t>
      </w:r>
      <w:r>
        <w:rPr>
          <w:rFonts w:cstheme="minorHAnsi"/>
          <w:bCs/>
          <w:color w:val="231F20"/>
          <w:lang w:val="en-US"/>
        </w:rPr>
        <w:t>the European region</w:t>
      </w:r>
      <w:r w:rsidRPr="00F8019F">
        <w:rPr>
          <w:rFonts w:cstheme="minorHAnsi"/>
          <w:bCs/>
          <w:color w:val="231F20"/>
          <w:lang w:val="en-US"/>
        </w:rPr>
        <w:t>.</w:t>
      </w:r>
      <w:r w:rsidRPr="007164F7">
        <w:rPr>
          <w:rFonts w:cstheme="minorHAnsi"/>
          <w:b/>
          <w:bCs/>
          <w:color w:val="231F20"/>
          <w:lang w:val="en-US"/>
        </w:rPr>
        <w:t xml:space="preserve"> </w:t>
      </w:r>
    </w:p>
    <w:p w14:paraId="651B8769" w14:textId="70AEA35A" w:rsidR="00BC382A" w:rsidRDefault="00BC382A" w:rsidP="00BC382A">
      <w:pPr>
        <w:pStyle w:val="ListParagraph"/>
        <w:numPr>
          <w:ilvl w:val="0"/>
          <w:numId w:val="2"/>
        </w:numPr>
        <w:spacing w:line="480" w:lineRule="auto"/>
        <w:ind w:left="357" w:hanging="357"/>
        <w:rPr>
          <w:rFonts w:cstheme="minorHAnsi"/>
          <w:color w:val="231F20"/>
          <w:lang w:val="en-US"/>
        </w:rPr>
      </w:pPr>
      <w:r>
        <w:rPr>
          <w:b/>
          <w:lang w:val="en-US"/>
        </w:rPr>
        <w:t>Supplementary Figure S3</w:t>
      </w:r>
      <w:r w:rsidRPr="007164F7">
        <w:rPr>
          <w:b/>
          <w:lang w:val="en-US"/>
        </w:rPr>
        <w:t xml:space="preserve">: </w:t>
      </w:r>
      <w:r w:rsidRPr="00F8019F">
        <w:rPr>
          <w:rFonts w:cstheme="minorHAnsi"/>
          <w:bCs/>
          <w:color w:val="231F20"/>
          <w:lang w:val="en-US"/>
        </w:rPr>
        <w:t xml:space="preserve">Identification of study population for </w:t>
      </w:r>
      <w:r>
        <w:rPr>
          <w:rFonts w:cstheme="minorHAnsi"/>
          <w:bCs/>
          <w:color w:val="231F20"/>
          <w:lang w:val="en-US"/>
        </w:rPr>
        <w:t>the North American region</w:t>
      </w:r>
      <w:r w:rsidRPr="00F8019F">
        <w:rPr>
          <w:rFonts w:cstheme="minorHAnsi"/>
          <w:bCs/>
          <w:color w:val="231F20"/>
          <w:lang w:val="en-US"/>
        </w:rPr>
        <w:t>.</w:t>
      </w:r>
      <w:r w:rsidRPr="007164F7">
        <w:rPr>
          <w:rFonts w:cstheme="minorHAnsi"/>
          <w:b/>
          <w:bCs/>
          <w:color w:val="231F20"/>
          <w:lang w:val="en-US"/>
        </w:rPr>
        <w:t xml:space="preserve"> </w:t>
      </w:r>
    </w:p>
    <w:p w14:paraId="119F082C" w14:textId="23372F77" w:rsidR="00BC382A" w:rsidRDefault="00BC382A" w:rsidP="00BC382A">
      <w:pPr>
        <w:pStyle w:val="ListParagraph"/>
        <w:numPr>
          <w:ilvl w:val="0"/>
          <w:numId w:val="2"/>
        </w:numPr>
        <w:spacing w:line="480" w:lineRule="auto"/>
        <w:ind w:left="357" w:hanging="357"/>
        <w:rPr>
          <w:rFonts w:cstheme="minorHAnsi"/>
          <w:color w:val="231F20"/>
          <w:lang w:val="en-US"/>
        </w:rPr>
      </w:pPr>
      <w:r>
        <w:rPr>
          <w:b/>
          <w:lang w:val="en-US"/>
        </w:rPr>
        <w:t>Supplementary Figure S4</w:t>
      </w:r>
      <w:r w:rsidRPr="007164F7">
        <w:rPr>
          <w:b/>
          <w:lang w:val="en-US"/>
        </w:rPr>
        <w:t xml:space="preserve">: </w:t>
      </w:r>
      <w:r w:rsidRPr="00F8019F">
        <w:rPr>
          <w:rFonts w:cstheme="minorHAnsi"/>
          <w:bCs/>
          <w:color w:val="231F20"/>
          <w:lang w:val="en-US"/>
        </w:rPr>
        <w:t xml:space="preserve">Identification of study population for </w:t>
      </w:r>
      <w:r>
        <w:rPr>
          <w:rFonts w:cstheme="minorHAnsi"/>
          <w:bCs/>
          <w:color w:val="231F20"/>
          <w:lang w:val="en-US"/>
        </w:rPr>
        <w:t>the Latin American region</w:t>
      </w:r>
      <w:r w:rsidRPr="00F8019F">
        <w:rPr>
          <w:rFonts w:cstheme="minorHAnsi"/>
          <w:bCs/>
          <w:color w:val="231F20"/>
          <w:lang w:val="en-US"/>
        </w:rPr>
        <w:t>.</w:t>
      </w:r>
      <w:r w:rsidRPr="007164F7">
        <w:rPr>
          <w:rFonts w:cstheme="minorHAnsi"/>
          <w:b/>
          <w:bCs/>
          <w:color w:val="231F20"/>
          <w:lang w:val="en-US"/>
        </w:rPr>
        <w:t xml:space="preserve"> </w:t>
      </w:r>
    </w:p>
    <w:p w14:paraId="762F078C" w14:textId="77777777" w:rsidR="00817B90" w:rsidRPr="00817B90" w:rsidRDefault="00BC382A" w:rsidP="00817B90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color w:val="231F20"/>
          <w:lang w:val="en-US"/>
        </w:rPr>
      </w:pPr>
      <w:r w:rsidRPr="00817B90">
        <w:rPr>
          <w:b/>
          <w:lang w:val="en-US"/>
        </w:rPr>
        <w:t xml:space="preserve">Supplementary Figure S5: </w:t>
      </w:r>
      <w:r w:rsidRPr="00817B90">
        <w:rPr>
          <w:rFonts w:cstheme="minorHAnsi"/>
          <w:bCs/>
          <w:color w:val="231F20"/>
          <w:lang w:val="en-US"/>
        </w:rPr>
        <w:t>Identification of study population for the South African region.</w:t>
      </w:r>
    </w:p>
    <w:p w14:paraId="123A140D" w14:textId="75F5EA6B" w:rsidR="00537845" w:rsidRPr="00817B90" w:rsidRDefault="00C01579" w:rsidP="00817B90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color w:val="231F20"/>
          <w:lang w:val="en-US"/>
        </w:rPr>
      </w:pPr>
      <w:bookmarkStart w:id="0" w:name="_GoBack"/>
      <w:bookmarkEnd w:id="0"/>
      <w:r w:rsidRPr="00817B90">
        <w:rPr>
          <w:rFonts w:cstheme="minorHAnsi"/>
          <w:b/>
          <w:color w:val="231F20"/>
          <w:lang w:val="en-US"/>
        </w:rPr>
        <w:t>Supplementary F</w:t>
      </w:r>
      <w:r w:rsidR="00537845" w:rsidRPr="00817B90">
        <w:rPr>
          <w:rFonts w:cstheme="minorHAnsi"/>
          <w:b/>
          <w:color w:val="231F20"/>
          <w:lang w:val="en-US"/>
        </w:rPr>
        <w:t>igure S</w:t>
      </w:r>
      <w:r w:rsidR="00BC382A" w:rsidRPr="00817B90">
        <w:rPr>
          <w:rFonts w:cstheme="minorHAnsi"/>
          <w:b/>
          <w:color w:val="231F20"/>
          <w:lang w:val="en-US"/>
        </w:rPr>
        <w:t>6</w:t>
      </w:r>
      <w:r w:rsidR="00537845" w:rsidRPr="00817B90">
        <w:rPr>
          <w:rFonts w:cstheme="minorHAnsi"/>
          <w:b/>
          <w:color w:val="231F20"/>
          <w:lang w:val="en-US"/>
        </w:rPr>
        <w:t>:</w:t>
      </w:r>
      <w:r w:rsidR="00537845" w:rsidRPr="00817B90">
        <w:rPr>
          <w:rFonts w:cstheme="minorHAnsi"/>
          <w:color w:val="231F20"/>
          <w:lang w:val="en-US"/>
        </w:rPr>
        <w:t xml:space="preserve">   </w:t>
      </w:r>
      <w:r w:rsidR="00F8019F" w:rsidRPr="00817B90">
        <w:rPr>
          <w:lang w:val="en-US"/>
        </w:rPr>
        <w:t>ICC incidence rates by time since ART initiation and current CD4 cell count (cells/</w:t>
      </w:r>
      <w:r w:rsidR="00F8019F" w:rsidRPr="00817B90">
        <w:rPr>
          <w:rFonts w:cstheme="minorHAnsi"/>
          <w:lang w:val="en-US"/>
        </w:rPr>
        <w:t>µ</w:t>
      </w:r>
      <w:r w:rsidR="00F8019F" w:rsidRPr="00817B90">
        <w:rPr>
          <w:lang w:val="en-US"/>
        </w:rPr>
        <w:t>l) predicted from the second adjusted model (sensitivity analysis) for women living with HIV who initiated an NNRTI-based first-line ART regimen between 2008-2014 at age 31-50 years.</w:t>
      </w:r>
    </w:p>
    <w:p w14:paraId="62F32825" w14:textId="12B256DA" w:rsidR="007164F7" w:rsidRPr="007164F7" w:rsidRDefault="007164F7">
      <w:pPr>
        <w:rPr>
          <w:b/>
          <w:lang w:val="en-US"/>
        </w:rPr>
      </w:pPr>
      <w:r w:rsidRPr="007164F7">
        <w:rPr>
          <w:b/>
          <w:lang w:val="en-US"/>
        </w:rPr>
        <w:t>Tables</w:t>
      </w:r>
    </w:p>
    <w:p w14:paraId="554BE9BF" w14:textId="65D87993" w:rsidR="00F64DA1" w:rsidRDefault="00C01579" w:rsidP="00F64DA1">
      <w:pPr>
        <w:pStyle w:val="ListParagraph"/>
        <w:numPr>
          <w:ilvl w:val="0"/>
          <w:numId w:val="3"/>
        </w:numPr>
        <w:spacing w:after="120" w:line="480" w:lineRule="auto"/>
        <w:rPr>
          <w:rFonts w:cstheme="minorHAnsi"/>
          <w:bCs/>
          <w:color w:val="000000"/>
          <w:lang w:val="en-US"/>
        </w:rPr>
      </w:pPr>
      <w:r>
        <w:rPr>
          <w:rFonts w:cstheme="minorHAnsi"/>
          <w:b/>
          <w:bCs/>
          <w:color w:val="000000"/>
          <w:lang w:val="en-US"/>
        </w:rPr>
        <w:t>Supplementary T</w:t>
      </w:r>
      <w:r w:rsidR="00F64DA1" w:rsidRPr="007164F7">
        <w:rPr>
          <w:rFonts w:cstheme="minorHAnsi"/>
          <w:b/>
          <w:bCs/>
          <w:color w:val="000000"/>
          <w:lang w:val="en-US"/>
        </w:rPr>
        <w:t>able S</w:t>
      </w:r>
      <w:r w:rsidR="00F64DA1">
        <w:rPr>
          <w:rFonts w:cstheme="minorHAnsi"/>
          <w:b/>
          <w:bCs/>
          <w:color w:val="000000"/>
          <w:lang w:val="en-US"/>
        </w:rPr>
        <w:t>1</w:t>
      </w:r>
      <w:r w:rsidR="00F64DA1" w:rsidRPr="007164F7">
        <w:rPr>
          <w:rFonts w:cstheme="minorHAnsi"/>
          <w:b/>
          <w:bCs/>
          <w:color w:val="000000"/>
          <w:lang w:val="en-US"/>
        </w:rPr>
        <w:t xml:space="preserve">: </w:t>
      </w:r>
      <w:r w:rsidR="00F64DA1" w:rsidRPr="003E167C">
        <w:rPr>
          <w:rFonts w:cstheme="minorHAnsi"/>
          <w:bCs/>
          <w:color w:val="000000"/>
          <w:lang w:val="en-US"/>
        </w:rPr>
        <w:t xml:space="preserve">Characteristics of </w:t>
      </w:r>
      <w:r w:rsidR="00F8019F">
        <w:rPr>
          <w:rFonts w:cstheme="minorHAnsi"/>
          <w:bCs/>
          <w:color w:val="000000"/>
          <w:lang w:val="en-US"/>
        </w:rPr>
        <w:t>women</w:t>
      </w:r>
      <w:r w:rsidR="00F64DA1">
        <w:rPr>
          <w:rFonts w:cstheme="minorHAnsi"/>
          <w:bCs/>
          <w:color w:val="000000"/>
          <w:lang w:val="en-US"/>
        </w:rPr>
        <w:t xml:space="preserve"> with incident </w:t>
      </w:r>
      <w:r w:rsidR="00A82B7A">
        <w:rPr>
          <w:rFonts w:cstheme="minorHAnsi"/>
          <w:bCs/>
          <w:color w:val="000000"/>
          <w:lang w:val="en-US"/>
        </w:rPr>
        <w:t>ICC</w:t>
      </w:r>
      <w:r w:rsidR="00F64DA1">
        <w:rPr>
          <w:rFonts w:cstheme="minorHAnsi"/>
          <w:bCs/>
          <w:color w:val="000000"/>
          <w:lang w:val="en-US"/>
        </w:rPr>
        <w:t>.</w:t>
      </w:r>
    </w:p>
    <w:p w14:paraId="0FA7C289" w14:textId="073FB9D2" w:rsidR="00027F65" w:rsidRPr="00027F65" w:rsidRDefault="00027F65" w:rsidP="00027F65">
      <w:pPr>
        <w:pStyle w:val="ListParagraph"/>
        <w:numPr>
          <w:ilvl w:val="0"/>
          <w:numId w:val="3"/>
        </w:numPr>
        <w:spacing w:after="120" w:line="480" w:lineRule="auto"/>
        <w:rPr>
          <w:rFonts w:cstheme="minorHAnsi"/>
          <w:bCs/>
          <w:lang w:val="en-US"/>
        </w:rPr>
      </w:pPr>
      <w:r w:rsidRPr="00027F65">
        <w:rPr>
          <w:rFonts w:cstheme="minorHAnsi"/>
          <w:b/>
          <w:bCs/>
          <w:lang w:val="en-US"/>
        </w:rPr>
        <w:t xml:space="preserve">Supplementary </w:t>
      </w:r>
      <w:r w:rsidR="00C01579">
        <w:rPr>
          <w:rFonts w:cstheme="minorHAnsi"/>
          <w:b/>
          <w:bCs/>
          <w:lang w:val="en-US"/>
        </w:rPr>
        <w:t>T</w:t>
      </w:r>
      <w:r w:rsidRPr="00027F65">
        <w:rPr>
          <w:rFonts w:cstheme="minorHAnsi"/>
          <w:b/>
          <w:bCs/>
          <w:lang w:val="en-US"/>
        </w:rPr>
        <w:t xml:space="preserve">able S2: </w:t>
      </w:r>
      <w:r w:rsidRPr="00F8019F">
        <w:rPr>
          <w:rFonts w:cstheme="minorHAnsi"/>
          <w:bCs/>
          <w:lang w:val="en-US"/>
        </w:rPr>
        <w:t xml:space="preserve">Comparison of ICC </w:t>
      </w:r>
      <w:r w:rsidR="00F8019F">
        <w:rPr>
          <w:rFonts w:cstheme="minorHAnsi"/>
          <w:bCs/>
          <w:lang w:val="en-US"/>
        </w:rPr>
        <w:t>rates</w:t>
      </w:r>
      <w:r w:rsidRPr="00F8019F">
        <w:rPr>
          <w:rFonts w:cstheme="minorHAnsi"/>
          <w:bCs/>
          <w:lang w:val="en-US"/>
        </w:rPr>
        <w:t xml:space="preserve"> between different regions and Europe:</w:t>
      </w:r>
      <w:r w:rsidRPr="00027F65">
        <w:rPr>
          <w:rFonts w:cstheme="minorHAnsi"/>
          <w:b/>
          <w:bCs/>
          <w:lang w:val="en-US"/>
        </w:rPr>
        <w:t xml:space="preserve"> </w:t>
      </w:r>
      <w:r w:rsidRPr="00027F65">
        <w:rPr>
          <w:rFonts w:cstheme="minorHAnsi"/>
          <w:bCs/>
          <w:lang w:val="en-US"/>
        </w:rPr>
        <w:t>Crude and adjusted HRs for ICC at 2 years and 5 years after ART initiation in women living with HIV; sensitivity analysis excluding ICC cases diagnosed within the first three months after ART initiation.</w:t>
      </w:r>
    </w:p>
    <w:p w14:paraId="5420756A" w14:textId="0532C90D" w:rsidR="00027F65" w:rsidRPr="00027F65" w:rsidRDefault="00C01579" w:rsidP="00027F65">
      <w:pPr>
        <w:pStyle w:val="ListParagraph"/>
        <w:numPr>
          <w:ilvl w:val="0"/>
          <w:numId w:val="3"/>
        </w:numPr>
        <w:spacing w:after="120" w:line="480" w:lineRule="auto"/>
        <w:rPr>
          <w:rFonts w:cstheme="minorHAnsi"/>
          <w:bCs/>
          <w:color w:val="000000"/>
          <w:lang w:val="en-US"/>
        </w:rPr>
      </w:pPr>
      <w:r>
        <w:rPr>
          <w:rFonts w:cstheme="minorHAnsi"/>
          <w:b/>
          <w:bCs/>
          <w:color w:val="000000"/>
          <w:lang w:val="en-US"/>
        </w:rPr>
        <w:t>Supplementary T</w:t>
      </w:r>
      <w:r w:rsidR="00027F65">
        <w:rPr>
          <w:rFonts w:cstheme="minorHAnsi"/>
          <w:b/>
          <w:bCs/>
          <w:color w:val="000000"/>
          <w:lang w:val="en-US"/>
        </w:rPr>
        <w:t>able S3:</w:t>
      </w:r>
      <w:r w:rsidR="00027F65">
        <w:rPr>
          <w:rFonts w:cstheme="minorHAnsi"/>
          <w:bCs/>
          <w:color w:val="000000"/>
          <w:lang w:val="en-US"/>
        </w:rPr>
        <w:t xml:space="preserve"> </w:t>
      </w:r>
      <w:r w:rsidR="00AC0707">
        <w:rPr>
          <w:rFonts w:cstheme="minorHAnsi"/>
          <w:bCs/>
          <w:color w:val="000000"/>
          <w:lang w:val="en-US"/>
        </w:rPr>
        <w:t>Sensitivity analysis of regional risk factors for incident ICC in women who have initiated ART, excluding ICC cases diagnosed within the first three months after ART initiation.</w:t>
      </w:r>
    </w:p>
    <w:p w14:paraId="3A21E94D" w14:textId="592099E9" w:rsidR="007103DC" w:rsidRPr="007103DC" w:rsidRDefault="00C01579" w:rsidP="00E407A9">
      <w:pPr>
        <w:pStyle w:val="ListParagraph"/>
        <w:numPr>
          <w:ilvl w:val="0"/>
          <w:numId w:val="3"/>
        </w:numPr>
        <w:spacing w:line="480" w:lineRule="auto"/>
        <w:ind w:left="357" w:hanging="357"/>
        <w:contextualSpacing w:val="0"/>
        <w:jc w:val="both"/>
        <w:rPr>
          <w:b/>
          <w:lang w:val="en-US"/>
        </w:rPr>
      </w:pPr>
      <w:r>
        <w:rPr>
          <w:rFonts w:cstheme="minorHAnsi"/>
          <w:b/>
          <w:bCs/>
          <w:color w:val="000000"/>
          <w:lang w:val="en-US"/>
        </w:rPr>
        <w:t>Supplementary T</w:t>
      </w:r>
      <w:r w:rsidR="00521E7B" w:rsidRPr="007103DC">
        <w:rPr>
          <w:rFonts w:cstheme="minorHAnsi"/>
          <w:b/>
          <w:bCs/>
          <w:color w:val="000000"/>
          <w:lang w:val="en-US"/>
        </w:rPr>
        <w:t>able S</w:t>
      </w:r>
      <w:r w:rsidR="00027F65" w:rsidRPr="007103DC">
        <w:rPr>
          <w:rFonts w:cstheme="minorHAnsi"/>
          <w:b/>
          <w:bCs/>
          <w:color w:val="000000"/>
          <w:lang w:val="en-US"/>
        </w:rPr>
        <w:t>4</w:t>
      </w:r>
      <w:r w:rsidR="00521E7B" w:rsidRPr="007103DC">
        <w:rPr>
          <w:rFonts w:cstheme="minorHAnsi"/>
          <w:b/>
          <w:bCs/>
          <w:color w:val="000000"/>
          <w:lang w:val="en-US"/>
        </w:rPr>
        <w:t>:</w:t>
      </w:r>
      <w:r w:rsidR="00521E7B" w:rsidRPr="007103DC">
        <w:rPr>
          <w:rFonts w:cstheme="minorHAnsi"/>
          <w:bCs/>
          <w:color w:val="000000"/>
          <w:lang w:val="en-US"/>
        </w:rPr>
        <w:t xml:space="preserve"> Sensitivity analysis of regional risk factors for incident ICC in women who </w:t>
      </w:r>
      <w:r w:rsidR="00637FF9">
        <w:rPr>
          <w:rFonts w:cstheme="minorHAnsi"/>
          <w:bCs/>
          <w:color w:val="000000"/>
          <w:lang w:val="en-US"/>
        </w:rPr>
        <w:t xml:space="preserve">have </w:t>
      </w:r>
      <w:r w:rsidR="00521E7B" w:rsidRPr="007103DC">
        <w:rPr>
          <w:rFonts w:cstheme="minorHAnsi"/>
          <w:bCs/>
          <w:color w:val="000000"/>
          <w:lang w:val="en-US"/>
        </w:rPr>
        <w:t>initiated ART</w:t>
      </w:r>
      <w:r w:rsidR="00027F65" w:rsidRPr="007103DC">
        <w:rPr>
          <w:rFonts w:cstheme="minorHAnsi"/>
          <w:bCs/>
          <w:color w:val="000000"/>
          <w:lang w:val="en-US"/>
        </w:rPr>
        <w:t xml:space="preserve">, including current CD4 cell count instead of CD4 cell count at ART </w:t>
      </w:r>
      <w:proofErr w:type="spellStart"/>
      <w:r w:rsidR="00027F65" w:rsidRPr="007103DC">
        <w:rPr>
          <w:rFonts w:cstheme="minorHAnsi"/>
          <w:bCs/>
          <w:color w:val="000000"/>
          <w:lang w:val="en-US"/>
        </w:rPr>
        <w:t>initation</w:t>
      </w:r>
      <w:proofErr w:type="spellEnd"/>
      <w:r w:rsidR="00521E7B" w:rsidRPr="007103DC">
        <w:rPr>
          <w:rFonts w:cstheme="minorHAnsi"/>
          <w:bCs/>
          <w:color w:val="000000"/>
          <w:lang w:val="en-US"/>
        </w:rPr>
        <w:t>.</w:t>
      </w:r>
    </w:p>
    <w:p w14:paraId="58B3D50E" w14:textId="7F7F91CD" w:rsidR="007103DC" w:rsidRDefault="007103DC" w:rsidP="007103DC">
      <w:pPr>
        <w:pStyle w:val="ListParagraph"/>
        <w:spacing w:after="120" w:line="480" w:lineRule="auto"/>
        <w:ind w:left="0"/>
        <w:rPr>
          <w:rFonts w:cstheme="minorHAnsi"/>
          <w:b/>
          <w:color w:val="231F20"/>
          <w:lang w:val="en-US"/>
        </w:rPr>
      </w:pPr>
      <w:r>
        <w:rPr>
          <w:rFonts w:cstheme="minorHAnsi"/>
          <w:b/>
          <w:color w:val="231F20"/>
          <w:lang w:val="en-US"/>
        </w:rPr>
        <w:lastRenderedPageBreak/>
        <w:t>Acknowledgements</w:t>
      </w:r>
    </w:p>
    <w:p w14:paraId="06015D72" w14:textId="77777777" w:rsidR="007103DC" w:rsidRPr="00F64DA1" w:rsidRDefault="007103DC" w:rsidP="007103DC">
      <w:pPr>
        <w:pStyle w:val="ListParagraph"/>
        <w:numPr>
          <w:ilvl w:val="0"/>
          <w:numId w:val="5"/>
        </w:numPr>
        <w:spacing w:after="120" w:line="480" w:lineRule="auto"/>
        <w:rPr>
          <w:rFonts w:cstheme="minorHAnsi"/>
          <w:b/>
          <w:bCs/>
          <w:color w:val="000000"/>
          <w:lang w:val="en-US"/>
        </w:rPr>
      </w:pPr>
      <w:r>
        <w:rPr>
          <w:rFonts w:cstheme="minorHAnsi"/>
          <w:b/>
          <w:bCs/>
          <w:color w:val="000000"/>
          <w:lang w:val="en-US"/>
        </w:rPr>
        <w:t>Detailed acknowledgements of consortia contributing data to this analysis.</w:t>
      </w:r>
    </w:p>
    <w:p w14:paraId="076B86E8" w14:textId="5B5DD785" w:rsidR="00482D16" w:rsidRPr="007103DC" w:rsidRDefault="00482D16" w:rsidP="007103DC">
      <w:pPr>
        <w:spacing w:after="120" w:line="480" w:lineRule="auto"/>
        <w:jc w:val="both"/>
        <w:rPr>
          <w:b/>
          <w:lang w:val="en-US"/>
        </w:rPr>
      </w:pPr>
      <w:r w:rsidRPr="007103DC">
        <w:rPr>
          <w:b/>
          <w:lang w:val="en-US"/>
        </w:rPr>
        <w:br w:type="page"/>
      </w:r>
    </w:p>
    <w:p w14:paraId="1272BA99" w14:textId="515D2C80" w:rsidR="007D193B" w:rsidRPr="00521E7B" w:rsidRDefault="00C01579" w:rsidP="00A52766">
      <w:pPr>
        <w:spacing w:line="480" w:lineRule="auto"/>
        <w:rPr>
          <w:rFonts w:cstheme="minorHAnsi"/>
          <w:noProof/>
          <w:color w:val="231F20"/>
          <w:lang w:val="en-US" w:eastAsia="de-CH"/>
        </w:rPr>
      </w:pPr>
      <w:r>
        <w:rPr>
          <w:b/>
          <w:lang w:val="en-US"/>
        </w:rPr>
        <w:lastRenderedPageBreak/>
        <w:t>Supplementary F</w:t>
      </w:r>
      <w:r w:rsidR="00482D16" w:rsidRPr="00482D16">
        <w:rPr>
          <w:b/>
          <w:lang w:val="en-US"/>
        </w:rPr>
        <w:t xml:space="preserve">igure </w:t>
      </w:r>
      <w:r w:rsidR="00482D16">
        <w:rPr>
          <w:b/>
          <w:lang w:val="en-US"/>
        </w:rPr>
        <w:t>S</w:t>
      </w:r>
      <w:r w:rsidR="00482D16" w:rsidRPr="00482D16">
        <w:rPr>
          <w:b/>
          <w:lang w:val="en-US"/>
        </w:rPr>
        <w:t>1:</w:t>
      </w:r>
      <w:r w:rsidR="00482D16" w:rsidRPr="002926D6">
        <w:rPr>
          <w:lang w:val="en-US"/>
        </w:rPr>
        <w:t xml:space="preserve"> </w:t>
      </w:r>
      <w:r w:rsidR="00482D16" w:rsidRPr="002926D6">
        <w:rPr>
          <w:rFonts w:cstheme="minorHAnsi"/>
          <w:bCs/>
          <w:color w:val="231F20"/>
          <w:lang w:val="en-US"/>
        </w:rPr>
        <w:t>Identification of study population for analysis.</w:t>
      </w:r>
      <w:r w:rsidR="00482D16">
        <w:rPr>
          <w:rFonts w:cstheme="minorHAnsi"/>
          <w:b/>
          <w:bCs/>
          <w:color w:val="231F20"/>
          <w:lang w:val="en-US"/>
        </w:rPr>
        <w:t xml:space="preserve"> </w:t>
      </w:r>
      <w:r w:rsidR="00482D16" w:rsidRPr="00830C7D">
        <w:rPr>
          <w:rFonts w:cstheme="minorHAnsi"/>
          <w:color w:val="231F20"/>
          <w:lang w:val="en-US"/>
        </w:rPr>
        <w:t xml:space="preserve">The flow diagram shows the number of included and excluded </w:t>
      </w:r>
      <w:r w:rsidR="007D193B">
        <w:rPr>
          <w:rFonts w:cstheme="minorHAnsi"/>
          <w:color w:val="231F20"/>
          <w:lang w:val="en-US"/>
        </w:rPr>
        <w:t>women</w:t>
      </w:r>
      <w:r w:rsidR="00482D16" w:rsidRPr="00830C7D">
        <w:rPr>
          <w:rFonts w:cstheme="minorHAnsi"/>
          <w:color w:val="231F20"/>
          <w:lang w:val="en-US"/>
        </w:rPr>
        <w:t>.</w:t>
      </w:r>
    </w:p>
    <w:p w14:paraId="3682B3C4" w14:textId="53D6F0C7" w:rsidR="00537845" w:rsidRDefault="005459E7" w:rsidP="00A52766">
      <w:pPr>
        <w:spacing w:line="480" w:lineRule="auto"/>
        <w:rPr>
          <w:rFonts w:cstheme="minorHAnsi"/>
          <w:color w:val="231F20"/>
          <w:lang w:val="en-US"/>
        </w:rPr>
      </w:pPr>
      <w:r>
        <w:rPr>
          <w:rFonts w:cstheme="minorHAnsi"/>
          <w:noProof/>
          <w:color w:val="231F20"/>
          <w:lang w:val="en-US"/>
        </w:rPr>
        <w:drawing>
          <wp:inline distT="0" distB="0" distL="0" distR="0" wp14:anchorId="22C47049" wp14:editId="04412FE4">
            <wp:extent cx="5753100" cy="724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2B2FD" w14:textId="77777777" w:rsidR="00003863" w:rsidRDefault="00003863" w:rsidP="00A52766">
      <w:pPr>
        <w:spacing w:line="480" w:lineRule="auto"/>
        <w:rPr>
          <w:rFonts w:cstheme="minorHAnsi"/>
          <w:color w:val="231F20"/>
          <w:lang w:val="en-US"/>
        </w:rPr>
      </w:pPr>
    </w:p>
    <w:p w14:paraId="4C8E3F66" w14:textId="063982CB" w:rsidR="00B23733" w:rsidRDefault="00003863" w:rsidP="00A52766">
      <w:pPr>
        <w:spacing w:line="480" w:lineRule="auto"/>
        <w:rPr>
          <w:rFonts w:cstheme="minorHAnsi"/>
          <w:color w:val="231F20"/>
          <w:lang w:val="en-US"/>
        </w:rPr>
      </w:pPr>
      <w:r>
        <w:rPr>
          <w:rFonts w:cstheme="minorHAnsi"/>
          <w:color w:val="231F20"/>
          <w:lang w:val="en-US"/>
        </w:rPr>
        <w:t>ART, antiretroviral therapy</w:t>
      </w:r>
      <w:proofErr w:type="gramStart"/>
      <w:r>
        <w:rPr>
          <w:rFonts w:cstheme="minorHAnsi"/>
          <w:color w:val="231F20"/>
          <w:lang w:val="en-US"/>
        </w:rPr>
        <w:t>;  ICC</w:t>
      </w:r>
      <w:proofErr w:type="gramEnd"/>
      <w:r>
        <w:rPr>
          <w:rFonts w:cstheme="minorHAnsi"/>
          <w:color w:val="231F20"/>
          <w:lang w:val="en-US"/>
        </w:rPr>
        <w:t>, invasive cervical cancer.</w:t>
      </w:r>
    </w:p>
    <w:p w14:paraId="2DE0F25C" w14:textId="0B30B529" w:rsidR="00B23733" w:rsidRDefault="00B23733" w:rsidP="00B23733">
      <w:pPr>
        <w:spacing w:line="480" w:lineRule="auto"/>
        <w:rPr>
          <w:rFonts w:cstheme="minorHAnsi"/>
          <w:bCs/>
          <w:color w:val="231F20"/>
          <w:lang w:val="en-US"/>
        </w:rPr>
      </w:pPr>
      <w:r>
        <w:rPr>
          <w:b/>
          <w:lang w:val="en-US"/>
        </w:rPr>
        <w:lastRenderedPageBreak/>
        <w:t>Supplementary F</w:t>
      </w:r>
      <w:r w:rsidRPr="00482D16">
        <w:rPr>
          <w:b/>
          <w:lang w:val="en-US"/>
        </w:rPr>
        <w:t xml:space="preserve">igure </w:t>
      </w:r>
      <w:r>
        <w:rPr>
          <w:b/>
          <w:lang w:val="en-US"/>
        </w:rPr>
        <w:t>S2</w:t>
      </w:r>
      <w:r w:rsidRPr="00482D16">
        <w:rPr>
          <w:b/>
          <w:lang w:val="en-US"/>
        </w:rPr>
        <w:t>:</w:t>
      </w:r>
      <w:r w:rsidRPr="002926D6">
        <w:rPr>
          <w:lang w:val="en-US"/>
        </w:rPr>
        <w:t xml:space="preserve"> </w:t>
      </w:r>
      <w:r w:rsidRPr="002926D6">
        <w:rPr>
          <w:rFonts w:cstheme="minorHAnsi"/>
          <w:bCs/>
          <w:color w:val="231F20"/>
          <w:lang w:val="en-US"/>
        </w:rPr>
        <w:t xml:space="preserve">Identification of study population for </w:t>
      </w:r>
      <w:r>
        <w:rPr>
          <w:rFonts w:cstheme="minorHAnsi"/>
          <w:bCs/>
          <w:color w:val="231F20"/>
          <w:lang w:val="en-US"/>
        </w:rPr>
        <w:t>the European region.</w:t>
      </w:r>
    </w:p>
    <w:p w14:paraId="66A29420" w14:textId="44CD9873" w:rsidR="00B23733" w:rsidRPr="00521E7B" w:rsidRDefault="000A51F1" w:rsidP="00B23733">
      <w:pPr>
        <w:spacing w:line="480" w:lineRule="auto"/>
        <w:rPr>
          <w:rFonts w:cstheme="minorHAnsi"/>
          <w:noProof/>
          <w:color w:val="231F20"/>
          <w:lang w:val="en-US" w:eastAsia="de-CH"/>
        </w:rPr>
      </w:pPr>
      <w:r>
        <w:rPr>
          <w:rFonts w:cstheme="minorHAnsi"/>
          <w:noProof/>
          <w:color w:val="231F20"/>
          <w:lang w:val="en-US"/>
        </w:rPr>
        <w:drawing>
          <wp:inline distT="0" distB="0" distL="0" distR="0" wp14:anchorId="71F81710" wp14:editId="5CE47E49">
            <wp:extent cx="5803900" cy="5944235"/>
            <wp:effectExtent l="0" t="0" r="635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594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B024F" w14:textId="77777777" w:rsidR="00B23733" w:rsidRDefault="00B23733">
      <w:pPr>
        <w:rPr>
          <w:rFonts w:cstheme="minorHAnsi"/>
          <w:color w:val="231F20"/>
          <w:lang w:val="en-US"/>
        </w:rPr>
      </w:pPr>
    </w:p>
    <w:p w14:paraId="568F91A7" w14:textId="77777777" w:rsidR="00B23733" w:rsidRDefault="00B23733">
      <w:pPr>
        <w:rPr>
          <w:rFonts w:cstheme="minorHAnsi"/>
          <w:color w:val="231F20"/>
          <w:lang w:val="en-US"/>
        </w:rPr>
      </w:pPr>
      <w:r>
        <w:rPr>
          <w:rFonts w:cstheme="minorHAnsi"/>
          <w:color w:val="231F20"/>
          <w:lang w:val="en-US"/>
        </w:rPr>
        <w:br w:type="page"/>
      </w:r>
    </w:p>
    <w:p w14:paraId="0924E693" w14:textId="56D0DE77" w:rsidR="00B23733" w:rsidRPr="00521E7B" w:rsidRDefault="00B23733" w:rsidP="00B23733">
      <w:pPr>
        <w:spacing w:line="480" w:lineRule="auto"/>
        <w:rPr>
          <w:rFonts w:cstheme="minorHAnsi"/>
          <w:noProof/>
          <w:color w:val="231F20"/>
          <w:lang w:val="en-US" w:eastAsia="de-CH"/>
        </w:rPr>
      </w:pPr>
      <w:r>
        <w:rPr>
          <w:b/>
          <w:lang w:val="en-US"/>
        </w:rPr>
        <w:lastRenderedPageBreak/>
        <w:t>Supplementary F</w:t>
      </w:r>
      <w:r w:rsidRPr="00482D16">
        <w:rPr>
          <w:b/>
          <w:lang w:val="en-US"/>
        </w:rPr>
        <w:t xml:space="preserve">igure </w:t>
      </w:r>
      <w:r>
        <w:rPr>
          <w:b/>
          <w:lang w:val="en-US"/>
        </w:rPr>
        <w:t>S3</w:t>
      </w:r>
      <w:r w:rsidRPr="00482D16">
        <w:rPr>
          <w:b/>
          <w:lang w:val="en-US"/>
        </w:rPr>
        <w:t>:</w:t>
      </w:r>
      <w:r w:rsidRPr="002926D6">
        <w:rPr>
          <w:lang w:val="en-US"/>
        </w:rPr>
        <w:t xml:space="preserve"> </w:t>
      </w:r>
      <w:r w:rsidRPr="002926D6">
        <w:rPr>
          <w:rFonts w:cstheme="minorHAnsi"/>
          <w:bCs/>
          <w:color w:val="231F20"/>
          <w:lang w:val="en-US"/>
        </w:rPr>
        <w:t xml:space="preserve">Identification of study population for </w:t>
      </w:r>
      <w:r>
        <w:rPr>
          <w:rFonts w:cstheme="minorHAnsi"/>
          <w:bCs/>
          <w:color w:val="231F20"/>
          <w:lang w:val="en-US"/>
        </w:rPr>
        <w:t>the North American region.</w:t>
      </w:r>
    </w:p>
    <w:p w14:paraId="531E71AE" w14:textId="3768EF95" w:rsidR="00B23733" w:rsidRDefault="00B23733">
      <w:pPr>
        <w:rPr>
          <w:rFonts w:cstheme="minorHAnsi"/>
          <w:color w:val="231F20"/>
          <w:lang w:val="en-US"/>
        </w:rPr>
      </w:pPr>
      <w:r>
        <w:rPr>
          <w:rFonts w:cstheme="minorHAnsi"/>
          <w:noProof/>
          <w:color w:val="231F20"/>
          <w:lang w:val="en-US"/>
        </w:rPr>
        <w:drawing>
          <wp:inline distT="0" distB="0" distL="0" distR="0" wp14:anchorId="20B6BB7E" wp14:editId="35A288DA">
            <wp:extent cx="5815965" cy="4620895"/>
            <wp:effectExtent l="0" t="0" r="0" b="825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462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99086" w14:textId="77777777" w:rsidR="00B23733" w:rsidRDefault="00B23733">
      <w:pPr>
        <w:rPr>
          <w:rFonts w:cstheme="minorHAnsi"/>
          <w:color w:val="231F20"/>
          <w:lang w:val="en-US"/>
        </w:rPr>
      </w:pPr>
      <w:r>
        <w:rPr>
          <w:rFonts w:cstheme="minorHAnsi"/>
          <w:color w:val="231F20"/>
          <w:lang w:val="en-US"/>
        </w:rPr>
        <w:br w:type="page"/>
      </w:r>
    </w:p>
    <w:p w14:paraId="0EAB442F" w14:textId="1F5B86D1" w:rsidR="00B23733" w:rsidRPr="00521E7B" w:rsidRDefault="00B23733" w:rsidP="00B23733">
      <w:pPr>
        <w:spacing w:line="480" w:lineRule="auto"/>
        <w:rPr>
          <w:rFonts w:cstheme="minorHAnsi"/>
          <w:noProof/>
          <w:color w:val="231F20"/>
          <w:lang w:val="en-US" w:eastAsia="de-CH"/>
        </w:rPr>
      </w:pPr>
      <w:r>
        <w:rPr>
          <w:b/>
          <w:lang w:val="en-US"/>
        </w:rPr>
        <w:lastRenderedPageBreak/>
        <w:t>Supplementary F</w:t>
      </w:r>
      <w:r w:rsidRPr="00482D16">
        <w:rPr>
          <w:b/>
          <w:lang w:val="en-US"/>
        </w:rPr>
        <w:t xml:space="preserve">igure </w:t>
      </w:r>
      <w:r w:rsidR="008E5554">
        <w:rPr>
          <w:b/>
          <w:lang w:val="en-US"/>
        </w:rPr>
        <w:t>S4</w:t>
      </w:r>
      <w:r w:rsidRPr="00482D16">
        <w:rPr>
          <w:b/>
          <w:lang w:val="en-US"/>
        </w:rPr>
        <w:t>:</w:t>
      </w:r>
      <w:r w:rsidRPr="002926D6">
        <w:rPr>
          <w:lang w:val="en-US"/>
        </w:rPr>
        <w:t xml:space="preserve"> </w:t>
      </w:r>
      <w:r w:rsidRPr="002926D6">
        <w:rPr>
          <w:rFonts w:cstheme="minorHAnsi"/>
          <w:bCs/>
          <w:color w:val="231F20"/>
          <w:lang w:val="en-US"/>
        </w:rPr>
        <w:t xml:space="preserve">Identification of study population for </w:t>
      </w:r>
      <w:r>
        <w:rPr>
          <w:rFonts w:cstheme="minorHAnsi"/>
          <w:bCs/>
          <w:color w:val="231F20"/>
          <w:lang w:val="en-US"/>
        </w:rPr>
        <w:t>the Latin American region.</w:t>
      </w:r>
    </w:p>
    <w:p w14:paraId="799D5846" w14:textId="0537CF5F" w:rsidR="00B23733" w:rsidRDefault="009A354D">
      <w:pPr>
        <w:rPr>
          <w:rFonts w:cstheme="minorHAnsi"/>
          <w:color w:val="231F20"/>
          <w:lang w:val="en-US"/>
        </w:rPr>
      </w:pPr>
      <w:r>
        <w:rPr>
          <w:rFonts w:cstheme="minorHAnsi"/>
          <w:noProof/>
          <w:color w:val="231F20"/>
          <w:lang w:val="en-US"/>
        </w:rPr>
        <w:drawing>
          <wp:inline distT="0" distB="0" distL="0" distR="0" wp14:anchorId="5DB7F1DE" wp14:editId="3D33BF1F">
            <wp:extent cx="5828030" cy="4620895"/>
            <wp:effectExtent l="0" t="0" r="1270" b="825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462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19898" w14:textId="77777777" w:rsidR="00B23733" w:rsidRDefault="00B23733">
      <w:pPr>
        <w:rPr>
          <w:rFonts w:cstheme="minorHAnsi"/>
          <w:color w:val="231F20"/>
          <w:lang w:val="en-US"/>
        </w:rPr>
      </w:pPr>
      <w:r>
        <w:rPr>
          <w:rFonts w:cstheme="minorHAnsi"/>
          <w:color w:val="231F20"/>
          <w:lang w:val="en-US"/>
        </w:rPr>
        <w:br w:type="page"/>
      </w:r>
    </w:p>
    <w:p w14:paraId="51CA7D14" w14:textId="6F1761A5" w:rsidR="00B23733" w:rsidRPr="00521E7B" w:rsidRDefault="00B23733" w:rsidP="00B23733">
      <w:pPr>
        <w:spacing w:line="480" w:lineRule="auto"/>
        <w:rPr>
          <w:rFonts w:cstheme="minorHAnsi"/>
          <w:noProof/>
          <w:color w:val="231F20"/>
          <w:lang w:val="en-US" w:eastAsia="de-CH"/>
        </w:rPr>
      </w:pPr>
      <w:r>
        <w:rPr>
          <w:b/>
          <w:lang w:val="en-US"/>
        </w:rPr>
        <w:lastRenderedPageBreak/>
        <w:t>Supplementary F</w:t>
      </w:r>
      <w:r w:rsidRPr="00482D16">
        <w:rPr>
          <w:b/>
          <w:lang w:val="en-US"/>
        </w:rPr>
        <w:t xml:space="preserve">igure </w:t>
      </w:r>
      <w:r w:rsidR="008E5554">
        <w:rPr>
          <w:b/>
          <w:lang w:val="en-US"/>
        </w:rPr>
        <w:t>S5</w:t>
      </w:r>
      <w:r w:rsidRPr="00482D16">
        <w:rPr>
          <w:b/>
          <w:lang w:val="en-US"/>
        </w:rPr>
        <w:t>:</w:t>
      </w:r>
      <w:r w:rsidRPr="002926D6">
        <w:rPr>
          <w:lang w:val="en-US"/>
        </w:rPr>
        <w:t xml:space="preserve"> </w:t>
      </w:r>
      <w:r w:rsidRPr="002926D6">
        <w:rPr>
          <w:rFonts w:cstheme="minorHAnsi"/>
          <w:bCs/>
          <w:color w:val="231F20"/>
          <w:lang w:val="en-US"/>
        </w:rPr>
        <w:t xml:space="preserve">Identification of study population for </w:t>
      </w:r>
      <w:r>
        <w:rPr>
          <w:rFonts w:cstheme="minorHAnsi"/>
          <w:bCs/>
          <w:color w:val="231F20"/>
          <w:lang w:val="en-US"/>
        </w:rPr>
        <w:t>the South African region.</w:t>
      </w:r>
    </w:p>
    <w:p w14:paraId="675B4B82" w14:textId="12DF8E67" w:rsidR="00B23733" w:rsidRDefault="0033224A">
      <w:pPr>
        <w:rPr>
          <w:rFonts w:cstheme="minorHAnsi"/>
          <w:color w:val="231F20"/>
          <w:lang w:val="en-US"/>
        </w:rPr>
      </w:pPr>
      <w:r>
        <w:rPr>
          <w:rFonts w:cstheme="minorHAnsi"/>
          <w:noProof/>
          <w:color w:val="231F20"/>
          <w:lang w:val="en-US"/>
        </w:rPr>
        <w:drawing>
          <wp:inline distT="0" distB="0" distL="0" distR="0" wp14:anchorId="21BED995" wp14:editId="5D39F101">
            <wp:extent cx="5791835" cy="592582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3733">
        <w:rPr>
          <w:rFonts w:cstheme="minorHAnsi"/>
          <w:color w:val="231F20"/>
          <w:lang w:val="en-US"/>
        </w:rPr>
        <w:br w:type="page"/>
      </w:r>
    </w:p>
    <w:p w14:paraId="3C0AD27B" w14:textId="77777777" w:rsidR="005E5900" w:rsidRDefault="005E5900" w:rsidP="00A52766">
      <w:pPr>
        <w:spacing w:line="480" w:lineRule="auto"/>
        <w:rPr>
          <w:rFonts w:cstheme="minorHAnsi"/>
          <w:color w:val="231F20"/>
          <w:lang w:val="en-US"/>
        </w:rPr>
        <w:sectPr w:rsidR="005E5900" w:rsidSect="00836642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839508F" w14:textId="739A39F8" w:rsidR="00537845" w:rsidRDefault="00C01579" w:rsidP="00F8019F">
      <w:pPr>
        <w:spacing w:line="480" w:lineRule="auto"/>
        <w:rPr>
          <w:lang w:val="en-US"/>
        </w:rPr>
      </w:pPr>
      <w:r>
        <w:rPr>
          <w:b/>
          <w:lang w:val="en-US"/>
        </w:rPr>
        <w:lastRenderedPageBreak/>
        <w:t>Supplementary F</w:t>
      </w:r>
      <w:r w:rsidR="00537845">
        <w:rPr>
          <w:b/>
          <w:lang w:val="en-US"/>
        </w:rPr>
        <w:t>igure S</w:t>
      </w:r>
      <w:r w:rsidR="00BE1C0E">
        <w:rPr>
          <w:b/>
          <w:lang w:val="en-US"/>
        </w:rPr>
        <w:t>6</w:t>
      </w:r>
      <w:r w:rsidR="00537845" w:rsidRPr="00CB6CDE">
        <w:rPr>
          <w:b/>
          <w:lang w:val="en-US"/>
        </w:rPr>
        <w:t>:</w:t>
      </w:r>
      <w:r w:rsidR="00537845">
        <w:rPr>
          <w:lang w:val="en-US"/>
        </w:rPr>
        <w:t xml:space="preserve">  ICC incidence rates by time since ART initiation and current CD4 cell count </w:t>
      </w:r>
      <w:r w:rsidR="00F8019F">
        <w:rPr>
          <w:lang w:val="en-US"/>
        </w:rPr>
        <w:t>(cells/</w:t>
      </w:r>
      <w:r w:rsidR="00F8019F">
        <w:rPr>
          <w:rFonts w:cstheme="minorHAnsi"/>
          <w:lang w:val="en-US"/>
        </w:rPr>
        <w:t>µ</w:t>
      </w:r>
      <w:r w:rsidR="00F8019F">
        <w:rPr>
          <w:lang w:val="en-US"/>
        </w:rPr>
        <w:t xml:space="preserve">l) </w:t>
      </w:r>
      <w:r w:rsidR="00537845">
        <w:rPr>
          <w:lang w:val="en-US"/>
        </w:rPr>
        <w:t xml:space="preserve">predicted from the </w:t>
      </w:r>
      <w:r w:rsidR="00483738">
        <w:rPr>
          <w:lang w:val="en-US"/>
        </w:rPr>
        <w:t xml:space="preserve">second </w:t>
      </w:r>
      <w:r w:rsidR="00537845">
        <w:rPr>
          <w:lang w:val="en-US"/>
        </w:rPr>
        <w:t xml:space="preserve">adjusted model </w:t>
      </w:r>
      <w:r w:rsidR="00483738">
        <w:rPr>
          <w:lang w:val="en-US"/>
        </w:rPr>
        <w:t xml:space="preserve">(sensitivity analysis) </w:t>
      </w:r>
      <w:r w:rsidR="00537845">
        <w:rPr>
          <w:lang w:val="en-US"/>
        </w:rPr>
        <w:t>for women</w:t>
      </w:r>
      <w:r w:rsidR="00483738">
        <w:rPr>
          <w:lang w:val="en-US"/>
        </w:rPr>
        <w:t xml:space="preserve"> living with HIV</w:t>
      </w:r>
      <w:r w:rsidR="00537845">
        <w:rPr>
          <w:lang w:val="en-US"/>
        </w:rPr>
        <w:t xml:space="preserve"> who initiated an NNRTI-based first-line ART regimen between 2008-2014 at age 31-50 years.</w:t>
      </w:r>
    </w:p>
    <w:p w14:paraId="22B8C984" w14:textId="5B72147C" w:rsidR="00163CBE" w:rsidRDefault="00163CBE" w:rsidP="00A52766">
      <w:pPr>
        <w:spacing w:line="480" w:lineRule="auto"/>
        <w:rPr>
          <w:rFonts w:cstheme="minorHAnsi"/>
          <w:color w:val="231F20"/>
          <w:lang w:val="en-US"/>
        </w:rPr>
      </w:pPr>
      <w:r w:rsidRPr="00163CBE">
        <w:rPr>
          <w:rFonts w:cstheme="minorHAnsi"/>
          <w:noProof/>
          <w:color w:val="231F20"/>
          <w:lang w:val="en-US"/>
        </w:rPr>
        <w:drawing>
          <wp:inline distT="0" distB="0" distL="0" distR="0" wp14:anchorId="2FF4052B" wp14:editId="141408E7">
            <wp:extent cx="6267450" cy="2506980"/>
            <wp:effectExtent l="0" t="0" r="0" b="0"/>
            <wp:docPr id="3" name="Picture 3" descr="C:\Users\rohner\AppData\Local\Microsoft\Windows\INetCache\Content.Outlook\Q01SRQT2\haz_icc_ciacat2yf_r40_c135_topo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hner\AppData\Local\Microsoft\Windows\INetCache\Content.Outlook\Q01SRQT2\haz_icc_ciacat2yf_r40_c135_topo (003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66" cy="250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2341" w14:textId="153030A6" w:rsidR="00AF04C7" w:rsidRDefault="00AF04C7" w:rsidP="00A52766">
      <w:pPr>
        <w:spacing w:line="480" w:lineRule="auto"/>
        <w:rPr>
          <w:rFonts w:cstheme="minorHAnsi"/>
          <w:color w:val="231F20"/>
          <w:lang w:val="en-US"/>
        </w:rPr>
        <w:sectPr w:rsidR="00AF04C7" w:rsidSect="0083664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cstheme="minorHAnsi"/>
          <w:color w:val="231F20"/>
          <w:lang w:val="en-US"/>
        </w:rPr>
        <w:t xml:space="preserve">ART, antiretroviral therapy;   ICC,   invasive cervical cancer; </w:t>
      </w:r>
      <w:r w:rsidRPr="00536BEB">
        <w:rPr>
          <w:lang w:val="en-US"/>
        </w:rPr>
        <w:t xml:space="preserve">NNRTI, </w:t>
      </w:r>
      <w:r w:rsidRPr="00D31BE0">
        <w:rPr>
          <w:lang w:val="en-US"/>
        </w:rPr>
        <w:t>non-nucleoside reverse-transcriptase inhibitor</w:t>
      </w:r>
      <w:r>
        <w:rPr>
          <w:rFonts w:cstheme="minorHAnsi"/>
          <w:color w:val="231F20"/>
          <w:lang w:val="en-US"/>
        </w:rPr>
        <w:t xml:space="preserve">. </w:t>
      </w:r>
    </w:p>
    <w:p w14:paraId="7C9C0FFF" w14:textId="409708D5" w:rsidR="00E378EE" w:rsidRPr="007D193B" w:rsidRDefault="00C01579" w:rsidP="00BD02D8">
      <w:pPr>
        <w:spacing w:after="120" w:line="480" w:lineRule="auto"/>
        <w:rPr>
          <w:lang w:val="en-US"/>
        </w:rPr>
      </w:pPr>
      <w:r>
        <w:rPr>
          <w:rFonts w:cstheme="minorHAnsi"/>
          <w:b/>
          <w:bCs/>
          <w:color w:val="000000"/>
          <w:lang w:val="en-US"/>
        </w:rPr>
        <w:lastRenderedPageBreak/>
        <w:t>Supplementary T</w:t>
      </w:r>
      <w:r w:rsidR="00BD02D8" w:rsidRPr="00830C7D">
        <w:rPr>
          <w:rFonts w:cstheme="minorHAnsi"/>
          <w:b/>
          <w:bCs/>
          <w:color w:val="000000"/>
          <w:lang w:val="en-US"/>
        </w:rPr>
        <w:t xml:space="preserve">able </w:t>
      </w:r>
      <w:r w:rsidR="00BD02D8">
        <w:rPr>
          <w:rFonts w:cstheme="minorHAnsi"/>
          <w:b/>
          <w:bCs/>
          <w:color w:val="000000"/>
          <w:lang w:val="en-US"/>
        </w:rPr>
        <w:t>S</w:t>
      </w:r>
      <w:r w:rsidR="005005E2">
        <w:rPr>
          <w:rFonts w:cstheme="minorHAnsi"/>
          <w:b/>
          <w:bCs/>
          <w:color w:val="000000"/>
          <w:lang w:val="en-US"/>
        </w:rPr>
        <w:t>1</w:t>
      </w:r>
      <w:r w:rsidR="00BD02D8" w:rsidRPr="00830C7D">
        <w:rPr>
          <w:rFonts w:cstheme="minorHAnsi"/>
          <w:b/>
          <w:bCs/>
          <w:color w:val="000000"/>
          <w:lang w:val="en-US"/>
        </w:rPr>
        <w:t xml:space="preserve">: </w:t>
      </w:r>
      <w:r w:rsidR="00BD02D8" w:rsidRPr="003E167C">
        <w:rPr>
          <w:rFonts w:cstheme="minorHAnsi"/>
          <w:bCs/>
          <w:color w:val="000000"/>
          <w:lang w:val="en-US"/>
        </w:rPr>
        <w:t xml:space="preserve">Characteristics of </w:t>
      </w:r>
      <w:r w:rsidR="007D193B">
        <w:rPr>
          <w:rFonts w:cstheme="minorHAnsi"/>
          <w:bCs/>
          <w:color w:val="000000"/>
          <w:lang w:val="en-US"/>
        </w:rPr>
        <w:t>women</w:t>
      </w:r>
      <w:r w:rsidR="00BD02D8">
        <w:rPr>
          <w:rFonts w:cstheme="minorHAnsi"/>
          <w:bCs/>
          <w:color w:val="000000"/>
          <w:lang w:val="en-US"/>
        </w:rPr>
        <w:t xml:space="preserve"> with incident </w:t>
      </w:r>
      <w:r w:rsidR="007D193B">
        <w:rPr>
          <w:rFonts w:cstheme="minorHAnsi"/>
          <w:bCs/>
          <w:color w:val="000000"/>
          <w:lang w:val="en-US"/>
        </w:rPr>
        <w:t>ICC</w:t>
      </w:r>
      <w:r w:rsidR="00BD02D8">
        <w:rPr>
          <w:rFonts w:cstheme="minorHAnsi"/>
          <w:bCs/>
          <w:color w:val="000000"/>
          <w:lang w:val="en-US"/>
        </w:rPr>
        <w:t>.</w:t>
      </w:r>
      <w:r w:rsidR="00FB3079">
        <w:rPr>
          <w:rFonts w:cstheme="minorHAnsi"/>
          <w:bCs/>
          <w:color w:val="000000"/>
          <w:lang w:val="en-US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498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701"/>
        <w:gridCol w:w="1843"/>
      </w:tblGrid>
      <w:tr w:rsidR="00BD02D8" w:rsidRPr="00830C7D" w14:paraId="75F780EA" w14:textId="77777777" w:rsidTr="005005E2">
        <w:trPr>
          <w:trHeight w:hRule="exact" w:val="436"/>
          <w:jc w:val="center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38E6241" w14:textId="77777777" w:rsidR="00BD02D8" w:rsidRPr="00FF655E" w:rsidRDefault="00BD02D8" w:rsidP="005005E2">
            <w:pPr>
              <w:rPr>
                <w:rFonts w:cstheme="minorHAnsi"/>
                <w:b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85C3906" w14:textId="638BC7B9" w:rsidR="00BD02D8" w:rsidRPr="00372950" w:rsidRDefault="00760DD9" w:rsidP="005005E2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South</w:t>
            </w:r>
            <w:r w:rsidR="00BD02D8">
              <w:rPr>
                <w:rFonts w:cstheme="minorHAnsi"/>
                <w:b/>
                <w:color w:val="000000"/>
                <w:lang w:val="en-US"/>
              </w:rPr>
              <w:t xml:space="preserve"> Africa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046AC1" w14:textId="77777777" w:rsidR="00BD02D8" w:rsidRPr="00372950" w:rsidRDefault="00BD02D8" w:rsidP="005005E2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Latin America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5804435" w14:textId="77777777" w:rsidR="00BD02D8" w:rsidRDefault="00BD02D8" w:rsidP="005005E2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North America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4C573C8" w14:textId="77777777" w:rsidR="00BD02D8" w:rsidRDefault="00BD02D8" w:rsidP="005005E2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Europe</w:t>
            </w:r>
          </w:p>
        </w:tc>
      </w:tr>
      <w:tr w:rsidR="00BD02D8" w:rsidRPr="00830C7D" w14:paraId="07EB8582" w14:textId="77777777" w:rsidTr="005005E2">
        <w:trPr>
          <w:trHeight w:hRule="exact" w:val="410"/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319993B" w14:textId="77777777" w:rsidR="00BD02D8" w:rsidRPr="00FF655E" w:rsidRDefault="00BD02D8" w:rsidP="005005E2">
            <w:pPr>
              <w:rPr>
                <w:rFonts w:cstheme="minorHAnsi"/>
                <w:b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78182899" w14:textId="77777777" w:rsidR="00BD02D8" w:rsidRPr="00372950" w:rsidRDefault="00BD02D8" w:rsidP="005005E2">
            <w:pPr>
              <w:spacing w:after="0"/>
              <w:jc w:val="center"/>
              <w:rPr>
                <w:rFonts w:cstheme="minorHAnsi"/>
                <w:b/>
                <w:color w:val="000000"/>
                <w:lang w:val="en-US"/>
              </w:rPr>
            </w:pPr>
            <w:r w:rsidRPr="00372950">
              <w:rPr>
                <w:rFonts w:cstheme="minorHAnsi"/>
                <w:b/>
                <w:color w:val="000000"/>
                <w:lang w:val="en-US"/>
              </w:rPr>
              <w:t>N (%)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DA7050" w14:textId="77777777" w:rsidR="00BD02D8" w:rsidRPr="00372950" w:rsidRDefault="00BD02D8" w:rsidP="005005E2">
            <w:pPr>
              <w:spacing w:after="0"/>
              <w:jc w:val="center"/>
              <w:rPr>
                <w:rFonts w:cstheme="minorHAnsi"/>
                <w:b/>
                <w:color w:val="000000"/>
                <w:lang w:val="en-US"/>
              </w:rPr>
            </w:pPr>
            <w:r w:rsidRPr="00372950">
              <w:rPr>
                <w:rFonts w:cstheme="minorHAnsi"/>
                <w:b/>
                <w:color w:val="000000"/>
                <w:lang w:val="en-US"/>
              </w:rPr>
              <w:t>N (%)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4139B48" w14:textId="77777777" w:rsidR="00BD02D8" w:rsidRPr="008F5538" w:rsidRDefault="00BD02D8" w:rsidP="005005E2">
            <w:pPr>
              <w:spacing w:after="0"/>
              <w:jc w:val="center"/>
              <w:rPr>
                <w:rFonts w:cstheme="minorHAnsi"/>
                <w:b/>
                <w:color w:val="000000"/>
                <w:lang w:val="en-US"/>
              </w:rPr>
            </w:pPr>
            <w:r w:rsidRPr="008F5538">
              <w:rPr>
                <w:rFonts w:cstheme="minorHAnsi"/>
                <w:b/>
                <w:color w:val="000000"/>
                <w:lang w:val="en-US"/>
              </w:rPr>
              <w:t>N</w:t>
            </w:r>
            <w:r>
              <w:rPr>
                <w:rFonts w:cstheme="minorHAnsi"/>
                <w:b/>
                <w:color w:val="000000"/>
                <w:lang w:val="en-US"/>
              </w:rPr>
              <w:t xml:space="preserve"> </w:t>
            </w:r>
            <w:r w:rsidRPr="008F5538">
              <w:rPr>
                <w:rFonts w:cstheme="minorHAnsi"/>
                <w:b/>
                <w:color w:val="000000"/>
                <w:lang w:val="en-US"/>
              </w:rPr>
              <w:t>(%)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3F38FA6A" w14:textId="77777777" w:rsidR="00BD02D8" w:rsidRPr="008F5538" w:rsidRDefault="00BD02D8" w:rsidP="005005E2">
            <w:pPr>
              <w:spacing w:after="0"/>
              <w:jc w:val="center"/>
              <w:rPr>
                <w:rFonts w:cstheme="minorHAnsi"/>
                <w:b/>
                <w:color w:val="000000"/>
                <w:lang w:val="en-US"/>
              </w:rPr>
            </w:pPr>
            <w:r w:rsidRPr="008F5538">
              <w:rPr>
                <w:rFonts w:cstheme="minorHAnsi"/>
                <w:b/>
                <w:color w:val="000000"/>
                <w:lang w:val="en-US"/>
              </w:rPr>
              <w:t>N</w:t>
            </w:r>
            <w:r>
              <w:rPr>
                <w:rFonts w:cstheme="minorHAnsi"/>
                <w:b/>
                <w:color w:val="000000"/>
                <w:lang w:val="en-US"/>
              </w:rPr>
              <w:t xml:space="preserve"> </w:t>
            </w:r>
            <w:r w:rsidRPr="008F5538">
              <w:rPr>
                <w:rFonts w:cstheme="minorHAnsi"/>
                <w:b/>
                <w:color w:val="000000"/>
                <w:lang w:val="en-US"/>
              </w:rPr>
              <w:t>(%)</w:t>
            </w:r>
          </w:p>
        </w:tc>
      </w:tr>
      <w:tr w:rsidR="00BD02D8" w:rsidRPr="00830C7D" w14:paraId="7D7ABCA7" w14:textId="77777777" w:rsidTr="005005E2">
        <w:trPr>
          <w:trHeight w:hRule="exact" w:val="293"/>
          <w:jc w:val="center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</w:tcPr>
          <w:p w14:paraId="716D8D43" w14:textId="2E7BDC52" w:rsidR="00BD02D8" w:rsidRPr="00FF655E" w:rsidRDefault="00BD02D8" w:rsidP="00237CF4">
            <w:pPr>
              <w:rPr>
                <w:rFonts w:cstheme="minorHAnsi"/>
                <w:b/>
                <w:color w:val="000000"/>
                <w:lang w:val="en-US"/>
              </w:rPr>
            </w:pPr>
            <w:r w:rsidRPr="00FF655E">
              <w:rPr>
                <w:rFonts w:cstheme="minorHAnsi"/>
                <w:b/>
                <w:color w:val="000000"/>
                <w:lang w:val="en-US"/>
              </w:rPr>
              <w:t xml:space="preserve">All </w:t>
            </w:r>
            <w:r w:rsidR="00237CF4">
              <w:rPr>
                <w:rFonts w:cstheme="minorHAnsi"/>
                <w:b/>
                <w:color w:val="000000"/>
                <w:lang w:val="en-US"/>
              </w:rPr>
              <w:t xml:space="preserve">ICC </w:t>
            </w:r>
            <w:r>
              <w:rPr>
                <w:rFonts w:cstheme="minorHAnsi"/>
                <w:b/>
                <w:color w:val="000000"/>
                <w:lang w:val="en-US"/>
              </w:rPr>
              <w:t>cases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12D136A8" w14:textId="310A8C04" w:rsidR="00BD02D8" w:rsidRDefault="00BD02D8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15</w:t>
            </w:r>
            <w:r w:rsidR="007D193B">
              <w:rPr>
                <w:rFonts w:ascii="Calibri" w:hAnsi="Calibri"/>
              </w:rPr>
              <w:t>6</w:t>
            </w:r>
            <w:r w:rsidR="00237CF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(100%)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F2A937C" w14:textId="6D478293" w:rsidR="00BD02D8" w:rsidRPr="00FF655E" w:rsidRDefault="007D193B" w:rsidP="005005E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17</w:t>
            </w:r>
            <w:r w:rsidR="00BD02D8">
              <w:rPr>
                <w:rFonts w:ascii="Calibri" w:hAnsi="Calibri"/>
              </w:rPr>
              <w:t xml:space="preserve"> (100%)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F68EEB1" w14:textId="056711FF" w:rsidR="00BD02D8" w:rsidRDefault="007D193B" w:rsidP="005005E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19</w:t>
            </w:r>
            <w:r w:rsidR="00BD02D8">
              <w:rPr>
                <w:rFonts w:ascii="Calibri" w:hAnsi="Calibri"/>
              </w:rPr>
              <w:t xml:space="preserve"> (100%)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1799AC7C" w14:textId="20433B65" w:rsidR="00BD02D8" w:rsidRDefault="007D193B" w:rsidP="005005E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164</w:t>
            </w:r>
            <w:r w:rsidR="00BD02D8">
              <w:rPr>
                <w:rFonts w:ascii="Calibri" w:hAnsi="Calibri"/>
              </w:rPr>
              <w:t xml:space="preserve"> (100%)</w:t>
            </w:r>
          </w:p>
        </w:tc>
      </w:tr>
      <w:tr w:rsidR="007D193B" w:rsidRPr="00830C7D" w14:paraId="1AF25CA2" w14:textId="77777777" w:rsidTr="007D193B">
        <w:trPr>
          <w:trHeight w:hRule="exact" w:val="722"/>
          <w:jc w:val="center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</w:tcPr>
          <w:p w14:paraId="68A447EE" w14:textId="56F5B568" w:rsidR="007D193B" w:rsidRPr="00FF655E" w:rsidRDefault="007D193B" w:rsidP="00237CF4">
            <w:pPr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 xml:space="preserve">Median time to </w:t>
            </w:r>
            <w:r w:rsidR="00237CF4">
              <w:rPr>
                <w:rFonts w:cstheme="minorHAnsi"/>
                <w:b/>
                <w:color w:val="000000"/>
                <w:lang w:val="en-US"/>
              </w:rPr>
              <w:t xml:space="preserve">ICC </w:t>
            </w:r>
            <w:r>
              <w:rPr>
                <w:rFonts w:cstheme="minorHAnsi"/>
                <w:b/>
                <w:color w:val="000000"/>
                <w:lang w:val="en-US"/>
              </w:rPr>
              <w:t>diagnosis (IQR) [years]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6859A5" w14:textId="119D186E" w:rsidR="007D193B" w:rsidRDefault="007D193B" w:rsidP="007D193B">
            <w:pPr>
              <w:spacing w:after="0"/>
              <w:jc w:val="center"/>
              <w:rPr>
                <w:rFonts w:ascii="Calibri" w:hAnsi="Calibri"/>
              </w:rPr>
            </w:pPr>
            <w:r w:rsidRPr="007D193B">
              <w:rPr>
                <w:rFonts w:ascii="Calibri" w:hAnsi="Calibri"/>
                <w:lang w:val="en-US"/>
              </w:rPr>
              <w:t xml:space="preserve">   </w:t>
            </w:r>
            <w:r>
              <w:rPr>
                <w:rFonts w:ascii="Calibri" w:hAnsi="Calibri"/>
              </w:rPr>
              <w:t>1.7   (0.9-3.2)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B43BCCD" w14:textId="3BE257E3" w:rsidR="007D193B" w:rsidRDefault="007D193B" w:rsidP="007D193B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2.6   (0.7-5.6)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AEBE3F" w14:textId="51AE1070" w:rsidR="007D193B" w:rsidRDefault="007D193B" w:rsidP="007D193B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1.7   (1.2-6.0)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C53797" w14:textId="3972AA33" w:rsidR="007D193B" w:rsidRDefault="007D193B" w:rsidP="007D193B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2.2   (0.7-5.3)</w:t>
            </w:r>
          </w:p>
        </w:tc>
      </w:tr>
      <w:tr w:rsidR="00D31BE0" w:rsidRPr="00830C7D" w14:paraId="2A2B15ED" w14:textId="77777777" w:rsidTr="00CA72DE">
        <w:trPr>
          <w:trHeight w:hRule="exact" w:val="715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0E0992" w14:textId="0E57D434" w:rsidR="00D31BE0" w:rsidRPr="00FF655E" w:rsidRDefault="00D31BE0" w:rsidP="00D31BE0">
            <w:pPr>
              <w:rPr>
                <w:rFonts w:cstheme="minorHAnsi"/>
                <w:b/>
                <w:color w:val="000000"/>
                <w:lang w:val="en-US"/>
              </w:rPr>
            </w:pPr>
            <w:r w:rsidRPr="00FF655E">
              <w:rPr>
                <w:rFonts w:cstheme="minorHAnsi"/>
                <w:b/>
                <w:color w:val="000000"/>
                <w:lang w:val="en-US"/>
              </w:rPr>
              <w:t>Median age</w:t>
            </w:r>
            <w:r>
              <w:rPr>
                <w:rFonts w:cstheme="minorHAnsi"/>
                <w:b/>
                <w:color w:val="000000"/>
                <w:lang w:val="en-US"/>
              </w:rPr>
              <w:t xml:space="preserve"> at ICC diagnosis</w:t>
            </w:r>
            <w:r w:rsidRPr="00FF655E">
              <w:rPr>
                <w:rFonts w:cstheme="minorHAnsi"/>
                <w:b/>
                <w:color w:val="000000"/>
                <w:lang w:val="en-US"/>
              </w:rPr>
              <w:t xml:space="preserve"> </w:t>
            </w:r>
            <w:r w:rsidRPr="00C75830">
              <w:rPr>
                <w:rFonts w:cstheme="minorHAnsi"/>
                <w:b/>
                <w:color w:val="000000"/>
                <w:lang w:val="en-US"/>
              </w:rPr>
              <w:t>(IQR)</w:t>
            </w:r>
            <w:r>
              <w:rPr>
                <w:rFonts w:cstheme="minorHAnsi"/>
                <w:b/>
                <w:color w:val="000000"/>
                <w:lang w:val="en-US"/>
              </w:rPr>
              <w:t xml:space="preserve"> [years]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2F8152" w14:textId="77777777" w:rsidR="00D31BE0" w:rsidRDefault="00D31BE0" w:rsidP="00D31BE0">
            <w:pPr>
              <w:spacing w:after="0"/>
              <w:jc w:val="center"/>
              <w:rPr>
                <w:rFonts w:ascii="Calibri" w:hAnsi="Calibri"/>
              </w:rPr>
            </w:pPr>
            <w:r w:rsidRPr="007D193B">
              <w:rPr>
                <w:rFonts w:ascii="Calibri" w:hAnsi="Calibri"/>
                <w:lang w:val="en-US"/>
              </w:rPr>
              <w:t xml:space="preserve">  </w:t>
            </w:r>
            <w:r>
              <w:rPr>
                <w:rFonts w:ascii="Calibri" w:hAnsi="Calibri"/>
              </w:rPr>
              <w:t>38.3</w:t>
            </w:r>
          </w:p>
          <w:p w14:paraId="44F61BBE" w14:textId="6E80EA26" w:rsidR="00D31BE0" w:rsidRDefault="00D31BE0" w:rsidP="00D31BE0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 w:rsidRPr="00237CF4">
              <w:rPr>
                <w:rFonts w:ascii="Calibri" w:hAnsi="Calibri"/>
              </w:rPr>
              <w:t>(33.5;  42.7)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2FD13C" w14:textId="77777777" w:rsidR="00D31BE0" w:rsidRDefault="00D31BE0" w:rsidP="00D31BE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33.0  </w:t>
            </w:r>
          </w:p>
          <w:p w14:paraId="7A7AC9A7" w14:textId="77777777" w:rsidR="00D31BE0" w:rsidRDefault="00D31BE0" w:rsidP="00D31BE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(28.8;  43.4)</w:t>
            </w:r>
          </w:p>
          <w:p w14:paraId="194758C9" w14:textId="62A398F5" w:rsidR="00D31BE0" w:rsidRPr="00945171" w:rsidRDefault="00D31BE0" w:rsidP="00D31BE0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6FFE9A" w14:textId="77777777" w:rsidR="00D31BE0" w:rsidRDefault="00D31BE0" w:rsidP="00D31BE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39.0  </w:t>
            </w:r>
          </w:p>
          <w:p w14:paraId="3787483E" w14:textId="77777777" w:rsidR="00D31BE0" w:rsidRDefault="00D31BE0" w:rsidP="00D31BE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(29.6;  43.1)</w:t>
            </w:r>
          </w:p>
          <w:p w14:paraId="03296C8D" w14:textId="53970A39" w:rsidR="00D31BE0" w:rsidRDefault="00D31BE0" w:rsidP="00D31BE0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4586D7" w14:textId="77777777" w:rsidR="00D31BE0" w:rsidRDefault="00D31BE0" w:rsidP="00D31BE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39.7  </w:t>
            </w:r>
          </w:p>
          <w:p w14:paraId="2B52CDE2" w14:textId="77777777" w:rsidR="00D31BE0" w:rsidRDefault="00D31BE0" w:rsidP="00D31BE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(33.8;  45.4)</w:t>
            </w:r>
          </w:p>
          <w:p w14:paraId="21F76003" w14:textId="5BEB3462" w:rsidR="00D31BE0" w:rsidRDefault="00D31BE0" w:rsidP="00D31BE0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CA72DE" w:rsidRPr="00817B90" w14:paraId="56091BE5" w14:textId="77777777" w:rsidTr="00CA72DE">
        <w:trPr>
          <w:trHeight w:hRule="exact" w:val="697"/>
          <w:jc w:val="center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67FC209" w14:textId="78E42DBA" w:rsidR="00CA72DE" w:rsidRPr="00FF655E" w:rsidRDefault="00CA72DE" w:rsidP="00CA72DE">
            <w:pPr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Age at ICC diagnosis [years]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2E43B6ED" w14:textId="77777777" w:rsidR="00CA72DE" w:rsidRPr="007D193B" w:rsidRDefault="00CA72DE" w:rsidP="00031A91">
            <w:pPr>
              <w:spacing w:after="0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76CD6BE6" w14:textId="77777777" w:rsidR="00CA72DE" w:rsidRPr="00CA72DE" w:rsidRDefault="00CA72DE" w:rsidP="00031A91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41B15389" w14:textId="77777777" w:rsidR="00CA72DE" w:rsidRPr="00CA72DE" w:rsidRDefault="00CA72DE" w:rsidP="00031A91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ADE87B6" w14:textId="77777777" w:rsidR="00CA72DE" w:rsidRPr="00CA72DE" w:rsidRDefault="00CA72DE" w:rsidP="00031A91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643B6" w:rsidRPr="00830C7D" w14:paraId="36A88BC5" w14:textId="77777777" w:rsidTr="005643B6">
        <w:trPr>
          <w:trHeight w:hRule="exact" w:val="414"/>
          <w:jc w:val="center"/>
        </w:trPr>
        <w:tc>
          <w:tcPr>
            <w:tcW w:w="2552" w:type="dxa"/>
            <w:tcBorders>
              <w:top w:val="nil"/>
              <w:bottom w:val="nil"/>
            </w:tcBorders>
            <w:noWrap/>
            <w:vAlign w:val="center"/>
          </w:tcPr>
          <w:p w14:paraId="5990DE5D" w14:textId="6F15B6B9" w:rsidR="005643B6" w:rsidRPr="00FF655E" w:rsidRDefault="005643B6" w:rsidP="005643B6">
            <w:pPr>
              <w:spacing w:after="0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16-30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5AF79AB" w14:textId="7BEB4CFC" w:rsidR="005643B6" w:rsidRPr="007D193B" w:rsidRDefault="005643B6" w:rsidP="005643B6">
            <w:pPr>
              <w:spacing w:after="0"/>
              <w:jc w:val="center"/>
              <w:rPr>
                <w:rFonts w:ascii="Calibri" w:hAnsi="Calibri"/>
                <w:lang w:val="en-US"/>
              </w:rPr>
            </w:pPr>
            <w:r w:rsidRPr="008E784A">
              <w:t xml:space="preserve">       13   (8%)    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7DB4D77" w14:textId="60141B18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/>
                <w:lang w:val="en-US"/>
              </w:rPr>
              <w:t>5  (</w:t>
            </w:r>
            <w:proofErr w:type="gramEnd"/>
            <w:r>
              <w:rPr>
                <w:rFonts w:ascii="Calibri" w:hAnsi="Calibri"/>
                <w:lang w:val="en-US"/>
              </w:rPr>
              <w:t>29%)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337BEDA" w14:textId="3897D776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(26%)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CA164E5" w14:textId="525A8435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r w:rsidRPr="003859AA">
              <w:t xml:space="preserve">       16  (10%)     </w:t>
            </w:r>
          </w:p>
        </w:tc>
      </w:tr>
      <w:tr w:rsidR="005643B6" w:rsidRPr="00830C7D" w14:paraId="566FD18B" w14:textId="77777777" w:rsidTr="005643B6">
        <w:trPr>
          <w:trHeight w:hRule="exact" w:val="276"/>
          <w:jc w:val="center"/>
        </w:trPr>
        <w:tc>
          <w:tcPr>
            <w:tcW w:w="2552" w:type="dxa"/>
            <w:tcBorders>
              <w:top w:val="nil"/>
              <w:bottom w:val="nil"/>
            </w:tcBorders>
            <w:noWrap/>
            <w:vAlign w:val="center"/>
          </w:tcPr>
          <w:p w14:paraId="2F599A3D" w14:textId="0D9C8AC2" w:rsidR="005643B6" w:rsidRPr="00FF655E" w:rsidRDefault="005643B6" w:rsidP="005643B6">
            <w:pPr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31-50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B7EF373" w14:textId="3C95186E" w:rsidR="005643B6" w:rsidRPr="007D193B" w:rsidRDefault="005643B6" w:rsidP="005643B6">
            <w:pPr>
              <w:spacing w:after="0"/>
              <w:jc w:val="center"/>
              <w:rPr>
                <w:rFonts w:ascii="Calibri" w:hAnsi="Calibri"/>
                <w:lang w:val="en-US"/>
              </w:rPr>
            </w:pPr>
            <w:r w:rsidRPr="008E784A">
              <w:t xml:space="preserve">      131  (84%)    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04E3BB8" w14:textId="3FED8789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/>
                <w:lang w:val="en-US"/>
              </w:rPr>
              <w:t>10  (</w:t>
            </w:r>
            <w:proofErr w:type="gramEnd"/>
            <w:r>
              <w:rPr>
                <w:rFonts w:ascii="Calibri" w:hAnsi="Calibri"/>
                <w:lang w:val="en-US"/>
              </w:rPr>
              <w:t>59%)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45603D9" w14:textId="3FE09502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(68%)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2DE5500" w14:textId="027C13EB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r w:rsidRPr="003859AA">
              <w:t xml:space="preserve">      124  (76%)     </w:t>
            </w:r>
          </w:p>
        </w:tc>
      </w:tr>
      <w:tr w:rsidR="005643B6" w:rsidRPr="00830C7D" w14:paraId="225C83D0" w14:textId="77777777" w:rsidTr="005643B6">
        <w:trPr>
          <w:trHeight w:hRule="exact" w:val="438"/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9135837" w14:textId="67D8C59B" w:rsidR="005643B6" w:rsidRPr="00FF655E" w:rsidRDefault="005643B6" w:rsidP="005643B6">
            <w:pPr>
              <w:spacing w:after="0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 &gt;50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562C2519" w14:textId="5811877C" w:rsidR="005643B6" w:rsidRPr="007D193B" w:rsidRDefault="005643B6" w:rsidP="005643B6">
            <w:pPr>
              <w:spacing w:after="0"/>
              <w:jc w:val="center"/>
              <w:rPr>
                <w:rFonts w:ascii="Calibri" w:hAnsi="Calibri"/>
                <w:lang w:val="en-US"/>
              </w:rPr>
            </w:pPr>
            <w:r w:rsidRPr="008E784A">
              <w:t xml:space="preserve">       12   (8%)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698183B" w14:textId="79D66462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/>
                <w:lang w:val="en-US"/>
              </w:rPr>
              <w:t>2  (</w:t>
            </w:r>
            <w:proofErr w:type="gramEnd"/>
            <w:r>
              <w:rPr>
                <w:rFonts w:ascii="Calibri" w:hAnsi="Calibri"/>
                <w:lang w:val="en-US"/>
              </w:rPr>
              <w:t>12%)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3E67BB4" w14:textId="09B364F0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(5%)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7C24945C" w14:textId="51C64EE3" w:rsidR="005643B6" w:rsidRDefault="005643B6" w:rsidP="005643B6">
            <w:pPr>
              <w:spacing w:after="0"/>
              <w:jc w:val="center"/>
              <w:rPr>
                <w:rFonts w:ascii="Calibri" w:hAnsi="Calibri" w:cs="Calibri"/>
              </w:rPr>
            </w:pPr>
            <w:r w:rsidRPr="003859AA">
              <w:t xml:space="preserve">       24  (15%)     </w:t>
            </w:r>
          </w:p>
        </w:tc>
      </w:tr>
      <w:tr w:rsidR="00BD02D8" w:rsidRPr="00830C7D" w14:paraId="178BACBE" w14:textId="77777777" w:rsidTr="007D193B">
        <w:trPr>
          <w:trHeight w:hRule="exact" w:val="413"/>
          <w:jc w:val="center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</w:tcPr>
          <w:p w14:paraId="125431A9" w14:textId="1B501004" w:rsidR="00BD02D8" w:rsidRPr="00FF655E" w:rsidRDefault="00C01579" w:rsidP="005005E2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First-</w:t>
            </w:r>
            <w:r w:rsidR="00BD02D8">
              <w:rPr>
                <w:rFonts w:cstheme="minorHAnsi"/>
                <w:b/>
                <w:color w:val="000000"/>
                <w:lang w:val="en-US"/>
              </w:rPr>
              <w:t xml:space="preserve">line </w:t>
            </w:r>
            <w:r w:rsidR="00AB22D5">
              <w:rPr>
                <w:rFonts w:cstheme="minorHAnsi"/>
                <w:b/>
                <w:color w:val="000000"/>
                <w:lang w:val="en-US"/>
              </w:rPr>
              <w:t>ART</w:t>
            </w:r>
            <w:r w:rsidR="00BD02D8">
              <w:rPr>
                <w:rFonts w:cstheme="minorHAnsi"/>
                <w:b/>
                <w:color w:val="000000"/>
                <w:lang w:val="en-US"/>
              </w:rPr>
              <w:t xml:space="preserve"> regimen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301ED0C" w14:textId="77777777" w:rsidR="00BD02D8" w:rsidRPr="00FF655E" w:rsidRDefault="00BD02D8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BEFB83B" w14:textId="77777777" w:rsidR="00BD02D8" w:rsidRPr="00FF655E" w:rsidRDefault="00BD02D8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67B8539" w14:textId="77777777" w:rsidR="00BD02D8" w:rsidRPr="00FF655E" w:rsidRDefault="00BD02D8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B2DB15" w14:textId="77777777" w:rsidR="00BD02D8" w:rsidRPr="00FF655E" w:rsidRDefault="00BD02D8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7D193B" w:rsidRPr="00830C7D" w14:paraId="05B30A47" w14:textId="77777777" w:rsidTr="005005E2">
        <w:trPr>
          <w:trHeight w:hRule="exact" w:val="352"/>
          <w:jc w:val="center"/>
        </w:trPr>
        <w:tc>
          <w:tcPr>
            <w:tcW w:w="2552" w:type="dxa"/>
            <w:noWrap/>
            <w:vAlign w:val="center"/>
          </w:tcPr>
          <w:p w14:paraId="646EAF17" w14:textId="77777777" w:rsidR="007D193B" w:rsidRPr="00FF655E" w:rsidRDefault="007D193B" w:rsidP="007D193B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NNRTI-based</w:t>
            </w:r>
          </w:p>
        </w:tc>
        <w:tc>
          <w:tcPr>
            <w:tcW w:w="1843" w:type="dxa"/>
            <w:vAlign w:val="bottom"/>
          </w:tcPr>
          <w:p w14:paraId="053FFCCC" w14:textId="019D883E" w:rsidR="007D193B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150  (96%)</w:t>
            </w:r>
          </w:p>
        </w:tc>
        <w:tc>
          <w:tcPr>
            <w:tcW w:w="1559" w:type="dxa"/>
            <w:vAlign w:val="bottom"/>
          </w:tcPr>
          <w:p w14:paraId="02D1BFC2" w14:textId="3FC78052" w:rsidR="007D193B" w:rsidRPr="00FF655E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14  (82%)</w:t>
            </w:r>
          </w:p>
        </w:tc>
        <w:tc>
          <w:tcPr>
            <w:tcW w:w="1701" w:type="dxa"/>
            <w:vAlign w:val="bottom"/>
          </w:tcPr>
          <w:p w14:paraId="43B617F2" w14:textId="0A9AE4B3" w:rsidR="007D193B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3  (16%)</w:t>
            </w:r>
          </w:p>
        </w:tc>
        <w:tc>
          <w:tcPr>
            <w:tcW w:w="1843" w:type="dxa"/>
            <w:vAlign w:val="bottom"/>
          </w:tcPr>
          <w:p w14:paraId="3BC167AC" w14:textId="2341F6A7" w:rsidR="007D193B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55  (34%)</w:t>
            </w:r>
          </w:p>
        </w:tc>
      </w:tr>
      <w:tr w:rsidR="007D193B" w:rsidRPr="00830C7D" w14:paraId="7E7F112F" w14:textId="77777777" w:rsidTr="005005E2">
        <w:trPr>
          <w:trHeight w:hRule="exact" w:val="352"/>
          <w:jc w:val="center"/>
        </w:trPr>
        <w:tc>
          <w:tcPr>
            <w:tcW w:w="2552" w:type="dxa"/>
            <w:tcBorders>
              <w:bottom w:val="nil"/>
            </w:tcBorders>
            <w:noWrap/>
            <w:vAlign w:val="center"/>
          </w:tcPr>
          <w:p w14:paraId="409E02A3" w14:textId="77777777" w:rsidR="007D193B" w:rsidRPr="00FF655E" w:rsidRDefault="007D193B" w:rsidP="007D193B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PI-based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14:paraId="08D7ED94" w14:textId="01A4DD40" w:rsidR="007D193B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5   (3%)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5EC1E962" w14:textId="2370F3EC" w:rsidR="007D193B" w:rsidRPr="00FF655E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3  (18%)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0232B4B" w14:textId="23BD9EFE" w:rsidR="007D193B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15  (79%)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14:paraId="7040BC27" w14:textId="76BA0968" w:rsidR="007D193B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103  (63%)</w:t>
            </w:r>
          </w:p>
        </w:tc>
      </w:tr>
      <w:tr w:rsidR="007D193B" w:rsidRPr="00830C7D" w14:paraId="2AB90877" w14:textId="77777777" w:rsidTr="005005E2">
        <w:trPr>
          <w:trHeight w:hRule="exact" w:val="352"/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BC3435D" w14:textId="48437447" w:rsidR="007D193B" w:rsidRPr="00FF655E" w:rsidRDefault="007D193B" w:rsidP="007D193B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Other ART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3CFC3A66" w14:textId="0832758F" w:rsidR="007D193B" w:rsidRDefault="005643B6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   (</w:t>
            </w:r>
            <w:r w:rsidR="007D193B">
              <w:rPr>
                <w:rFonts w:ascii="Calibri" w:hAnsi="Calibri"/>
              </w:rPr>
              <w:t>1%)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14:paraId="33593F63" w14:textId="56390726" w:rsidR="007D193B" w:rsidRPr="00FF655E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0   (0%)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1E174C3" w14:textId="3B9FF9A2" w:rsidR="007D193B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1   (5%)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41490E5E" w14:textId="2D99D00D" w:rsidR="007D193B" w:rsidRDefault="007D193B" w:rsidP="00031A91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>6   (4%)</w:t>
            </w:r>
          </w:p>
        </w:tc>
      </w:tr>
      <w:tr w:rsidR="00BD02D8" w:rsidRPr="00830C7D" w14:paraId="15822F54" w14:textId="77777777" w:rsidTr="005005E2">
        <w:trPr>
          <w:trHeight w:hRule="exact" w:val="349"/>
          <w:jc w:val="center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</w:tcPr>
          <w:p w14:paraId="17867F52" w14:textId="664E5ACA" w:rsidR="00BD02D8" w:rsidRPr="00FF655E" w:rsidRDefault="00BD02D8" w:rsidP="005005E2">
            <w:pPr>
              <w:rPr>
                <w:rFonts w:cstheme="minorHAnsi"/>
                <w:b/>
                <w:color w:val="000000"/>
                <w:lang w:val="en-US"/>
              </w:rPr>
            </w:pPr>
            <w:r w:rsidRPr="00FF655E">
              <w:rPr>
                <w:rFonts w:cstheme="minorHAnsi"/>
                <w:b/>
                <w:color w:val="000000"/>
                <w:lang w:val="en-US"/>
              </w:rPr>
              <w:t xml:space="preserve">Year </w:t>
            </w:r>
            <w:r>
              <w:rPr>
                <w:rFonts w:cstheme="minorHAnsi"/>
                <w:b/>
                <w:color w:val="000000"/>
                <w:lang w:val="en-US"/>
              </w:rPr>
              <w:t xml:space="preserve">of </w:t>
            </w:r>
            <w:r w:rsidR="00AB22D5">
              <w:rPr>
                <w:rFonts w:cstheme="minorHAnsi"/>
                <w:b/>
                <w:color w:val="000000"/>
                <w:lang w:val="en-US"/>
              </w:rPr>
              <w:t>ART</w:t>
            </w:r>
            <w:r>
              <w:rPr>
                <w:rFonts w:cstheme="minorHAnsi"/>
                <w:b/>
                <w:color w:val="000000"/>
                <w:lang w:val="en-US"/>
              </w:rPr>
              <w:t xml:space="preserve"> initiation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CF2836" w14:textId="77777777" w:rsidR="00BD02D8" w:rsidRPr="00FF655E" w:rsidRDefault="00BD02D8" w:rsidP="005005E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F4654AB" w14:textId="77777777" w:rsidR="00BD02D8" w:rsidRPr="00FF655E" w:rsidRDefault="00BD02D8" w:rsidP="005005E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2AEEAD" w14:textId="77777777" w:rsidR="00BD02D8" w:rsidRPr="00FF655E" w:rsidRDefault="00BD02D8" w:rsidP="005005E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13326B" w14:textId="77777777" w:rsidR="00BD02D8" w:rsidRPr="00FF655E" w:rsidRDefault="00BD02D8" w:rsidP="005005E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7D193B" w:rsidRPr="00830C7D" w14:paraId="31DAED61" w14:textId="77777777" w:rsidTr="005005E2">
        <w:trPr>
          <w:trHeight w:hRule="exact" w:val="352"/>
          <w:jc w:val="center"/>
        </w:trPr>
        <w:tc>
          <w:tcPr>
            <w:tcW w:w="2552" w:type="dxa"/>
            <w:noWrap/>
            <w:vAlign w:val="center"/>
          </w:tcPr>
          <w:p w14:paraId="3E5E780A" w14:textId="77777777" w:rsidR="007D193B" w:rsidRPr="00FF655E" w:rsidRDefault="007D193B" w:rsidP="007D193B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199</w:t>
            </w:r>
            <w:r>
              <w:rPr>
                <w:rFonts w:cstheme="minorHAnsi"/>
                <w:color w:val="000000"/>
                <w:lang w:val="en-US"/>
              </w:rPr>
              <w:t>6</w:t>
            </w:r>
            <w:r w:rsidRPr="00FF655E">
              <w:rPr>
                <w:rFonts w:cstheme="minorHAnsi"/>
                <w:color w:val="000000"/>
                <w:lang w:val="en-US"/>
              </w:rPr>
              <w:t>-</w:t>
            </w:r>
            <w:r>
              <w:rPr>
                <w:rFonts w:cstheme="minorHAnsi"/>
                <w:color w:val="000000"/>
                <w:lang w:val="en-US"/>
              </w:rPr>
              <w:t>1998</w:t>
            </w:r>
          </w:p>
        </w:tc>
        <w:tc>
          <w:tcPr>
            <w:tcW w:w="1843" w:type="dxa"/>
            <w:vAlign w:val="bottom"/>
          </w:tcPr>
          <w:p w14:paraId="492FFF42" w14:textId="65E07118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 0   (0%)     </w:t>
            </w:r>
          </w:p>
        </w:tc>
        <w:tc>
          <w:tcPr>
            <w:tcW w:w="1559" w:type="dxa"/>
            <w:vAlign w:val="bottom"/>
          </w:tcPr>
          <w:p w14:paraId="516068D5" w14:textId="6159DADC" w:rsidR="007D193B" w:rsidRPr="00FF655E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1   (6%)      </w:t>
            </w:r>
          </w:p>
        </w:tc>
        <w:tc>
          <w:tcPr>
            <w:tcW w:w="1701" w:type="dxa"/>
            <w:vAlign w:val="bottom"/>
          </w:tcPr>
          <w:p w14:paraId="7AA295C2" w14:textId="3677FD4D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10  (53%)      </w:t>
            </w:r>
          </w:p>
        </w:tc>
        <w:tc>
          <w:tcPr>
            <w:tcW w:w="1843" w:type="dxa"/>
            <w:vAlign w:val="bottom"/>
          </w:tcPr>
          <w:p w14:paraId="4A582046" w14:textId="2E345F2F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36  (22%)     </w:t>
            </w:r>
          </w:p>
        </w:tc>
      </w:tr>
      <w:tr w:rsidR="007D193B" w:rsidRPr="00830C7D" w14:paraId="6F432998" w14:textId="77777777" w:rsidTr="005005E2">
        <w:trPr>
          <w:trHeight w:hRule="exact" w:val="352"/>
          <w:jc w:val="center"/>
        </w:trPr>
        <w:tc>
          <w:tcPr>
            <w:tcW w:w="2552" w:type="dxa"/>
            <w:noWrap/>
            <w:vAlign w:val="center"/>
          </w:tcPr>
          <w:p w14:paraId="36D174CF" w14:textId="77777777" w:rsidR="007D193B" w:rsidRDefault="007D193B" w:rsidP="007D193B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1999-2003</w:t>
            </w:r>
          </w:p>
        </w:tc>
        <w:tc>
          <w:tcPr>
            <w:tcW w:w="1843" w:type="dxa"/>
            <w:vAlign w:val="bottom"/>
          </w:tcPr>
          <w:p w14:paraId="1C7B097C" w14:textId="371BD256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 0   (0%)     </w:t>
            </w:r>
          </w:p>
        </w:tc>
        <w:tc>
          <w:tcPr>
            <w:tcW w:w="1559" w:type="dxa"/>
            <w:vAlign w:val="bottom"/>
          </w:tcPr>
          <w:p w14:paraId="37279D2F" w14:textId="4184CBDF" w:rsidR="007D193B" w:rsidRPr="00FF655E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6  (35%)      </w:t>
            </w:r>
          </w:p>
        </w:tc>
        <w:tc>
          <w:tcPr>
            <w:tcW w:w="1701" w:type="dxa"/>
            <w:vAlign w:val="bottom"/>
          </w:tcPr>
          <w:p w14:paraId="05C5E454" w14:textId="48DA9801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6  (32%)      </w:t>
            </w:r>
          </w:p>
        </w:tc>
        <w:tc>
          <w:tcPr>
            <w:tcW w:w="1843" w:type="dxa"/>
            <w:vAlign w:val="bottom"/>
          </w:tcPr>
          <w:p w14:paraId="13D50C3D" w14:textId="5D19985E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71  (43%)     </w:t>
            </w:r>
          </w:p>
        </w:tc>
      </w:tr>
      <w:tr w:rsidR="007D193B" w:rsidRPr="00830C7D" w14:paraId="717BFE68" w14:textId="77777777" w:rsidTr="005005E2">
        <w:trPr>
          <w:trHeight w:hRule="exact" w:val="352"/>
          <w:jc w:val="center"/>
        </w:trPr>
        <w:tc>
          <w:tcPr>
            <w:tcW w:w="2552" w:type="dxa"/>
            <w:tcBorders>
              <w:bottom w:val="nil"/>
            </w:tcBorders>
            <w:noWrap/>
            <w:vAlign w:val="center"/>
          </w:tcPr>
          <w:p w14:paraId="7E9F9736" w14:textId="77777777" w:rsidR="007D193B" w:rsidRPr="00FF655E" w:rsidRDefault="007D193B" w:rsidP="007D193B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2004-2007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14:paraId="4B790181" w14:textId="5D0D40D1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114  (73%)     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7C3B9AAF" w14:textId="23D126C0" w:rsidR="007D193B" w:rsidRPr="00FF655E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3  (18%)      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15AA3033" w14:textId="082416E9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3  (16%)      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14:paraId="3D07DB7C" w14:textId="01EEC5B6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31  (19%)     </w:t>
            </w:r>
          </w:p>
        </w:tc>
      </w:tr>
      <w:tr w:rsidR="007D193B" w:rsidRPr="00830C7D" w14:paraId="2E585BDD" w14:textId="77777777" w:rsidTr="005005E2">
        <w:trPr>
          <w:trHeight w:hRule="exact" w:val="352"/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CDBDE3B" w14:textId="77777777" w:rsidR="007D193B" w:rsidRPr="00FF655E" w:rsidRDefault="007D193B" w:rsidP="007D193B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2008-2014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59E9606A" w14:textId="2CDF4E09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42  (27%)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14:paraId="69249A52" w14:textId="51C1CADB" w:rsidR="007D193B" w:rsidRPr="00FF655E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7  (41%)    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3C41377F" w14:textId="3CC063D2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0   (0%)    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2CFAD8B5" w14:textId="2631B789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26  (16%)     </w:t>
            </w:r>
          </w:p>
        </w:tc>
      </w:tr>
      <w:tr w:rsidR="007D193B" w:rsidRPr="007D193B" w14:paraId="69F82AD7" w14:textId="77777777" w:rsidTr="007D193B">
        <w:trPr>
          <w:trHeight w:hRule="exact" w:val="1007"/>
          <w:jc w:val="center"/>
        </w:trPr>
        <w:tc>
          <w:tcPr>
            <w:tcW w:w="2552" w:type="dxa"/>
            <w:tcBorders>
              <w:bottom w:val="nil"/>
            </w:tcBorders>
            <w:noWrap/>
            <w:vAlign w:val="center"/>
          </w:tcPr>
          <w:p w14:paraId="092D98C7" w14:textId="0A3DFC95" w:rsidR="007D193B" w:rsidRPr="00523605" w:rsidRDefault="007D193B" w:rsidP="00C46602">
            <w:pPr>
              <w:rPr>
                <w:rFonts w:cstheme="minorHAnsi"/>
                <w:b/>
                <w:bCs/>
                <w:lang w:val="en-US"/>
              </w:rPr>
            </w:pPr>
            <w:r w:rsidRPr="00523605">
              <w:rPr>
                <w:rFonts w:cstheme="minorHAnsi"/>
                <w:b/>
                <w:bCs/>
                <w:lang w:val="en-US"/>
              </w:rPr>
              <w:t xml:space="preserve">Median CD4 </w:t>
            </w:r>
            <w:r>
              <w:rPr>
                <w:rFonts w:cstheme="minorHAnsi"/>
                <w:b/>
                <w:bCs/>
                <w:lang w:val="en-US"/>
              </w:rPr>
              <w:t xml:space="preserve">cell </w:t>
            </w:r>
            <w:r w:rsidRPr="00523605">
              <w:rPr>
                <w:rFonts w:cstheme="minorHAnsi"/>
                <w:b/>
                <w:bCs/>
                <w:lang w:val="en-US"/>
              </w:rPr>
              <w:t xml:space="preserve">count </w:t>
            </w:r>
            <w:r>
              <w:rPr>
                <w:rFonts w:cstheme="minorHAnsi"/>
                <w:b/>
                <w:bCs/>
                <w:lang w:val="en-US"/>
              </w:rPr>
              <w:t xml:space="preserve"> at </w:t>
            </w:r>
            <w:r w:rsidR="00C46602">
              <w:rPr>
                <w:rFonts w:cstheme="minorHAnsi"/>
                <w:b/>
                <w:bCs/>
                <w:lang w:val="en-US"/>
              </w:rPr>
              <w:t>ICC</w:t>
            </w:r>
            <w:r>
              <w:rPr>
                <w:rFonts w:cstheme="minorHAnsi"/>
                <w:b/>
                <w:bCs/>
                <w:lang w:val="en-US"/>
              </w:rPr>
              <w:t xml:space="preserve"> diagnosis</w:t>
            </w:r>
            <w:r w:rsidRPr="00523605">
              <w:rPr>
                <w:rFonts w:cstheme="minorHAnsi"/>
                <w:b/>
                <w:bCs/>
                <w:lang w:val="en-US"/>
              </w:rPr>
              <w:t xml:space="preserve"> (IQR) [cells/µl]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EBB279D" w14:textId="6C8338B9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 w:rsidRPr="007D193B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>292 (170-450)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E45FCE4" w14:textId="01E41A11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275 (190-406)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0B6AB7" w14:textId="6B98E16A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370 (200-586)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2A408F4" w14:textId="6D74524A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350 (183-</w:t>
            </w:r>
            <w:r w:rsidRPr="007D193B">
              <w:rPr>
                <w:rFonts w:ascii="Calibri" w:hAnsi="Calibri"/>
                <w:lang w:val="en-US"/>
              </w:rPr>
              <w:t>523)</w:t>
            </w:r>
          </w:p>
        </w:tc>
      </w:tr>
      <w:tr w:rsidR="007D193B" w:rsidRPr="007D193B" w14:paraId="327EE5A0" w14:textId="77777777" w:rsidTr="00C46602">
        <w:trPr>
          <w:trHeight w:hRule="exact" w:val="629"/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BD5B9D3" w14:textId="65C37C33" w:rsidR="007D193B" w:rsidRDefault="00C46602" w:rsidP="007D193B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Women with missing CD4 cell count at ICC </w:t>
            </w:r>
            <w:proofErr w:type="spellStart"/>
            <w:r>
              <w:rPr>
                <w:rFonts w:cstheme="minorHAnsi"/>
                <w:bCs/>
                <w:lang w:val="en-US"/>
              </w:rPr>
              <w:t>diagnoisis</w:t>
            </w:r>
            <w:proofErr w:type="spell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1146AE52" w14:textId="5D08D15E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 w:rsidRPr="007D193B">
              <w:rPr>
                <w:rFonts w:ascii="Calibri" w:hAnsi="Calibri"/>
                <w:lang w:val="en-US"/>
              </w:rPr>
              <w:t xml:space="preserve">       </w:t>
            </w:r>
            <w:proofErr w:type="gramStart"/>
            <w:r w:rsidRPr="007D193B">
              <w:rPr>
                <w:rFonts w:ascii="Calibri" w:hAnsi="Calibri"/>
                <w:lang w:val="en-US"/>
              </w:rPr>
              <w:t>37  (</w:t>
            </w:r>
            <w:proofErr w:type="gramEnd"/>
            <w:r w:rsidRPr="007D193B">
              <w:rPr>
                <w:rFonts w:ascii="Calibri" w:hAnsi="Calibri"/>
                <w:lang w:val="en-US"/>
              </w:rPr>
              <w:t xml:space="preserve">24%)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5F9A2B05" w14:textId="71669F4D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 w:rsidRPr="007D193B">
              <w:rPr>
                <w:rFonts w:ascii="Calibri" w:hAnsi="Calibri"/>
                <w:lang w:val="en-US"/>
              </w:rPr>
              <w:t xml:space="preserve">       </w:t>
            </w:r>
            <w:proofErr w:type="gramStart"/>
            <w:r w:rsidRPr="007D193B">
              <w:rPr>
                <w:rFonts w:ascii="Calibri" w:hAnsi="Calibri"/>
                <w:lang w:val="en-US"/>
              </w:rPr>
              <w:t>6  (</w:t>
            </w:r>
            <w:proofErr w:type="gramEnd"/>
            <w:r w:rsidRPr="007D193B">
              <w:rPr>
                <w:rFonts w:ascii="Calibri" w:hAnsi="Calibri"/>
                <w:lang w:val="en-US"/>
              </w:rPr>
              <w:t xml:space="preserve">35%)    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871579A" w14:textId="06164199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 w:rsidRPr="007D193B">
              <w:rPr>
                <w:rFonts w:ascii="Calibri" w:hAnsi="Calibri"/>
                <w:lang w:val="en-US"/>
              </w:rPr>
              <w:t xml:space="preserve">       1   (5%)    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6F3A814A" w14:textId="75037B21" w:rsidR="007D193B" w:rsidRDefault="007D193B" w:rsidP="007D193B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 w:rsidRPr="007D193B">
              <w:rPr>
                <w:rFonts w:ascii="Calibri" w:hAnsi="Calibri"/>
                <w:lang w:val="en-US"/>
              </w:rPr>
              <w:t xml:space="preserve">       </w:t>
            </w:r>
            <w:proofErr w:type="gramStart"/>
            <w:r w:rsidRPr="007D193B">
              <w:rPr>
                <w:rFonts w:ascii="Calibri" w:hAnsi="Calibri"/>
                <w:lang w:val="en-US"/>
              </w:rPr>
              <w:t>23  (</w:t>
            </w:r>
            <w:proofErr w:type="gramEnd"/>
            <w:r w:rsidRPr="007D193B">
              <w:rPr>
                <w:rFonts w:ascii="Calibri" w:hAnsi="Calibri"/>
                <w:lang w:val="en-US"/>
              </w:rPr>
              <w:t xml:space="preserve">14%)     </w:t>
            </w:r>
          </w:p>
        </w:tc>
      </w:tr>
      <w:tr w:rsidR="00C46602" w:rsidRPr="00830C7D" w14:paraId="7577C89F" w14:textId="77777777" w:rsidTr="00C46602">
        <w:trPr>
          <w:trHeight w:hRule="exact" w:val="1072"/>
          <w:jc w:val="center"/>
        </w:trPr>
        <w:tc>
          <w:tcPr>
            <w:tcW w:w="2552" w:type="dxa"/>
            <w:tcBorders>
              <w:top w:val="nil"/>
              <w:bottom w:val="nil"/>
            </w:tcBorders>
            <w:noWrap/>
            <w:vAlign w:val="center"/>
          </w:tcPr>
          <w:p w14:paraId="493BFAC6" w14:textId="49BF3EB2" w:rsidR="00C46602" w:rsidRDefault="00C46602" w:rsidP="00C46602">
            <w:pPr>
              <w:rPr>
                <w:rFonts w:cstheme="minorHAnsi"/>
                <w:bCs/>
                <w:lang w:val="en-US"/>
              </w:rPr>
            </w:pPr>
            <w:r w:rsidRPr="00523605">
              <w:rPr>
                <w:rFonts w:cstheme="minorHAnsi"/>
                <w:b/>
                <w:bCs/>
                <w:lang w:val="en-US"/>
              </w:rPr>
              <w:t xml:space="preserve">Median </w:t>
            </w:r>
            <w:r>
              <w:rPr>
                <w:rFonts w:cstheme="minorHAnsi"/>
                <w:b/>
                <w:bCs/>
                <w:lang w:val="en-US"/>
              </w:rPr>
              <w:t>HIV RNA</w:t>
            </w:r>
            <w:r w:rsidRPr="00523605">
              <w:rPr>
                <w:rFonts w:cstheme="minorHAnsi"/>
                <w:b/>
                <w:bCs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at ICC diagnosis</w:t>
            </w:r>
            <w:r w:rsidRPr="00523605">
              <w:rPr>
                <w:rFonts w:cstheme="minorHAnsi"/>
                <w:b/>
                <w:bCs/>
                <w:lang w:val="en-US"/>
              </w:rPr>
              <w:t xml:space="preserve"> (IQR) </w:t>
            </w:r>
            <w:r>
              <w:rPr>
                <w:rFonts w:cstheme="minorHAnsi"/>
                <w:b/>
                <w:bCs/>
                <w:lang w:val="en-US"/>
              </w:rPr>
              <w:t>[log10 copies/ml]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77F8CAE" w14:textId="25E62ED0" w:rsidR="00C46602" w:rsidRPr="00C46602" w:rsidRDefault="00C46602" w:rsidP="00C46602">
            <w:pPr>
              <w:spacing w:after="0"/>
              <w:jc w:val="center"/>
              <w:rPr>
                <w:rFonts w:ascii="Calibri" w:hAnsi="Calibri"/>
              </w:rPr>
            </w:pPr>
            <w:r w:rsidRPr="00C46602">
              <w:rPr>
                <w:rFonts w:ascii="Calibri" w:hAnsi="Calibri"/>
                <w:lang w:val="en-US"/>
              </w:rPr>
              <w:t xml:space="preserve">   </w:t>
            </w:r>
            <w:r>
              <w:rPr>
                <w:rFonts w:ascii="Calibri" w:hAnsi="Calibri"/>
              </w:rPr>
              <w:t>1.7   (1.7-1.7)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D41532B" w14:textId="1BAD5148" w:rsidR="00C46602" w:rsidRDefault="00C46602" w:rsidP="00C4660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1.7   (1.6-3.3)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C051F5D" w14:textId="75DE6820" w:rsidR="00C46602" w:rsidRDefault="00C46602" w:rsidP="00C4660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2.3   (2.3-2.8)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27F3742" w14:textId="6C846B58" w:rsidR="00C46602" w:rsidRDefault="00C46602" w:rsidP="00C4660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2.0   (1.7-3.7)</w:t>
            </w:r>
          </w:p>
        </w:tc>
      </w:tr>
      <w:tr w:rsidR="00C46602" w:rsidRPr="00830C7D" w14:paraId="288B8E71" w14:textId="77777777" w:rsidTr="00C46602">
        <w:trPr>
          <w:trHeight w:hRule="exact" w:val="640"/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4228A69" w14:textId="03189EA6" w:rsidR="00C46602" w:rsidRDefault="00C46602" w:rsidP="00C46602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Women with missing HIV RNA at ICC diagnosis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1C24BFB4" w14:textId="0C85AE25" w:rsidR="00C46602" w:rsidRDefault="00C46602" w:rsidP="00C4660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 w:rsidRPr="00C46602">
              <w:rPr>
                <w:rFonts w:ascii="Calibri" w:hAnsi="Calibri"/>
                <w:lang w:val="en-US"/>
              </w:rPr>
              <w:t xml:space="preserve">       </w:t>
            </w:r>
            <w:r>
              <w:rPr>
                <w:rFonts w:ascii="Calibri" w:hAnsi="Calibri"/>
              </w:rPr>
              <w:t xml:space="preserve">51  (33%)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48DB22E6" w14:textId="7C9BA21F" w:rsidR="00C46602" w:rsidRDefault="00C46602" w:rsidP="00C4660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4  (24%)    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9D6A879" w14:textId="26F1EB16" w:rsidR="00C46602" w:rsidRDefault="00C46602" w:rsidP="00C4660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1   (5%)    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5B09F868" w14:textId="5715C6C7" w:rsidR="00C46602" w:rsidRDefault="00C46602" w:rsidP="00C46602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</w:rPr>
              <w:t xml:space="preserve">       31  (19%)     </w:t>
            </w:r>
          </w:p>
        </w:tc>
      </w:tr>
    </w:tbl>
    <w:p w14:paraId="0CE444AB" w14:textId="5C666622" w:rsidR="00521E7B" w:rsidRDefault="00AB22D5" w:rsidP="00BD02D8">
      <w:pPr>
        <w:spacing w:before="120" w:after="60" w:line="480" w:lineRule="auto"/>
        <w:rPr>
          <w:lang w:val="en-US"/>
        </w:rPr>
      </w:pPr>
      <w:r>
        <w:rPr>
          <w:lang w:val="en-US"/>
        </w:rPr>
        <w:t>ART</w:t>
      </w:r>
      <w:r w:rsidR="00BD02D8" w:rsidRPr="00536BEB">
        <w:rPr>
          <w:lang w:val="en-US"/>
        </w:rPr>
        <w:t>, antiretroviral therapy</w:t>
      </w:r>
      <w:r w:rsidR="00BD02D8" w:rsidRPr="00711678">
        <w:rPr>
          <w:lang w:val="en-US"/>
        </w:rPr>
        <w:t xml:space="preserve">; </w:t>
      </w:r>
      <w:r w:rsidR="00254F35">
        <w:rPr>
          <w:lang w:val="en-US"/>
        </w:rPr>
        <w:t xml:space="preserve">HIV, human immunodeficiency virus; </w:t>
      </w:r>
      <w:r w:rsidR="00BD02D8" w:rsidRPr="00711678">
        <w:rPr>
          <w:lang w:val="en-US"/>
        </w:rPr>
        <w:t>IQR, interquar</w:t>
      </w:r>
      <w:r w:rsidR="00BD02D8">
        <w:rPr>
          <w:lang w:val="en-US"/>
        </w:rPr>
        <w:t xml:space="preserve">tile range; </w:t>
      </w:r>
      <w:r w:rsidR="00BD02D8" w:rsidRPr="00536BEB">
        <w:rPr>
          <w:lang w:val="en-US"/>
        </w:rPr>
        <w:t xml:space="preserve">NNRTI, </w:t>
      </w:r>
      <w:r w:rsidR="00BD02D8" w:rsidRPr="00BD02D8">
        <w:rPr>
          <w:lang w:val="en-US"/>
        </w:rPr>
        <w:t xml:space="preserve">non-nucleoside reverse-transcriptase inhibitors; PI, protease-inhibitors; </w:t>
      </w:r>
      <w:r w:rsidR="00BD02D8">
        <w:rPr>
          <w:lang w:val="en-US"/>
        </w:rPr>
        <w:t>RNA, r</w:t>
      </w:r>
      <w:r w:rsidR="00BD02D8" w:rsidRPr="003A4DCB">
        <w:rPr>
          <w:lang w:val="en-US"/>
        </w:rPr>
        <w:t>ibonucleic acid</w:t>
      </w:r>
      <w:r w:rsidR="00BD02D8" w:rsidRPr="00536BEB">
        <w:rPr>
          <w:lang w:val="en-US"/>
        </w:rPr>
        <w:t xml:space="preserve">. </w:t>
      </w:r>
    </w:p>
    <w:p w14:paraId="105CF774" w14:textId="77777777" w:rsidR="00521E7B" w:rsidRDefault="00521E7B">
      <w:pPr>
        <w:rPr>
          <w:lang w:val="en-US"/>
        </w:rPr>
      </w:pPr>
      <w:r>
        <w:rPr>
          <w:lang w:val="en-US"/>
        </w:rPr>
        <w:br w:type="page"/>
      </w:r>
    </w:p>
    <w:p w14:paraId="1E6FD6BE" w14:textId="23269C20" w:rsidR="00027F65" w:rsidRPr="00C80F67" w:rsidRDefault="00C01579" w:rsidP="00027F65">
      <w:pPr>
        <w:spacing w:after="120" w:line="480" w:lineRule="auto"/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lastRenderedPageBreak/>
        <w:t>Supplementary T</w:t>
      </w:r>
      <w:r w:rsidR="00027F65">
        <w:rPr>
          <w:rFonts w:cstheme="minorHAnsi"/>
          <w:b/>
          <w:bCs/>
          <w:lang w:val="en-US"/>
        </w:rPr>
        <w:t xml:space="preserve">able S2: Comparison of ICC </w:t>
      </w:r>
      <w:r w:rsidR="00F8019F">
        <w:rPr>
          <w:rFonts w:cstheme="minorHAnsi"/>
          <w:b/>
          <w:bCs/>
          <w:lang w:val="en-US"/>
        </w:rPr>
        <w:t>rates</w:t>
      </w:r>
      <w:r w:rsidR="00027F65">
        <w:rPr>
          <w:rFonts w:cstheme="minorHAnsi"/>
          <w:b/>
          <w:bCs/>
          <w:lang w:val="en-US"/>
        </w:rPr>
        <w:t xml:space="preserve"> between different regions and Europe: </w:t>
      </w:r>
      <w:r w:rsidR="00027F65">
        <w:rPr>
          <w:rFonts w:cstheme="minorHAnsi"/>
          <w:bCs/>
          <w:lang w:val="en-US"/>
        </w:rPr>
        <w:t>Crude and adjusted HRs for ICC at 2 years and 5 years after ART initiation in women living with HIV; sensitivity analysis excluding ICC cases diagnosed within the first three months after ART initiation.</w:t>
      </w: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985"/>
        <w:gridCol w:w="1984"/>
      </w:tblGrid>
      <w:tr w:rsidR="00027F65" w14:paraId="02002ADF" w14:textId="77777777" w:rsidTr="004B6864">
        <w:trPr>
          <w:trHeight w:hRule="exact" w:val="436"/>
        </w:trPr>
        <w:tc>
          <w:tcPr>
            <w:tcW w:w="1701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438DF464" w14:textId="77777777" w:rsidR="00027F65" w:rsidRPr="003E167C" w:rsidRDefault="00027F65" w:rsidP="004B6864">
            <w:pPr>
              <w:rPr>
                <w:rFonts w:cstheme="minorHAnsi"/>
                <w:b/>
                <w:color w:val="000000"/>
                <w:lang w:val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E5711A" w14:textId="77777777" w:rsidR="00027F65" w:rsidRPr="003E167C" w:rsidRDefault="00027F65" w:rsidP="004B6864">
            <w:pPr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At 2 years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</w:tcBorders>
          </w:tcPr>
          <w:p w14:paraId="7830C4F0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At 5 years</w:t>
            </w:r>
          </w:p>
        </w:tc>
      </w:tr>
      <w:tr w:rsidR="00027F65" w:rsidRPr="00830C7D" w14:paraId="7B69267B" w14:textId="77777777" w:rsidTr="004B6864">
        <w:trPr>
          <w:trHeight w:hRule="exact" w:val="708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5B794DE7" w14:textId="77777777" w:rsidR="00027F65" w:rsidRDefault="00027F65" w:rsidP="004B6864">
            <w:pPr>
              <w:rPr>
                <w:rFonts w:cstheme="minorHAnsi"/>
                <w:b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AE8D28" w14:textId="77777777" w:rsidR="00027F65" w:rsidRDefault="00027F65" w:rsidP="004B6864">
            <w:pPr>
              <w:spacing w:after="0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 xml:space="preserve">Crude HR </w:t>
            </w:r>
          </w:p>
          <w:p w14:paraId="5E6A1A23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(95% CI)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27798C0E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Adjusted HR* (95% CI)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CFEB8AB" w14:textId="77777777" w:rsidR="00027F65" w:rsidRDefault="00027F65" w:rsidP="004B6864">
            <w:pPr>
              <w:spacing w:after="0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 xml:space="preserve">Crude HR </w:t>
            </w:r>
          </w:p>
          <w:p w14:paraId="52FF722E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(95% CI)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2CCC2481" w14:textId="77777777" w:rsidR="00027F65" w:rsidRDefault="00027F65" w:rsidP="004B6864">
            <w:pPr>
              <w:spacing w:after="0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 xml:space="preserve">Adjusted HR* </w:t>
            </w:r>
          </w:p>
          <w:p w14:paraId="2EA141E1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(95% CI)</w:t>
            </w:r>
          </w:p>
        </w:tc>
      </w:tr>
      <w:tr w:rsidR="00027F65" w:rsidRPr="00830C7D" w14:paraId="740D3EF7" w14:textId="77777777" w:rsidTr="004B6864">
        <w:trPr>
          <w:trHeight w:hRule="exact" w:val="433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0BF64368" w14:textId="77777777" w:rsidR="00027F65" w:rsidRPr="003E167C" w:rsidRDefault="00027F65" w:rsidP="004B6864">
            <w:pPr>
              <w:spacing w:after="0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>Region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84B70A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5B6EAE55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022D975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13FD35FF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027F65" w:rsidRPr="00830C7D" w14:paraId="25508E61" w14:textId="77777777" w:rsidTr="004B6864">
        <w:trPr>
          <w:trHeight w:hRule="exact" w:val="352"/>
        </w:trPr>
        <w:tc>
          <w:tcPr>
            <w:tcW w:w="1701" w:type="dxa"/>
            <w:tcBorders>
              <w:left w:val="nil"/>
            </w:tcBorders>
            <w:noWrap/>
            <w:vAlign w:val="center"/>
          </w:tcPr>
          <w:p w14:paraId="3B3586F0" w14:textId="77777777" w:rsidR="00027F65" w:rsidRPr="003E167C" w:rsidRDefault="00027F65" w:rsidP="004B6864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Europe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66CBF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1.00</w:t>
            </w:r>
          </w:p>
        </w:tc>
        <w:tc>
          <w:tcPr>
            <w:tcW w:w="1843" w:type="dxa"/>
            <w:vAlign w:val="center"/>
          </w:tcPr>
          <w:p w14:paraId="3306A0C5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052870D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1.00</w:t>
            </w:r>
          </w:p>
        </w:tc>
        <w:tc>
          <w:tcPr>
            <w:tcW w:w="1984" w:type="dxa"/>
            <w:vAlign w:val="center"/>
          </w:tcPr>
          <w:p w14:paraId="1913BD44" w14:textId="77777777" w:rsidR="00027F65" w:rsidRPr="003E167C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1.00</w:t>
            </w:r>
          </w:p>
        </w:tc>
      </w:tr>
      <w:tr w:rsidR="00027F65" w:rsidRPr="00830C7D" w14:paraId="3306CF31" w14:textId="77777777" w:rsidTr="004B6864">
        <w:trPr>
          <w:trHeight w:hRule="exact" w:val="363"/>
        </w:trPr>
        <w:tc>
          <w:tcPr>
            <w:tcW w:w="1701" w:type="dxa"/>
            <w:tcBorders>
              <w:left w:val="nil"/>
            </w:tcBorders>
            <w:noWrap/>
            <w:vAlign w:val="center"/>
          </w:tcPr>
          <w:p w14:paraId="1E72ED51" w14:textId="77777777" w:rsidR="00027F65" w:rsidRDefault="00027F65" w:rsidP="004B6864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North America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06FA3E" w14:textId="2688DC4C" w:rsidR="00027F65" w:rsidRDefault="00027F65" w:rsidP="004B68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1.31 (0.71 - 2.41)</w:t>
            </w:r>
          </w:p>
          <w:p w14:paraId="38BAF0BE" w14:textId="77777777" w:rsidR="00027F65" w:rsidRDefault="00027F65" w:rsidP="004B6864">
            <w:pPr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6B28927" w14:textId="0D4CFE58" w:rsidR="00027F65" w:rsidRDefault="00027F65" w:rsidP="004B68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1.09 (0.55 - 2.15)</w:t>
            </w:r>
          </w:p>
          <w:p w14:paraId="3A449F18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598345B" w14:textId="5D5F7BDA" w:rsidR="00027F65" w:rsidRDefault="00027F65" w:rsidP="004B68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0.99 (0.49 – 2.01)</w:t>
            </w:r>
          </w:p>
          <w:p w14:paraId="6B1D82B0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2B8F0C" w14:textId="6FAD3E90" w:rsidR="00027F65" w:rsidRDefault="00027F65" w:rsidP="004B68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0.80 (0.37 - 1.74)</w:t>
            </w:r>
          </w:p>
          <w:p w14:paraId="301BBBF7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027F65" w:rsidRPr="00830C7D" w14:paraId="77A762D3" w14:textId="77777777" w:rsidTr="004B6864">
        <w:trPr>
          <w:trHeight w:hRule="exact" w:val="402"/>
        </w:trPr>
        <w:tc>
          <w:tcPr>
            <w:tcW w:w="1701" w:type="dxa"/>
            <w:tcBorders>
              <w:left w:val="nil"/>
            </w:tcBorders>
            <w:noWrap/>
            <w:vAlign w:val="center"/>
          </w:tcPr>
          <w:p w14:paraId="27476A30" w14:textId="77777777" w:rsidR="00027F65" w:rsidRPr="003E167C" w:rsidRDefault="00027F65" w:rsidP="004B6864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Latin America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16FAD" w14:textId="32BE5B04" w:rsidR="00027F65" w:rsidRDefault="00027F65" w:rsidP="004B68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1.81 (1.02 - 3.24)</w:t>
            </w:r>
          </w:p>
          <w:p w14:paraId="0CE6418D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86D81E1" w14:textId="60B3E8EF" w:rsidR="00027F65" w:rsidRDefault="00027F65" w:rsidP="004B68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1.94 (0.98 - 3.82)</w:t>
            </w:r>
          </w:p>
          <w:p w14:paraId="1C1C95C4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FAA51F4" w14:textId="425BC7EE" w:rsidR="00027F65" w:rsidRDefault="00027F65" w:rsidP="004B68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2.32 (1.23 - 4.39)</w:t>
            </w:r>
          </w:p>
          <w:p w14:paraId="1416B7A3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68FB252" w14:textId="0540C090" w:rsidR="00027F65" w:rsidRDefault="00027F65" w:rsidP="004B68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2.42 (1.22 - 4.78)</w:t>
            </w:r>
          </w:p>
          <w:p w14:paraId="11B8BFEB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027F65" w:rsidRPr="00027F65" w14:paraId="72F20613" w14:textId="77777777" w:rsidTr="004B6864">
        <w:trPr>
          <w:trHeight w:hRule="exact" w:val="405"/>
        </w:trPr>
        <w:tc>
          <w:tcPr>
            <w:tcW w:w="1701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6B872B4A" w14:textId="77777777" w:rsidR="00027F65" w:rsidRDefault="00027F65" w:rsidP="004B6864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South Africa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4B2CA" w14:textId="7EF5CCE0" w:rsidR="00027F65" w:rsidRPr="00027F65" w:rsidRDefault="00027F65" w:rsidP="004B6864">
            <w:pPr>
              <w:jc w:val="center"/>
              <w:rPr>
                <w:rFonts w:ascii="Calibri" w:hAnsi="Calibri"/>
                <w:lang w:val="en-US"/>
              </w:rPr>
            </w:pPr>
            <w:r w:rsidRPr="00027F65">
              <w:rPr>
                <w:rFonts w:ascii="Calibri" w:hAnsi="Calibri"/>
                <w:lang w:val="en-US"/>
              </w:rPr>
              <w:t>7.</w:t>
            </w:r>
            <w:r>
              <w:rPr>
                <w:rFonts w:ascii="Calibri" w:hAnsi="Calibri"/>
                <w:lang w:val="en-US"/>
              </w:rPr>
              <w:t>36</w:t>
            </w:r>
            <w:r w:rsidRPr="00027F65">
              <w:rPr>
                <w:rFonts w:ascii="Calibri" w:hAnsi="Calibri"/>
                <w:lang w:val="en-US"/>
              </w:rPr>
              <w:t xml:space="preserve"> (5.</w:t>
            </w:r>
            <w:r>
              <w:rPr>
                <w:rFonts w:ascii="Calibri" w:hAnsi="Calibri"/>
                <w:lang w:val="en-US"/>
              </w:rPr>
              <w:t>52</w:t>
            </w:r>
            <w:r w:rsidRPr="00027F65">
              <w:rPr>
                <w:rFonts w:ascii="Calibri" w:hAnsi="Calibri"/>
                <w:lang w:val="en-US"/>
              </w:rPr>
              <w:t xml:space="preserve"> - 9.</w:t>
            </w:r>
            <w:r>
              <w:rPr>
                <w:rFonts w:ascii="Calibri" w:hAnsi="Calibri"/>
                <w:lang w:val="en-US"/>
              </w:rPr>
              <w:t>83</w:t>
            </w:r>
            <w:r w:rsidRPr="00027F65">
              <w:rPr>
                <w:rFonts w:ascii="Calibri" w:hAnsi="Calibri"/>
                <w:lang w:val="en-US"/>
              </w:rPr>
              <w:t>)</w:t>
            </w:r>
          </w:p>
          <w:p w14:paraId="529BC16E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586ED4" w14:textId="5E41FD30" w:rsidR="00027F65" w:rsidRPr="005C7213" w:rsidRDefault="00027F65" w:rsidP="004B6864">
            <w:pPr>
              <w:jc w:val="center"/>
              <w:rPr>
                <w:rFonts w:ascii="Calibri" w:hAnsi="Calibri"/>
                <w:lang w:val="en-US"/>
              </w:rPr>
            </w:pPr>
            <w:r w:rsidRPr="00027F65">
              <w:rPr>
                <w:rFonts w:ascii="Calibri" w:hAnsi="Calibri"/>
                <w:lang w:val="en-US"/>
              </w:rPr>
              <w:t>6.</w:t>
            </w:r>
            <w:r>
              <w:rPr>
                <w:rFonts w:ascii="Calibri" w:hAnsi="Calibri"/>
                <w:lang w:val="en-US"/>
              </w:rPr>
              <w:t>85</w:t>
            </w:r>
            <w:r w:rsidRPr="00027F65">
              <w:rPr>
                <w:rFonts w:ascii="Calibri" w:hAnsi="Calibri"/>
                <w:lang w:val="en-US"/>
              </w:rPr>
              <w:t xml:space="preserve"> (4.</w:t>
            </w:r>
            <w:r>
              <w:rPr>
                <w:rFonts w:ascii="Calibri" w:hAnsi="Calibri"/>
                <w:lang w:val="en-US"/>
              </w:rPr>
              <w:t>60</w:t>
            </w:r>
            <w:r w:rsidRPr="00027F65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-</w:t>
            </w:r>
            <w:r w:rsidRPr="00027F65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10.19</w:t>
            </w:r>
            <w:r w:rsidRPr="00027F65">
              <w:rPr>
                <w:rFonts w:ascii="Calibri" w:hAnsi="Calibri"/>
                <w:lang w:val="en-US"/>
              </w:rPr>
              <w:t>)</w:t>
            </w:r>
          </w:p>
          <w:p w14:paraId="27A09B00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7671CA0" w14:textId="5CCAFBF5" w:rsidR="00027F65" w:rsidRPr="005C7213" w:rsidRDefault="00027F65" w:rsidP="004B6864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10.53 (7.08 - 15.67</w:t>
            </w:r>
            <w:r w:rsidRPr="00027F65">
              <w:rPr>
                <w:rFonts w:ascii="Calibri" w:hAnsi="Calibri"/>
                <w:lang w:val="en-US"/>
              </w:rPr>
              <w:t>)</w:t>
            </w:r>
          </w:p>
          <w:p w14:paraId="29C206DC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38DEC82" w14:textId="3A6EA675" w:rsidR="00027F65" w:rsidRPr="005C7213" w:rsidRDefault="00027F65" w:rsidP="004B6864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9.87</w:t>
            </w:r>
            <w:r w:rsidRPr="00027F65">
              <w:rPr>
                <w:rFonts w:ascii="Calibri" w:hAnsi="Calibri"/>
                <w:lang w:val="en-US"/>
              </w:rPr>
              <w:t xml:space="preserve"> (</w:t>
            </w:r>
            <w:r>
              <w:rPr>
                <w:rFonts w:ascii="Calibri" w:hAnsi="Calibri"/>
                <w:lang w:val="en-US"/>
              </w:rPr>
              <w:t>5.89</w:t>
            </w:r>
            <w:r w:rsidRPr="00027F65">
              <w:rPr>
                <w:rFonts w:ascii="Calibri" w:hAnsi="Calibri"/>
                <w:lang w:val="en-US"/>
              </w:rPr>
              <w:t xml:space="preserve"> - 16.</w:t>
            </w:r>
            <w:r>
              <w:rPr>
                <w:rFonts w:ascii="Calibri" w:hAnsi="Calibri"/>
                <w:lang w:val="en-US"/>
              </w:rPr>
              <w:t>53</w:t>
            </w:r>
            <w:r w:rsidRPr="00027F65">
              <w:rPr>
                <w:rFonts w:ascii="Calibri" w:hAnsi="Calibri"/>
                <w:lang w:val="en-US"/>
              </w:rPr>
              <w:t>)</w:t>
            </w:r>
          </w:p>
          <w:p w14:paraId="46B6EEC0" w14:textId="77777777" w:rsidR="00027F65" w:rsidRDefault="00027F65" w:rsidP="004B6864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</w:tbl>
    <w:p w14:paraId="49E00E4C" w14:textId="74BA2906" w:rsidR="00027F65" w:rsidRPr="00027F65" w:rsidRDefault="00027F65" w:rsidP="00027F65">
      <w:pPr>
        <w:spacing w:before="240" w:after="120" w:line="480" w:lineRule="auto"/>
        <w:rPr>
          <w:lang w:val="en-US"/>
        </w:rPr>
      </w:pPr>
      <w:r w:rsidRPr="00027F65">
        <w:rPr>
          <w:lang w:val="en-US"/>
        </w:rPr>
        <w:t>* Adjusted for</w:t>
      </w:r>
      <w:r w:rsidRPr="00FF6F57">
        <w:rPr>
          <w:rFonts w:cs="Arial"/>
          <w:lang w:val="en-US"/>
        </w:rPr>
        <w:t xml:space="preserve"> CD4 cell count at ART initiation, age at ART initiation, first-line ART regimen, and calendar period of ART initiation</w:t>
      </w:r>
      <w:r w:rsidRPr="00027F65">
        <w:rPr>
          <w:lang w:val="en-US"/>
        </w:rPr>
        <w:t xml:space="preserve">. </w:t>
      </w:r>
    </w:p>
    <w:p w14:paraId="33915C24" w14:textId="5418FC08" w:rsidR="00027F65" w:rsidRPr="00027F65" w:rsidRDefault="00027F65" w:rsidP="00027F65">
      <w:pPr>
        <w:spacing w:after="120" w:line="480" w:lineRule="auto"/>
        <w:rPr>
          <w:lang w:val="en-US"/>
        </w:rPr>
      </w:pPr>
      <w:r w:rsidRPr="00027F65">
        <w:rPr>
          <w:lang w:val="en-US"/>
        </w:rPr>
        <w:t>ART, antiretroviral therapy; CI, confidence interval; HR, hazard ratio</w:t>
      </w:r>
      <w:r w:rsidR="00F8019F">
        <w:rPr>
          <w:lang w:val="en-US"/>
        </w:rPr>
        <w:t>; ICC, invasive cervical cancer</w:t>
      </w:r>
      <w:r w:rsidRPr="00027F65">
        <w:rPr>
          <w:lang w:val="en-US"/>
        </w:rPr>
        <w:t>.</w:t>
      </w:r>
    </w:p>
    <w:p w14:paraId="2FB8CAD9" w14:textId="77777777" w:rsidR="00027F65" w:rsidRDefault="00027F65">
      <w:pPr>
        <w:rPr>
          <w:rFonts w:cstheme="minorHAnsi"/>
          <w:b/>
          <w:bCs/>
          <w:color w:val="000000"/>
          <w:lang w:val="en-US"/>
        </w:rPr>
      </w:pPr>
      <w:r>
        <w:rPr>
          <w:rFonts w:cstheme="minorHAnsi"/>
          <w:b/>
          <w:bCs/>
          <w:color w:val="000000"/>
          <w:lang w:val="en-US"/>
        </w:rPr>
        <w:br w:type="page"/>
      </w:r>
    </w:p>
    <w:p w14:paraId="765A31F1" w14:textId="4BA2CB8A" w:rsidR="00521E7B" w:rsidRDefault="00521E7B" w:rsidP="00521E7B">
      <w:pPr>
        <w:spacing w:after="120" w:line="480" w:lineRule="auto"/>
        <w:rPr>
          <w:rFonts w:cstheme="minorHAnsi"/>
          <w:bCs/>
          <w:color w:val="000000"/>
          <w:lang w:val="en-US"/>
        </w:rPr>
      </w:pPr>
      <w:r>
        <w:rPr>
          <w:rFonts w:cstheme="minorHAnsi"/>
          <w:b/>
          <w:bCs/>
          <w:color w:val="000000"/>
          <w:lang w:val="en-US"/>
        </w:rPr>
        <w:lastRenderedPageBreak/>
        <w:t xml:space="preserve">Supplementary </w:t>
      </w:r>
      <w:r w:rsidR="00C01579">
        <w:rPr>
          <w:rFonts w:cstheme="minorHAnsi"/>
          <w:b/>
          <w:bCs/>
          <w:color w:val="000000"/>
          <w:lang w:val="en-US"/>
        </w:rPr>
        <w:t>T</w:t>
      </w:r>
      <w:r w:rsidRPr="00830C7D">
        <w:rPr>
          <w:rFonts w:cstheme="minorHAnsi"/>
          <w:b/>
          <w:bCs/>
          <w:color w:val="000000"/>
          <w:lang w:val="en-US"/>
        </w:rPr>
        <w:t xml:space="preserve">able </w:t>
      </w:r>
      <w:r>
        <w:rPr>
          <w:rFonts w:cstheme="minorHAnsi"/>
          <w:b/>
          <w:bCs/>
          <w:color w:val="000000"/>
          <w:lang w:val="en-US"/>
        </w:rPr>
        <w:t>S</w:t>
      </w:r>
      <w:r w:rsidR="00027F65">
        <w:rPr>
          <w:rFonts w:cstheme="minorHAnsi"/>
          <w:b/>
          <w:bCs/>
          <w:color w:val="000000"/>
          <w:lang w:val="en-US"/>
        </w:rPr>
        <w:t>3</w:t>
      </w:r>
      <w:r w:rsidRPr="00830C7D">
        <w:rPr>
          <w:rFonts w:cstheme="minorHAnsi"/>
          <w:b/>
          <w:bCs/>
          <w:color w:val="000000"/>
          <w:lang w:val="en-US"/>
        </w:rPr>
        <w:t xml:space="preserve">: </w:t>
      </w:r>
      <w:r>
        <w:rPr>
          <w:rFonts w:cstheme="minorHAnsi"/>
          <w:bCs/>
          <w:color w:val="000000"/>
          <w:lang w:val="en-US"/>
        </w:rPr>
        <w:t xml:space="preserve">Sensitivity analysis of risk factors for incident ICC in women who </w:t>
      </w:r>
      <w:r w:rsidR="00AC0707">
        <w:rPr>
          <w:rFonts w:cstheme="minorHAnsi"/>
          <w:bCs/>
          <w:color w:val="000000"/>
          <w:lang w:val="en-US"/>
        </w:rPr>
        <w:t xml:space="preserve">have </w:t>
      </w:r>
      <w:r>
        <w:rPr>
          <w:rFonts w:cstheme="minorHAnsi"/>
          <w:bCs/>
          <w:color w:val="000000"/>
          <w:lang w:val="en-US"/>
        </w:rPr>
        <w:t>initiated ART</w:t>
      </w:r>
      <w:r w:rsidR="00027F65">
        <w:rPr>
          <w:rFonts w:cstheme="minorHAnsi"/>
          <w:bCs/>
          <w:color w:val="000000"/>
          <w:lang w:val="en-US"/>
        </w:rPr>
        <w:t>, excluding ICC cases diagnosed within the first three months after ART initiation</w:t>
      </w:r>
      <w:r>
        <w:rPr>
          <w:rFonts w:cstheme="minorHAnsi"/>
          <w:bCs/>
          <w:color w:val="000000"/>
          <w:lang w:val="en-US"/>
        </w:rPr>
        <w:t>.</w:t>
      </w: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984"/>
      </w:tblGrid>
      <w:tr w:rsidR="00211B36" w:rsidRPr="000269D2" w14:paraId="5AF92ADF" w14:textId="77777777" w:rsidTr="00211B3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87E324" w14:textId="77777777" w:rsidR="00211B36" w:rsidRPr="002D46D4" w:rsidRDefault="00211B36" w:rsidP="00A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217F71" w14:textId="77777777" w:rsidR="00211B36" w:rsidRDefault="00211B36" w:rsidP="00A77B20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eastAsia="de-CH"/>
              </w:rPr>
              <w:t>Hazard ratio*</w:t>
            </w:r>
          </w:p>
        </w:tc>
      </w:tr>
      <w:tr w:rsidR="00211B36" w:rsidRPr="000269D2" w14:paraId="66E576E9" w14:textId="77777777" w:rsidTr="00211B36">
        <w:trPr>
          <w:trHeight w:val="300"/>
        </w:trPr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E9DC8" w14:textId="77777777" w:rsidR="00211B36" w:rsidRPr="002D46D4" w:rsidRDefault="00211B36" w:rsidP="00A7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27D1AF" w14:textId="77777777" w:rsidR="00211B36" w:rsidRPr="000269D2" w:rsidRDefault="00211B36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lang w:eastAsia="de-CH"/>
              </w:rPr>
              <w:t xml:space="preserve"> (95% CI)</w:t>
            </w:r>
          </w:p>
        </w:tc>
      </w:tr>
      <w:tr w:rsidR="00211B36" w:rsidRPr="00817B90" w14:paraId="476B536A" w14:textId="77777777" w:rsidTr="00211B36">
        <w:trPr>
          <w:trHeight w:val="2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FB286" w14:textId="77777777" w:rsidR="00211B36" w:rsidRPr="00397983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b/>
                <w:lang w:val="en-US" w:eastAsia="de-CH"/>
              </w:rPr>
              <w:t>CD4 cell count at ART initiation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0650B" w14:textId="77777777" w:rsidR="00211B36" w:rsidRPr="00397983" w:rsidRDefault="00211B36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211B36" w:rsidRPr="000269D2" w14:paraId="03775333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6BE2E5" w14:textId="77777777" w:rsidR="00211B36" w:rsidRPr="00397983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 xml:space="preserve">   per 100 cells/</w:t>
            </w:r>
            <w:r>
              <w:rPr>
                <w:rFonts w:ascii="Calibri" w:eastAsia="Times New Roman" w:hAnsi="Calibri" w:cs="Calibri"/>
                <w:lang w:val="en-US" w:eastAsia="de-CH"/>
              </w:rPr>
              <w:t>µl decrease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FC7" w14:textId="327C5F80" w:rsidR="00211B36" w:rsidRPr="005C7213" w:rsidRDefault="00211B36" w:rsidP="00FB363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  <w:r w:rsidR="00FB363A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(1.1</w:t>
            </w:r>
            <w:r w:rsidR="00FB363A">
              <w:rPr>
                <w:rFonts w:ascii="Calibri" w:hAnsi="Calibri" w:cs="Calibri"/>
              </w:rPr>
              <w:t>2 - 1.34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211B36" w:rsidRPr="00817B90" w14:paraId="76B51489" w14:textId="77777777" w:rsidTr="00211B3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F8D05" w14:textId="77777777" w:rsidR="00211B36" w:rsidRPr="00397983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 w:rsidRPr="00397983">
              <w:rPr>
                <w:rFonts w:ascii="Calibri" w:eastAsia="Times New Roman" w:hAnsi="Calibri" w:cs="Times New Roman"/>
                <w:b/>
                <w:lang w:val="en-US" w:eastAsia="de-CH"/>
              </w:rPr>
              <w:t>Age at ART initiation [years]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1A2DA" w14:textId="77777777" w:rsidR="00211B36" w:rsidRPr="00211B36" w:rsidRDefault="00211B36" w:rsidP="00A77B20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211B36" w:rsidRPr="000269D2" w14:paraId="6B570BE3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1B785" w14:textId="77777777" w:rsidR="00211B3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eastAsia="de-CH"/>
              </w:rPr>
            </w:pPr>
            <w:r w:rsidRPr="00EB1BA8">
              <w:rPr>
                <w:rFonts w:ascii="Calibri" w:eastAsia="Times New Roman" w:hAnsi="Calibri" w:cs="Times New Roman"/>
                <w:lang w:val="en-US" w:eastAsia="de-CH"/>
              </w:rPr>
              <w:t xml:space="preserve">   </w:t>
            </w:r>
            <w:r>
              <w:rPr>
                <w:rFonts w:ascii="Calibri" w:eastAsia="Times New Roman" w:hAnsi="Calibri" w:cs="Times New Roman"/>
                <w:lang w:eastAsia="de-CH"/>
              </w:rPr>
              <w:t>16-30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2496" w14:textId="77777777" w:rsidR="00211B36" w:rsidRDefault="00211B36" w:rsidP="00A77B2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1.00</w:t>
            </w:r>
          </w:p>
        </w:tc>
      </w:tr>
      <w:tr w:rsidR="00211B36" w:rsidRPr="000269D2" w14:paraId="1959D823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FF8A8" w14:textId="77777777" w:rsidR="00211B3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eastAsia="de-CH"/>
              </w:rPr>
            </w:pPr>
            <w:r>
              <w:rPr>
                <w:rFonts w:ascii="Calibri" w:eastAsia="Times New Roman" w:hAnsi="Calibri" w:cs="Times New Roman"/>
                <w:lang w:eastAsia="de-CH"/>
              </w:rPr>
              <w:t xml:space="preserve">   31-50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2FBCE" w14:textId="6851F4B8" w:rsidR="00211B36" w:rsidRDefault="00FB363A" w:rsidP="00A77B2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1.32 (1.00 - 1.76</w:t>
            </w:r>
            <w:r w:rsidR="00211B36">
              <w:rPr>
                <w:rFonts w:ascii="Calibri" w:hAnsi="Calibri" w:cs="Calibri"/>
              </w:rPr>
              <w:t>)</w:t>
            </w:r>
          </w:p>
        </w:tc>
      </w:tr>
      <w:tr w:rsidR="00211B36" w:rsidRPr="00FB363A" w14:paraId="7BC1F3E2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C56F10" w14:textId="77777777" w:rsidR="00211B3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eastAsia="de-CH"/>
              </w:rPr>
            </w:pPr>
            <w:r>
              <w:rPr>
                <w:rFonts w:ascii="Calibri" w:eastAsia="Times New Roman" w:hAnsi="Calibri" w:cs="Times New Roman"/>
                <w:lang w:eastAsia="de-CH"/>
              </w:rPr>
              <w:t xml:space="preserve">   &gt;50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28310" w14:textId="3DDC165B" w:rsidR="00211B36" w:rsidRPr="00FB363A" w:rsidRDefault="00FB363A" w:rsidP="00A77B20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  <w:r w:rsidRPr="00FB363A">
              <w:rPr>
                <w:rFonts w:ascii="Calibri" w:hAnsi="Calibri" w:cs="Calibri"/>
                <w:lang w:val="en-US"/>
              </w:rPr>
              <w:t>1.</w:t>
            </w:r>
            <w:r>
              <w:rPr>
                <w:rFonts w:ascii="Calibri" w:hAnsi="Calibri" w:cs="Calibri"/>
                <w:lang w:val="en-US"/>
              </w:rPr>
              <w:t>48 (0.94 - 2.33</w:t>
            </w:r>
            <w:r w:rsidR="00211B36" w:rsidRPr="00FB363A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211B36" w:rsidRPr="00FB363A" w14:paraId="5E306CF2" w14:textId="77777777" w:rsidTr="00211B3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6266D" w14:textId="77777777" w:rsidR="00211B36" w:rsidRPr="008671D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b/>
                <w:lang w:val="en-US" w:eastAsia="de-CH"/>
              </w:rPr>
              <w:t>First-line ART regimen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D1138" w14:textId="77777777" w:rsidR="00211B36" w:rsidRPr="008671D6" w:rsidRDefault="00211B36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211B36" w:rsidRPr="00FB363A" w14:paraId="017907F8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06452" w14:textId="77777777" w:rsidR="00211B36" w:rsidRPr="008671D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NNRTI-based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5608E" w14:textId="77777777" w:rsidR="00211B36" w:rsidRPr="008671D6" w:rsidRDefault="00211B36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>1.00</w:t>
            </w:r>
          </w:p>
        </w:tc>
      </w:tr>
      <w:tr w:rsidR="00211B36" w:rsidRPr="00FB363A" w14:paraId="7677D9D3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5398" w14:textId="77777777" w:rsidR="00211B36" w:rsidRPr="008671D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PI-based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A9EED" w14:textId="2FFBAFAC" w:rsidR="00211B36" w:rsidRPr="008671D6" w:rsidRDefault="00FB363A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 w:cs="Calibri"/>
                <w:lang w:val="en-US"/>
              </w:rPr>
              <w:t>1.07 (0.79 - 1.45</w:t>
            </w:r>
            <w:r w:rsidR="00211B36" w:rsidRPr="00FB363A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211B36" w:rsidRPr="00FB363A" w14:paraId="2BF582E6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EC5AC0" w14:textId="77777777" w:rsidR="00211B36" w:rsidRPr="008671D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Other 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2758D" w14:textId="1F5C599C" w:rsidR="00211B36" w:rsidRPr="008671D6" w:rsidRDefault="00FB363A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 w:cs="Calibri"/>
                <w:lang w:val="en-US"/>
              </w:rPr>
              <w:t>0.39 (0.16 - 0.97</w:t>
            </w:r>
            <w:r w:rsidR="00211B36" w:rsidRPr="00FB363A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211B36" w:rsidRPr="000269D2" w14:paraId="011A1469" w14:textId="77777777" w:rsidTr="00211B3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76A4" w14:textId="77777777" w:rsidR="00211B36" w:rsidRPr="008671D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 w:rsidRPr="00FF655E">
              <w:rPr>
                <w:rFonts w:cstheme="minorHAnsi"/>
                <w:b/>
                <w:color w:val="000000"/>
                <w:lang w:val="en-US"/>
              </w:rPr>
              <w:t xml:space="preserve">Year </w:t>
            </w:r>
            <w:r>
              <w:rPr>
                <w:rFonts w:cstheme="minorHAnsi"/>
                <w:b/>
                <w:color w:val="000000"/>
                <w:lang w:val="en-US"/>
              </w:rPr>
              <w:t>of ART initiation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F33730" w14:textId="77777777" w:rsidR="00211B36" w:rsidRPr="008671D6" w:rsidRDefault="00211B36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211B36" w:rsidRPr="00FB363A" w14:paraId="55487834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B5F1" w14:textId="77777777" w:rsidR="00211B36" w:rsidRPr="008671D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199</w:t>
            </w:r>
            <w:r>
              <w:rPr>
                <w:rFonts w:cstheme="minorHAnsi"/>
                <w:color w:val="000000"/>
                <w:lang w:val="en-US"/>
              </w:rPr>
              <w:t>6</w:t>
            </w:r>
            <w:r w:rsidRPr="00FF655E">
              <w:rPr>
                <w:rFonts w:cstheme="minorHAnsi"/>
                <w:color w:val="000000"/>
                <w:lang w:val="en-US"/>
              </w:rPr>
              <w:t>-</w:t>
            </w:r>
            <w:r>
              <w:rPr>
                <w:rFonts w:cstheme="minorHAnsi"/>
                <w:color w:val="000000"/>
                <w:lang w:val="en-US"/>
              </w:rPr>
              <w:t>1998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9C86D" w14:textId="18230A34" w:rsidR="00211B36" w:rsidRPr="008671D6" w:rsidRDefault="00FB363A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 w:rsidRPr="00FB363A">
              <w:rPr>
                <w:rFonts w:ascii="Calibri" w:hAnsi="Calibri" w:cs="Calibri"/>
                <w:lang w:val="en-US"/>
              </w:rPr>
              <w:t>1.</w:t>
            </w:r>
            <w:r>
              <w:rPr>
                <w:rFonts w:ascii="Calibri" w:hAnsi="Calibri" w:cs="Calibri"/>
                <w:lang w:val="en-US"/>
              </w:rPr>
              <w:t>71 (1.01 - 2.90</w:t>
            </w:r>
            <w:r w:rsidR="00211B36" w:rsidRPr="00FB363A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211B36" w:rsidRPr="00FB363A" w14:paraId="2281E7C1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4A37" w14:textId="77777777" w:rsidR="00211B36" w:rsidRPr="008671D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1999-2003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40C55" w14:textId="6DD453A3" w:rsidR="00211B36" w:rsidRPr="008671D6" w:rsidRDefault="00FB363A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 w:cs="Calibri"/>
                <w:lang w:val="en-US"/>
              </w:rPr>
              <w:t>1.37 (0.88 – 2.13</w:t>
            </w:r>
            <w:r w:rsidR="00211B36" w:rsidRPr="00FB363A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211B36" w:rsidRPr="00FB363A" w14:paraId="7D578205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A4A5C9" w14:textId="77777777" w:rsidR="00211B36" w:rsidRPr="008671D6" w:rsidRDefault="00211B36" w:rsidP="00A77B20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2004-2007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03790596" w14:textId="012E5DEF" w:rsidR="00211B36" w:rsidRPr="008671D6" w:rsidRDefault="00FB363A" w:rsidP="00A77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 w:cs="Calibri"/>
                <w:lang w:val="en-US"/>
              </w:rPr>
              <w:t>0.98 (0.69 - 1.39</w:t>
            </w:r>
            <w:r w:rsidR="00211B36" w:rsidRPr="00FB363A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211B36" w:rsidRPr="00FB363A" w14:paraId="2A9B04D4" w14:textId="77777777" w:rsidTr="00211B3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401D0" w14:textId="77777777" w:rsidR="00211B36" w:rsidRDefault="00211B36" w:rsidP="00A77B20">
            <w:pPr>
              <w:spacing w:after="0" w:line="240" w:lineRule="auto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2008-2014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6561C" w14:textId="77777777" w:rsidR="00211B36" w:rsidRPr="00FB363A" w:rsidRDefault="00211B36" w:rsidP="00A77B20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  <w:r w:rsidRPr="00FB363A">
              <w:rPr>
                <w:rFonts w:ascii="Calibri" w:hAnsi="Calibri"/>
                <w:lang w:val="en-US"/>
              </w:rPr>
              <w:t>1.00</w:t>
            </w:r>
          </w:p>
        </w:tc>
      </w:tr>
    </w:tbl>
    <w:p w14:paraId="1814FE1A" w14:textId="77777777" w:rsidR="00211B36" w:rsidRDefault="00211B36" w:rsidP="00211B36">
      <w:pPr>
        <w:spacing w:before="120" w:after="0" w:line="480" w:lineRule="auto"/>
        <w:rPr>
          <w:rFonts w:cstheme="minorHAnsi"/>
          <w:bCs/>
          <w:color w:val="000000"/>
          <w:lang w:val="en-US"/>
        </w:rPr>
      </w:pPr>
      <w:r w:rsidRPr="00C80F67">
        <w:rPr>
          <w:rFonts w:cstheme="minorHAnsi"/>
          <w:bCs/>
          <w:color w:val="000000"/>
          <w:lang w:val="en-US"/>
        </w:rPr>
        <w:t xml:space="preserve">* Adjusted for </w:t>
      </w:r>
      <w:r>
        <w:rPr>
          <w:rFonts w:cstheme="minorHAnsi"/>
          <w:bCs/>
          <w:color w:val="000000"/>
          <w:lang w:val="en-US"/>
        </w:rPr>
        <w:t xml:space="preserve">region, </w:t>
      </w:r>
      <w:r w:rsidRPr="00BD78B1">
        <w:rPr>
          <w:rFonts w:cstheme="minorHAnsi"/>
          <w:bCs/>
          <w:color w:val="000000"/>
          <w:lang w:val="en-US"/>
        </w:rPr>
        <w:t>CD4 cell count at ART initiation</w:t>
      </w:r>
      <w:r w:rsidRPr="00C80F67">
        <w:rPr>
          <w:rFonts w:cstheme="minorHAnsi"/>
          <w:bCs/>
          <w:color w:val="000000"/>
          <w:lang w:val="en-US"/>
        </w:rPr>
        <w:t xml:space="preserve">, </w:t>
      </w:r>
      <w:r>
        <w:rPr>
          <w:rFonts w:cstheme="minorHAnsi"/>
          <w:bCs/>
          <w:color w:val="000000"/>
          <w:lang w:val="en-US"/>
        </w:rPr>
        <w:t>age</w:t>
      </w:r>
      <w:r w:rsidRPr="00C80F67">
        <w:rPr>
          <w:rFonts w:cstheme="minorHAnsi"/>
          <w:bCs/>
          <w:color w:val="000000"/>
          <w:lang w:val="en-US"/>
        </w:rPr>
        <w:t xml:space="preserve">, calendar year of </w:t>
      </w:r>
      <w:r>
        <w:rPr>
          <w:rFonts w:cstheme="minorHAnsi"/>
          <w:bCs/>
          <w:color w:val="000000"/>
          <w:lang w:val="en-US"/>
        </w:rPr>
        <w:t>ART</w:t>
      </w:r>
      <w:r w:rsidRPr="00C80F67">
        <w:rPr>
          <w:rFonts w:cstheme="minorHAnsi"/>
          <w:bCs/>
          <w:color w:val="000000"/>
          <w:lang w:val="en-US"/>
        </w:rPr>
        <w:t xml:space="preserve"> start, and first-line </w:t>
      </w:r>
      <w:r>
        <w:rPr>
          <w:rFonts w:cstheme="minorHAnsi"/>
          <w:bCs/>
          <w:color w:val="000000"/>
          <w:lang w:val="en-US"/>
        </w:rPr>
        <w:t>ART</w:t>
      </w:r>
      <w:r w:rsidRPr="00C80F67">
        <w:rPr>
          <w:rFonts w:cstheme="minorHAnsi"/>
          <w:bCs/>
          <w:color w:val="000000"/>
          <w:lang w:val="en-US"/>
        </w:rPr>
        <w:t xml:space="preserve"> regimen.</w:t>
      </w:r>
    </w:p>
    <w:p w14:paraId="7864F10D" w14:textId="77777777" w:rsidR="00211B36" w:rsidRPr="00C80F67" w:rsidRDefault="00211B36" w:rsidP="00211B36">
      <w:pPr>
        <w:spacing w:before="120" w:after="0" w:line="480" w:lineRule="auto"/>
        <w:rPr>
          <w:rFonts w:cstheme="minorHAnsi"/>
          <w:bCs/>
          <w:color w:val="000000"/>
          <w:lang w:val="en-US"/>
        </w:rPr>
      </w:pPr>
      <w:r>
        <w:rPr>
          <w:rFonts w:cstheme="minorHAnsi"/>
          <w:bCs/>
          <w:color w:val="000000"/>
          <w:lang w:val="en-US"/>
        </w:rPr>
        <w:t>** Derived from likelihood ratio test comparing the adjusted model with and without the interaction of a specific variable with region.</w:t>
      </w:r>
    </w:p>
    <w:p w14:paraId="5380761C" w14:textId="77777777" w:rsidR="00211B36" w:rsidRDefault="00211B36" w:rsidP="00211B36">
      <w:pPr>
        <w:spacing w:before="120" w:after="0" w:line="480" w:lineRule="auto"/>
        <w:rPr>
          <w:rFonts w:cstheme="minorHAnsi"/>
          <w:b/>
          <w:bCs/>
          <w:color w:val="000000"/>
          <w:lang w:val="en-US"/>
        </w:rPr>
      </w:pPr>
      <w:r>
        <w:rPr>
          <w:rFonts w:cstheme="minorHAnsi"/>
          <w:bCs/>
          <w:color w:val="000000"/>
          <w:lang w:val="en-US"/>
        </w:rPr>
        <w:t>ART</w:t>
      </w:r>
      <w:r w:rsidRPr="00C80F67">
        <w:rPr>
          <w:rFonts w:cstheme="minorHAnsi"/>
          <w:bCs/>
          <w:color w:val="000000"/>
          <w:lang w:val="en-US"/>
        </w:rPr>
        <w:t>, antiretroviral therapy; CI, confidence interval</w:t>
      </w:r>
      <w:r>
        <w:rPr>
          <w:rFonts w:cstheme="minorHAnsi"/>
          <w:bCs/>
          <w:color w:val="000000"/>
          <w:lang w:val="en-US"/>
        </w:rPr>
        <w:t xml:space="preserve">; ICC, invasive cervical cancer; </w:t>
      </w:r>
      <w:r w:rsidRPr="00536BEB">
        <w:rPr>
          <w:lang w:val="en-US"/>
        </w:rPr>
        <w:t xml:space="preserve">NNRTI, </w:t>
      </w:r>
      <w:r w:rsidRPr="00637FF9">
        <w:rPr>
          <w:lang w:val="en-US"/>
        </w:rPr>
        <w:t>non-nucleoside reverse-transcriptase inhibitor; PI, protease-inhibitor</w:t>
      </w:r>
    </w:p>
    <w:p w14:paraId="5123B24D" w14:textId="5ED20A94" w:rsidR="00027F65" w:rsidRDefault="00027F65">
      <w:pPr>
        <w:rPr>
          <w:rFonts w:cstheme="minorHAnsi"/>
          <w:bCs/>
          <w:color w:val="000000"/>
          <w:lang w:val="en-US"/>
        </w:rPr>
      </w:pPr>
      <w:r>
        <w:rPr>
          <w:rFonts w:cstheme="minorHAnsi"/>
          <w:bCs/>
          <w:color w:val="000000"/>
          <w:lang w:val="en-US"/>
        </w:rPr>
        <w:br w:type="page"/>
      </w:r>
    </w:p>
    <w:p w14:paraId="3984233C" w14:textId="2A094813" w:rsidR="00027F65" w:rsidRDefault="00C01579" w:rsidP="00027F65">
      <w:pPr>
        <w:spacing w:after="120" w:line="480" w:lineRule="auto"/>
        <w:rPr>
          <w:rFonts w:cstheme="minorHAnsi"/>
          <w:bCs/>
          <w:color w:val="000000"/>
          <w:lang w:val="en-US"/>
        </w:rPr>
      </w:pPr>
      <w:r>
        <w:rPr>
          <w:rFonts w:cstheme="minorHAnsi"/>
          <w:b/>
          <w:bCs/>
          <w:color w:val="000000"/>
          <w:lang w:val="en-US"/>
        </w:rPr>
        <w:lastRenderedPageBreak/>
        <w:t>Supplementary T</w:t>
      </w:r>
      <w:r w:rsidR="00027F65" w:rsidRPr="00830C7D">
        <w:rPr>
          <w:rFonts w:cstheme="minorHAnsi"/>
          <w:b/>
          <w:bCs/>
          <w:color w:val="000000"/>
          <w:lang w:val="en-US"/>
        </w:rPr>
        <w:t xml:space="preserve">able </w:t>
      </w:r>
      <w:r w:rsidR="00027F65">
        <w:rPr>
          <w:rFonts w:cstheme="minorHAnsi"/>
          <w:b/>
          <w:bCs/>
          <w:color w:val="000000"/>
          <w:lang w:val="en-US"/>
        </w:rPr>
        <w:t>S4</w:t>
      </w:r>
      <w:r w:rsidR="00027F65" w:rsidRPr="00830C7D">
        <w:rPr>
          <w:rFonts w:cstheme="minorHAnsi"/>
          <w:b/>
          <w:bCs/>
          <w:color w:val="000000"/>
          <w:lang w:val="en-US"/>
        </w:rPr>
        <w:t xml:space="preserve">: </w:t>
      </w:r>
      <w:r w:rsidR="00027F65">
        <w:rPr>
          <w:rFonts w:cstheme="minorHAnsi"/>
          <w:bCs/>
          <w:color w:val="000000"/>
          <w:lang w:val="en-US"/>
        </w:rPr>
        <w:t xml:space="preserve">Sensitivity analysis of risk factors for incident ICC in women who </w:t>
      </w:r>
      <w:r w:rsidR="00637FF9">
        <w:rPr>
          <w:rFonts w:cstheme="minorHAnsi"/>
          <w:bCs/>
          <w:color w:val="000000"/>
          <w:lang w:val="en-US"/>
        </w:rPr>
        <w:t xml:space="preserve">have </w:t>
      </w:r>
      <w:r w:rsidR="00027F65">
        <w:rPr>
          <w:rFonts w:cstheme="minorHAnsi"/>
          <w:bCs/>
          <w:color w:val="000000"/>
          <w:lang w:val="en-US"/>
        </w:rPr>
        <w:t>initiated ART, including current CD4 cell count instead of CD4 cell count at ART initiation.</w:t>
      </w:r>
    </w:p>
    <w:tbl>
      <w:tblPr>
        <w:tblW w:w="6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1559"/>
      </w:tblGrid>
      <w:tr w:rsidR="00027F65" w:rsidRPr="000269D2" w14:paraId="44FC4BCF" w14:textId="77777777" w:rsidTr="004B686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489A1A" w14:textId="77777777" w:rsidR="00027F65" w:rsidRPr="002D46D4" w:rsidRDefault="00027F65" w:rsidP="004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4CA11B" w14:textId="77777777" w:rsidR="00027F65" w:rsidRDefault="00027F65" w:rsidP="004B686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eastAsia="de-CH"/>
              </w:rPr>
              <w:t>Hazard ratio*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67CD2B20" w14:textId="77777777" w:rsidR="00027F65" w:rsidRDefault="00027F65" w:rsidP="004B686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000000"/>
                <w:lang w:val="en-US"/>
              </w:rPr>
              <w:t xml:space="preserve">p-value for </w:t>
            </w:r>
          </w:p>
        </w:tc>
      </w:tr>
      <w:tr w:rsidR="00027F65" w:rsidRPr="000269D2" w14:paraId="6DC68702" w14:textId="77777777" w:rsidTr="004B6864">
        <w:trPr>
          <w:trHeight w:val="300"/>
        </w:trPr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50E3B" w14:textId="77777777" w:rsidR="00027F65" w:rsidRPr="002D46D4" w:rsidRDefault="00027F65" w:rsidP="004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CH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2FB297" w14:textId="77777777" w:rsidR="00027F65" w:rsidRPr="000269D2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lang w:eastAsia="de-CH"/>
              </w:rPr>
              <w:t xml:space="preserve"> (95% CI)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9E33DCD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lang w:eastAsia="de-CH"/>
              </w:rPr>
              <w:t>interaction**</w:t>
            </w:r>
          </w:p>
        </w:tc>
      </w:tr>
      <w:tr w:rsidR="00027F65" w:rsidRPr="000269D2" w14:paraId="34681353" w14:textId="77777777" w:rsidTr="004B6864">
        <w:trPr>
          <w:trHeight w:val="5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65800" w14:textId="56EA9B69" w:rsidR="00027F65" w:rsidRPr="00397983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 w:eastAsia="de-CH"/>
              </w:rPr>
            </w:pPr>
            <w:r w:rsidRPr="008671D6">
              <w:rPr>
                <w:rFonts w:ascii="Calibri" w:eastAsia="Times New Roman" w:hAnsi="Calibri" w:cs="Times New Roman"/>
                <w:b/>
                <w:lang w:val="en-US" w:eastAsia="de-CH"/>
              </w:rPr>
              <w:t xml:space="preserve">Current CD4 cell count </w:t>
            </w:r>
            <w:r>
              <w:rPr>
                <w:rFonts w:ascii="Calibri" w:eastAsia="Times New Roman" w:hAnsi="Calibri" w:cs="Times New Roman"/>
                <w:b/>
                <w:lang w:val="en-US" w:eastAsia="de-CH"/>
              </w:rPr>
              <w:t>per 100 cells</w:t>
            </w:r>
            <w:r w:rsidR="00A30E0C">
              <w:rPr>
                <w:rFonts w:cstheme="minorHAnsi"/>
                <w:b/>
                <w:bCs/>
                <w:lang w:val="en-US"/>
              </w:rPr>
              <w:t>/µl de</w:t>
            </w:r>
            <w:r>
              <w:rPr>
                <w:rFonts w:cstheme="minorHAnsi"/>
                <w:b/>
                <w:bCs/>
                <w:lang w:val="en-US"/>
              </w:rPr>
              <w:t xml:space="preserve">crease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F700" w14:textId="77777777" w:rsidR="00027F65" w:rsidRPr="00397983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B6B4" w14:textId="77777777" w:rsidR="00027F65" w:rsidRPr="00397983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>0.017</w:t>
            </w:r>
          </w:p>
        </w:tc>
      </w:tr>
      <w:tr w:rsidR="00027F65" w:rsidRPr="000269D2" w14:paraId="4FFDC5C2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1B44" w14:textId="77777777" w:rsidR="00027F65" w:rsidRPr="00397983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 xml:space="preserve">   South Africa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4B773" w14:textId="0F5F5870" w:rsidR="00027F65" w:rsidRPr="00A366F0" w:rsidRDefault="00027F65" w:rsidP="00A30E0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1.00 (0.9</w:t>
            </w:r>
            <w:r w:rsidR="00A30E0C">
              <w:rPr>
                <w:rFonts w:ascii="Calibri" w:hAnsi="Calibri"/>
              </w:rPr>
              <w:t>2 - 1.10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EE9604" w14:textId="77777777" w:rsidR="00027F65" w:rsidRPr="00397983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027F65" w:rsidRPr="00A30E0C" w14:paraId="6692B08A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870E" w14:textId="77777777" w:rsidR="00027F65" w:rsidRPr="00397983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 xml:space="preserve">   Latin America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20D49" w14:textId="320C6BAC" w:rsidR="00027F65" w:rsidRPr="00A30E0C" w:rsidRDefault="00A30E0C" w:rsidP="00A30E0C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  <w:r w:rsidRPr="00A30E0C">
              <w:rPr>
                <w:rFonts w:ascii="Calibri" w:hAnsi="Calibri"/>
                <w:lang w:val="en-US"/>
              </w:rPr>
              <w:t>1.</w:t>
            </w:r>
            <w:r>
              <w:rPr>
                <w:rFonts w:ascii="Calibri" w:hAnsi="Calibri"/>
                <w:lang w:val="en-US"/>
              </w:rPr>
              <w:t>41</w:t>
            </w:r>
            <w:r w:rsidR="00027F65" w:rsidRPr="00A30E0C">
              <w:rPr>
                <w:rFonts w:ascii="Calibri" w:hAnsi="Calibri"/>
                <w:lang w:val="en-US"/>
              </w:rPr>
              <w:t xml:space="preserve"> (</w:t>
            </w:r>
            <w:r>
              <w:rPr>
                <w:rFonts w:ascii="Calibri" w:hAnsi="Calibri"/>
                <w:lang w:val="en-US"/>
              </w:rPr>
              <w:t>1.07 - 1.86</w:t>
            </w:r>
            <w:r w:rsidR="00027F65" w:rsidRPr="00A30E0C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448442" w14:textId="77777777" w:rsidR="00027F65" w:rsidRPr="00397983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027F65" w:rsidRPr="00A30E0C" w14:paraId="2D94440E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B92CC" w14:textId="77777777" w:rsidR="00027F65" w:rsidRPr="00397983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 xml:space="preserve">   North America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B6ED5" w14:textId="4F9A1AD0" w:rsidR="00027F65" w:rsidRPr="00397983" w:rsidRDefault="00A30E0C" w:rsidP="00A30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 w:rsidRPr="00A30E0C">
              <w:rPr>
                <w:rFonts w:ascii="Calibri" w:hAnsi="Calibri"/>
                <w:lang w:val="en-US"/>
              </w:rPr>
              <w:t>1.</w:t>
            </w:r>
            <w:r>
              <w:rPr>
                <w:rFonts w:ascii="Calibri" w:hAnsi="Calibri"/>
                <w:lang w:val="en-US"/>
              </w:rPr>
              <w:t>08</w:t>
            </w:r>
            <w:r w:rsidR="00027F65" w:rsidRPr="00A30E0C">
              <w:rPr>
                <w:rFonts w:ascii="Calibri" w:hAnsi="Calibri"/>
                <w:lang w:val="en-US"/>
              </w:rPr>
              <w:t xml:space="preserve"> (</w:t>
            </w:r>
            <w:r>
              <w:rPr>
                <w:rFonts w:ascii="Calibri" w:hAnsi="Calibri"/>
                <w:lang w:val="en-US"/>
              </w:rPr>
              <w:t>0.90 – 1.30</w:t>
            </w:r>
            <w:r w:rsidR="00027F65" w:rsidRPr="00A30E0C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27A93D" w14:textId="77777777" w:rsidR="00027F65" w:rsidRPr="00397983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027F65" w:rsidRPr="00A30E0C" w14:paraId="38D2AE4E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39E16" w14:textId="77777777" w:rsidR="00027F65" w:rsidRPr="00397983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 xml:space="preserve">   Europe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47308" w14:textId="201217F1" w:rsidR="00027F65" w:rsidRPr="00397983" w:rsidRDefault="00A30E0C" w:rsidP="00A30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 w:rsidRPr="00A30E0C">
              <w:rPr>
                <w:rFonts w:ascii="Calibri" w:hAnsi="Calibri"/>
                <w:lang w:val="en-US"/>
              </w:rPr>
              <w:t>1.</w:t>
            </w:r>
            <w:r>
              <w:rPr>
                <w:rFonts w:ascii="Calibri" w:hAnsi="Calibri"/>
                <w:lang w:val="en-US"/>
              </w:rPr>
              <w:t>18</w:t>
            </w:r>
            <w:r w:rsidR="00027F65" w:rsidRPr="00A30E0C">
              <w:rPr>
                <w:rFonts w:ascii="Calibri" w:hAnsi="Calibri"/>
                <w:lang w:val="en-US"/>
              </w:rPr>
              <w:t xml:space="preserve"> (</w:t>
            </w:r>
            <w:r>
              <w:rPr>
                <w:rFonts w:ascii="Calibri" w:hAnsi="Calibri"/>
                <w:lang w:val="en-US"/>
              </w:rPr>
              <w:t>1.10 - 1.27</w:t>
            </w:r>
            <w:r w:rsidR="00027F65" w:rsidRPr="00A30E0C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DC6DB" w14:textId="77777777" w:rsidR="00027F65" w:rsidRPr="004D1AA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027F65" w:rsidRPr="00A30E0C" w14:paraId="6F9EED53" w14:textId="77777777" w:rsidTr="004B686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5ABCC" w14:textId="77777777" w:rsidR="00027F65" w:rsidRPr="00397983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 w:rsidRPr="00397983">
              <w:rPr>
                <w:rFonts w:ascii="Calibri" w:eastAsia="Times New Roman" w:hAnsi="Calibri" w:cs="Times New Roman"/>
                <w:b/>
                <w:lang w:val="en-US" w:eastAsia="de-CH"/>
              </w:rPr>
              <w:t>Age at ART initiation [years]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C7333" w14:textId="77777777" w:rsidR="00027F65" w:rsidRPr="00521E7B" w:rsidRDefault="00027F65" w:rsidP="004B6864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C26F3" w14:textId="77777777" w:rsidR="00027F65" w:rsidRPr="004D1AA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>0.055</w:t>
            </w:r>
          </w:p>
        </w:tc>
      </w:tr>
      <w:tr w:rsidR="00027F65" w:rsidRPr="00A30E0C" w14:paraId="1C0582E8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37A12" w14:textId="77777777" w:rsidR="00027F65" w:rsidRPr="00A30E0C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 w:rsidRPr="00EB1BA8">
              <w:rPr>
                <w:rFonts w:ascii="Calibri" w:eastAsia="Times New Roman" w:hAnsi="Calibri" w:cs="Times New Roman"/>
                <w:lang w:val="en-US" w:eastAsia="de-CH"/>
              </w:rPr>
              <w:t xml:space="preserve">   </w:t>
            </w:r>
            <w:r w:rsidRPr="00A30E0C">
              <w:rPr>
                <w:rFonts w:ascii="Calibri" w:eastAsia="Times New Roman" w:hAnsi="Calibri" w:cs="Times New Roman"/>
                <w:lang w:val="en-US" w:eastAsia="de-CH"/>
              </w:rPr>
              <w:t>16-30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ED431" w14:textId="77777777" w:rsidR="00027F65" w:rsidRPr="00A30E0C" w:rsidRDefault="00027F65" w:rsidP="004B6864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  <w:r w:rsidRPr="00A30E0C">
              <w:rPr>
                <w:rFonts w:ascii="Calibri" w:eastAsia="Times New Roman" w:hAnsi="Calibri" w:cs="Times New Roman"/>
                <w:lang w:val="en-US" w:eastAsia="de-CH"/>
              </w:rPr>
              <w:t>1.00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CF127F" w14:textId="77777777" w:rsidR="00027F65" w:rsidRPr="004D1AA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027F65" w:rsidRPr="00A30E0C" w14:paraId="07B47AB7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BBFEC" w14:textId="77777777" w:rsidR="00027F65" w:rsidRPr="00A30E0C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 w:rsidRPr="00A30E0C">
              <w:rPr>
                <w:rFonts w:ascii="Calibri" w:eastAsia="Times New Roman" w:hAnsi="Calibri" w:cs="Times New Roman"/>
                <w:lang w:val="en-US" w:eastAsia="de-CH"/>
              </w:rPr>
              <w:t xml:space="preserve">   31-50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E78B5" w14:textId="77777777" w:rsidR="00027F65" w:rsidRPr="00A30E0C" w:rsidRDefault="00027F65" w:rsidP="004B6864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  <w:r w:rsidRPr="00A30E0C">
              <w:rPr>
                <w:rFonts w:ascii="Calibri" w:hAnsi="Calibri"/>
                <w:lang w:val="en-US"/>
              </w:rPr>
              <w:t>1.39 (1.07 - 1.81)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E98588" w14:textId="77777777" w:rsidR="00027F65" w:rsidRPr="004D1AA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027F65" w:rsidRPr="00A30E0C" w14:paraId="0F834ACA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47CD2" w14:textId="77777777" w:rsidR="00027F65" w:rsidRPr="00A30E0C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 w:rsidRPr="00A30E0C">
              <w:rPr>
                <w:rFonts w:ascii="Calibri" w:eastAsia="Times New Roman" w:hAnsi="Calibri" w:cs="Times New Roman"/>
                <w:lang w:val="en-US" w:eastAsia="de-CH"/>
              </w:rPr>
              <w:t xml:space="preserve">   &gt;50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562ED" w14:textId="77777777" w:rsidR="00027F65" w:rsidRPr="00A30E0C" w:rsidRDefault="00027F65" w:rsidP="004B6864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  <w:r w:rsidRPr="00A30E0C">
              <w:rPr>
                <w:rFonts w:ascii="Calibri" w:hAnsi="Calibri"/>
                <w:lang w:val="en-US"/>
              </w:rPr>
              <w:t>1.54 (1.02 - 2.32)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0E163" w14:textId="77777777" w:rsidR="00027F65" w:rsidRPr="004D1AA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</w:tr>
      <w:tr w:rsidR="00027F65" w:rsidRPr="000269D2" w14:paraId="3AE9135B" w14:textId="77777777" w:rsidTr="004B686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E739" w14:textId="77777777" w:rsidR="00027F65" w:rsidRPr="008671D6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b/>
                <w:lang w:val="en-US" w:eastAsia="de-CH"/>
              </w:rPr>
              <w:t>First-line ART regimen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B4642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30F91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>0.103</w:t>
            </w:r>
          </w:p>
        </w:tc>
      </w:tr>
      <w:tr w:rsidR="00027F65" w:rsidRPr="000269D2" w14:paraId="245E79C4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5032" w14:textId="77777777" w:rsidR="00027F65" w:rsidRPr="008671D6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NNRTI-based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423D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lang w:val="en-US" w:eastAsia="de-CH"/>
              </w:rPr>
              <w:t>1.00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7F0136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CH"/>
              </w:rPr>
            </w:pPr>
          </w:p>
        </w:tc>
      </w:tr>
      <w:tr w:rsidR="00027F65" w:rsidRPr="000269D2" w14:paraId="3E7602B3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22580" w14:textId="77777777" w:rsidR="00027F65" w:rsidRPr="008671D6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PI-based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57C69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/>
              </w:rPr>
              <w:t>1.01 (0.77 - 1.33)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52AAFA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027F65" w:rsidRPr="000269D2" w14:paraId="1E085814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26A9D" w14:textId="77777777" w:rsidR="00027F65" w:rsidRPr="008671D6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Other 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0DDDC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/>
              </w:rPr>
              <w:t>0.48 (0.23 - 1.00)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BE5B6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027F65" w:rsidRPr="000269D2" w14:paraId="0480E5C7" w14:textId="77777777" w:rsidTr="004B686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AC64" w14:textId="77777777" w:rsidR="00027F65" w:rsidRPr="008671D6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 w:rsidRPr="00FF655E">
              <w:rPr>
                <w:rFonts w:cstheme="minorHAnsi"/>
                <w:b/>
                <w:color w:val="000000"/>
                <w:lang w:val="en-US"/>
              </w:rPr>
              <w:t xml:space="preserve">Year </w:t>
            </w:r>
            <w:r>
              <w:rPr>
                <w:rFonts w:cstheme="minorHAnsi"/>
                <w:b/>
                <w:color w:val="000000"/>
                <w:lang w:val="en-US"/>
              </w:rPr>
              <w:t>of ART initiation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0D49DA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6FBA6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0.129</w:t>
            </w:r>
          </w:p>
        </w:tc>
      </w:tr>
      <w:tr w:rsidR="00027F65" w:rsidRPr="000269D2" w14:paraId="303AAD4D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A7EE" w14:textId="77777777" w:rsidR="00027F65" w:rsidRPr="008671D6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199</w:t>
            </w:r>
            <w:r>
              <w:rPr>
                <w:rFonts w:cstheme="minorHAnsi"/>
                <w:color w:val="000000"/>
                <w:lang w:val="en-US"/>
              </w:rPr>
              <w:t>6</w:t>
            </w:r>
            <w:r w:rsidRPr="00FF655E">
              <w:rPr>
                <w:rFonts w:cstheme="minorHAnsi"/>
                <w:color w:val="000000"/>
                <w:lang w:val="en-US"/>
              </w:rPr>
              <w:t>-</w:t>
            </w:r>
            <w:r>
              <w:rPr>
                <w:rFonts w:cstheme="minorHAnsi"/>
                <w:color w:val="000000"/>
                <w:lang w:val="en-US"/>
              </w:rPr>
              <w:t>1998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64ED8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/>
              </w:rPr>
              <w:t>1.46 (0.92 - 2.32)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EB9832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027F65" w:rsidRPr="000269D2" w14:paraId="4EF5D832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359E" w14:textId="77777777" w:rsidR="00027F65" w:rsidRPr="008671D6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1999-2003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0D5A6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/>
              </w:rPr>
              <w:t>1.14 (0.77 - 1.66)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C126AF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027F65" w:rsidRPr="000269D2" w14:paraId="27BB81DA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73E116" w14:textId="77777777" w:rsidR="00027F65" w:rsidRPr="008671D6" w:rsidRDefault="00027F65" w:rsidP="004B686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2004-2007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208EEA8D" w14:textId="77777777" w:rsidR="00027F65" w:rsidRPr="008671D6" w:rsidRDefault="00027F65" w:rsidP="004B6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de-CH"/>
              </w:rPr>
            </w:pPr>
            <w:r>
              <w:rPr>
                <w:rFonts w:ascii="Calibri" w:hAnsi="Calibri"/>
              </w:rPr>
              <w:t>0.84 (0.62 - 1.13)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5C8E9BB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027F65" w:rsidRPr="000269D2" w14:paraId="0C168EF5" w14:textId="77777777" w:rsidTr="004B6864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156A5" w14:textId="77777777" w:rsidR="00027F65" w:rsidRDefault="00027F65" w:rsidP="004B6864">
            <w:pPr>
              <w:spacing w:after="0" w:line="240" w:lineRule="auto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   </w:t>
            </w:r>
            <w:r w:rsidRPr="00FF655E">
              <w:rPr>
                <w:rFonts w:cstheme="minorHAnsi"/>
                <w:color w:val="000000"/>
                <w:lang w:val="en-US"/>
              </w:rPr>
              <w:t>2008-2014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5D89A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34B8F" w14:textId="77777777" w:rsidR="00027F65" w:rsidRDefault="00027F65" w:rsidP="004B686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</w:tbl>
    <w:p w14:paraId="587716F5" w14:textId="77777777" w:rsidR="00027F65" w:rsidRDefault="00027F65" w:rsidP="00027F65">
      <w:pPr>
        <w:spacing w:before="120" w:after="0" w:line="480" w:lineRule="auto"/>
        <w:rPr>
          <w:rFonts w:cstheme="minorHAnsi"/>
          <w:bCs/>
          <w:color w:val="000000"/>
          <w:lang w:val="en-US"/>
        </w:rPr>
      </w:pPr>
      <w:r w:rsidRPr="00C80F67">
        <w:rPr>
          <w:rFonts w:cstheme="minorHAnsi"/>
          <w:bCs/>
          <w:color w:val="000000"/>
          <w:lang w:val="en-US"/>
        </w:rPr>
        <w:t xml:space="preserve">* Adjusted for current CD4 cell count and its interaction with region, </w:t>
      </w:r>
      <w:r>
        <w:rPr>
          <w:rFonts w:cstheme="minorHAnsi"/>
          <w:bCs/>
          <w:color w:val="000000"/>
          <w:lang w:val="en-US"/>
        </w:rPr>
        <w:t>age</w:t>
      </w:r>
      <w:r w:rsidRPr="00C80F67">
        <w:rPr>
          <w:rFonts w:cstheme="minorHAnsi"/>
          <w:bCs/>
          <w:color w:val="000000"/>
          <w:lang w:val="en-US"/>
        </w:rPr>
        <w:t xml:space="preserve">, calendar year of </w:t>
      </w:r>
      <w:r>
        <w:rPr>
          <w:rFonts w:cstheme="minorHAnsi"/>
          <w:bCs/>
          <w:color w:val="000000"/>
          <w:lang w:val="en-US"/>
        </w:rPr>
        <w:t>ART</w:t>
      </w:r>
      <w:r w:rsidRPr="00C80F67">
        <w:rPr>
          <w:rFonts w:cstheme="minorHAnsi"/>
          <w:bCs/>
          <w:color w:val="000000"/>
          <w:lang w:val="en-US"/>
        </w:rPr>
        <w:t xml:space="preserve"> start, and first-line </w:t>
      </w:r>
      <w:r>
        <w:rPr>
          <w:rFonts w:cstheme="minorHAnsi"/>
          <w:bCs/>
          <w:color w:val="000000"/>
          <w:lang w:val="en-US"/>
        </w:rPr>
        <w:t>ART</w:t>
      </w:r>
      <w:r w:rsidRPr="00C80F67">
        <w:rPr>
          <w:rFonts w:cstheme="minorHAnsi"/>
          <w:bCs/>
          <w:color w:val="000000"/>
          <w:lang w:val="en-US"/>
        </w:rPr>
        <w:t xml:space="preserve"> regimen.</w:t>
      </w:r>
    </w:p>
    <w:p w14:paraId="6BB8998E" w14:textId="77777777" w:rsidR="00027F65" w:rsidRPr="00C80F67" w:rsidRDefault="00027F65" w:rsidP="00027F65">
      <w:pPr>
        <w:spacing w:before="120" w:after="0" w:line="480" w:lineRule="auto"/>
        <w:rPr>
          <w:rFonts w:cstheme="minorHAnsi"/>
          <w:bCs/>
          <w:color w:val="000000"/>
          <w:lang w:val="en-US"/>
        </w:rPr>
      </w:pPr>
      <w:r>
        <w:rPr>
          <w:rFonts w:cstheme="minorHAnsi"/>
          <w:bCs/>
          <w:color w:val="000000"/>
          <w:lang w:val="en-US"/>
        </w:rPr>
        <w:t>** Derived from likelihood ratio test comparing the adjusted models with and without the interaction of a specific variable with region.</w:t>
      </w:r>
    </w:p>
    <w:p w14:paraId="24C8625D" w14:textId="77777777" w:rsidR="00637FF9" w:rsidRDefault="00637FF9" w:rsidP="00637FF9">
      <w:pPr>
        <w:spacing w:before="120" w:after="0" w:line="480" w:lineRule="auto"/>
        <w:rPr>
          <w:rFonts w:cstheme="minorHAnsi"/>
          <w:b/>
          <w:bCs/>
          <w:color w:val="000000"/>
          <w:lang w:val="en-US"/>
        </w:rPr>
      </w:pPr>
      <w:r>
        <w:rPr>
          <w:rFonts w:cstheme="minorHAnsi"/>
          <w:bCs/>
          <w:color w:val="000000"/>
          <w:lang w:val="en-US"/>
        </w:rPr>
        <w:t>ART</w:t>
      </w:r>
      <w:r w:rsidRPr="00C80F67">
        <w:rPr>
          <w:rFonts w:cstheme="minorHAnsi"/>
          <w:bCs/>
          <w:color w:val="000000"/>
          <w:lang w:val="en-US"/>
        </w:rPr>
        <w:t>, antiretroviral therapy; CI, confidence interval</w:t>
      </w:r>
      <w:r>
        <w:rPr>
          <w:rFonts w:cstheme="minorHAnsi"/>
          <w:bCs/>
          <w:color w:val="000000"/>
          <w:lang w:val="en-US"/>
        </w:rPr>
        <w:t xml:space="preserve">; ICC, invasive cervical cancer; </w:t>
      </w:r>
      <w:r w:rsidRPr="00536BEB">
        <w:rPr>
          <w:lang w:val="en-US"/>
        </w:rPr>
        <w:t xml:space="preserve">NNRTI, </w:t>
      </w:r>
      <w:r w:rsidRPr="00637FF9">
        <w:rPr>
          <w:lang w:val="en-US"/>
        </w:rPr>
        <w:t>non-nucleoside reverse-transcriptase inhibitor; PI, protease-inhibitor</w:t>
      </w:r>
    </w:p>
    <w:p w14:paraId="53A6329B" w14:textId="77777777" w:rsidR="007103DC" w:rsidRDefault="007103DC">
      <w:pPr>
        <w:rPr>
          <w:rFonts w:cstheme="minorHAnsi"/>
          <w:bCs/>
          <w:color w:val="000000"/>
          <w:lang w:val="en-US"/>
        </w:rPr>
      </w:pPr>
      <w:r>
        <w:rPr>
          <w:rFonts w:cstheme="minorHAnsi"/>
          <w:bCs/>
          <w:color w:val="000000"/>
          <w:lang w:val="en-US"/>
        </w:rPr>
        <w:br w:type="page"/>
      </w:r>
    </w:p>
    <w:p w14:paraId="19A564BB" w14:textId="77777777" w:rsidR="007103DC" w:rsidRPr="007D4D97" w:rsidRDefault="007103DC" w:rsidP="007103DC">
      <w:pPr>
        <w:spacing w:line="360" w:lineRule="auto"/>
        <w:jc w:val="both"/>
        <w:rPr>
          <w:rFonts w:ascii="Calibri" w:eastAsia="Times New Roman" w:hAnsi="Calibri" w:cs="Arial"/>
          <w:b/>
          <w:bCs/>
          <w:szCs w:val="24"/>
          <w:u w:val="single"/>
          <w:lang w:val="en-GB"/>
        </w:rPr>
      </w:pPr>
      <w:r w:rsidRPr="007D4D97">
        <w:rPr>
          <w:rFonts w:ascii="Calibri" w:eastAsia="Times New Roman" w:hAnsi="Calibri" w:cs="Arial"/>
          <w:b/>
          <w:bCs/>
          <w:szCs w:val="24"/>
          <w:u w:val="single"/>
          <w:lang w:val="en-GB"/>
        </w:rPr>
        <w:lastRenderedPageBreak/>
        <w:t>Acknowledgements</w:t>
      </w:r>
    </w:p>
    <w:p w14:paraId="79161FEA" w14:textId="77777777" w:rsidR="007103DC" w:rsidRPr="00171F1C" w:rsidRDefault="007103DC" w:rsidP="007103DC">
      <w:pPr>
        <w:spacing w:line="360" w:lineRule="auto"/>
        <w:jc w:val="both"/>
        <w:rPr>
          <w:rFonts w:ascii="Calibri" w:eastAsia="Times New Roman" w:hAnsi="Calibri" w:cs="Arial"/>
          <w:bCs/>
          <w:szCs w:val="24"/>
          <w:lang w:val="en-GB"/>
        </w:rPr>
      </w:pPr>
      <w:r w:rsidRPr="00171F1C">
        <w:rPr>
          <w:rFonts w:ascii="Calibri" w:eastAsia="Times New Roman" w:hAnsi="Calibri" w:cs="Arial"/>
          <w:b/>
          <w:bCs/>
          <w:szCs w:val="24"/>
          <w:lang w:val="en-GB"/>
        </w:rPr>
        <w:t>COHERE Steering Committee - Contributing Cohorts:</w:t>
      </w:r>
      <w:r w:rsidRPr="00171F1C">
        <w:rPr>
          <w:rFonts w:ascii="Calibri" w:eastAsia="Times New Roman" w:hAnsi="Calibri" w:cs="Arial"/>
          <w:szCs w:val="24"/>
          <w:lang w:val="en-GB"/>
        </w:rPr>
        <w:t xml:space="preserve"> Ali Judd (AALPHI), Robert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Zangerle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(AHIVCOS),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Giota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Touloumi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(AMACS),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Josiane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Warszawski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(ANRS CO1 EPF/ANRS CO11 OBSERVATOIRE EPF), Laurence Meyer (ANRS CO2 SEROCO), François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Dabis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(ANRS CO3 AQUITAINE), Murielle Mary Krause (ANRS CO4 FHDH), Jade Ghosn (ANRS CO6 PRIMO), Catherine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Leport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(ANRS CO8 COPILOTE), Linda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Wittkop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(ANRS CO13 HEPAVIH), Peter Reiss (ATHENA), Ferdinand Wit (ATHENA), Maria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Prins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(CASCADE),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Heiner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Bucher (CASCADE), Diana Gibb (CHIPS),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Gerd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Fätkenheuer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(Cologne-Bonn), Julia Del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Amo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CoRIS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), Niels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Obel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(Danish HIV Cohort), Claire Thorne (ECS), Amanda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Mocroft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EuroSIDA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>), Ole Kirk (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EuroSIDA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>), Christoph Stephan (Frankfurt), Santiago Pérez-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Hoyos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(GEMES-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Haemo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),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Osamah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Hamouda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(German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ClinSurv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), Barbara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Bartmeyer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(German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ClinSurv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),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Nikoloz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Chkhartishvili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(Georgian National HIV/AIDS), Antoni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Noguera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-Julian (CORISPE-cat), Andrea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Antinori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(ICC), Antonella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d’Arminio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Monforte (ICONA), Norbert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Brockmeyer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(KOMPNET), Luis Prieto (Madrid PMTCT Cohort), Pablo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Rojo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Conejo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(CORISPES-Madrid), Antoni Soriano-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Arandes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(NENEXP), Manuel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Battegay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(SHCS), Roger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Kouyos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(SHCS), Cristina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Mussini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(Modena Cohort), Pat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Tookey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(NSHPC), Jordi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Casabona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(PISCIS), Jose M.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Miró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(PISCIS), Antonella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Castagna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(San Raffaele), Deborah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Konopnick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(St. Pierre Cohort), Tessa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Goetghebuer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(St Pierre Paediatric Cohort),</w:t>
      </w:r>
      <w:r w:rsidRPr="00171F1C">
        <w:rPr>
          <w:rFonts w:ascii="Calibri" w:eastAsia="Times New Roman" w:hAnsi="Calibri" w:cs="Arial"/>
          <w:szCs w:val="24"/>
          <w:lang w:val="en-US"/>
        </w:rPr>
        <w:t xml:space="preserve"> Anders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Sönnerborg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(</w:t>
      </w:r>
      <w:r w:rsidRPr="00171F1C">
        <w:rPr>
          <w:rFonts w:ascii="Calibri" w:eastAsia="Times New Roman" w:hAnsi="Calibri" w:cs="Arial"/>
          <w:szCs w:val="24"/>
          <w:lang w:val="en-GB"/>
        </w:rPr>
        <w:t xml:space="preserve">Swedish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InfCare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), Eugenia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Quiros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-Roldan (The Italian Master Cohort), Caroline Sabin (UK CHIC), Ramon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Teira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(VACH),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Myriam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Garrido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(VACH). David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Haerry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(European AIDS Treatment Group)</w:t>
      </w:r>
    </w:p>
    <w:p w14:paraId="60D346DF" w14:textId="77777777" w:rsidR="007103DC" w:rsidRPr="00171F1C" w:rsidRDefault="007103DC" w:rsidP="007103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Arial"/>
          <w:szCs w:val="24"/>
          <w:lang w:val="en-GB"/>
        </w:rPr>
      </w:pPr>
      <w:r w:rsidRPr="00171F1C">
        <w:rPr>
          <w:rFonts w:ascii="Calibri" w:eastAsia="Times New Roman" w:hAnsi="Calibri" w:cs="Arial"/>
          <w:b/>
          <w:szCs w:val="24"/>
          <w:lang w:val="en-GB"/>
        </w:rPr>
        <w:t>COHERE Executive Committee:</w:t>
      </w:r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Stéphane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de Wit (Chair, St. Pierre University Hospital), Jose Mª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Miró</w:t>
      </w:r>
      <w:proofErr w:type="spellEnd"/>
      <w:r w:rsidRPr="00171F1C" w:rsidDel="00F16A71">
        <w:rPr>
          <w:rFonts w:ascii="Calibri" w:eastAsia="Times New Roman" w:hAnsi="Calibri" w:cs="Arial"/>
          <w:szCs w:val="24"/>
          <w:lang w:val="en-GB"/>
        </w:rPr>
        <w:t xml:space="preserve"> </w:t>
      </w:r>
      <w:r w:rsidRPr="00171F1C">
        <w:rPr>
          <w:rFonts w:ascii="Calibri" w:eastAsia="Times New Roman" w:hAnsi="Calibri" w:cs="Arial"/>
          <w:szCs w:val="24"/>
          <w:lang w:val="en-GB"/>
        </w:rPr>
        <w:t xml:space="preserve">(PISCIS), Dominique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Costagliola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(FHDH), Antonella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d’Arminio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-Monforte (ICONA), Antonella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Castagna</w:t>
      </w:r>
      <w:proofErr w:type="spellEnd"/>
      <w:r w:rsidRPr="00171F1C" w:rsidDel="00F16A71">
        <w:rPr>
          <w:rFonts w:ascii="Calibri" w:eastAsia="Times New Roman" w:hAnsi="Calibri" w:cs="Arial"/>
          <w:szCs w:val="24"/>
          <w:lang w:val="en-GB"/>
        </w:rPr>
        <w:t xml:space="preserve"> </w:t>
      </w:r>
      <w:r w:rsidRPr="00171F1C">
        <w:rPr>
          <w:rFonts w:ascii="Calibri" w:eastAsia="Times New Roman" w:hAnsi="Calibri" w:cs="Arial"/>
          <w:szCs w:val="24"/>
          <w:lang w:val="en-GB"/>
        </w:rPr>
        <w:t xml:space="preserve">(San Raffaele), Julia del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Amo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CoRIS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), Amanda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Mocroft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EuroSida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),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Dorthe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Raben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(Head, Copenhagen Regional Coordinating Centre), Geneviève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Chêne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(Head, Bordeaux Regional Coordinating Centre). Paediatric Cohort Representatives: Ali Judd, Pablo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Rojo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Conejo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. </w:t>
      </w:r>
    </w:p>
    <w:p w14:paraId="2452C463" w14:textId="77777777" w:rsidR="007103DC" w:rsidRPr="00171F1C" w:rsidRDefault="007103DC" w:rsidP="007103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Arial"/>
          <w:szCs w:val="24"/>
          <w:lang w:val="en-GB"/>
        </w:rPr>
      </w:pPr>
      <w:r w:rsidRPr="00171F1C">
        <w:rPr>
          <w:rFonts w:ascii="Calibri" w:eastAsia="Times New Roman" w:hAnsi="Calibri" w:cs="Arial"/>
          <w:b/>
          <w:bCs/>
          <w:szCs w:val="24"/>
          <w:lang w:val="en-GB"/>
        </w:rPr>
        <w:t>COHERE Regional Coordinating Centres</w:t>
      </w:r>
      <w:r w:rsidRPr="00171F1C">
        <w:rPr>
          <w:rFonts w:ascii="Calibri" w:eastAsia="Times New Roman" w:hAnsi="Calibri" w:cs="Arial"/>
          <w:szCs w:val="24"/>
          <w:lang w:val="en-GB"/>
        </w:rPr>
        <w:t xml:space="preserve">: Bordeaux RCC: Diana Barger, Christine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Schwimmer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Monique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Termote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Linda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Wittkop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; Copenhagen RCC: Maria Campbell, Casper M.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Frederiksen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Nina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Friis-Møller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Jesper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Kjaer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Dorthe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Raben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Rikke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Salbøl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Brandt. </w:t>
      </w:r>
    </w:p>
    <w:p w14:paraId="1644C89C" w14:textId="77777777" w:rsidR="007103DC" w:rsidRPr="00171F1C" w:rsidRDefault="007103DC" w:rsidP="007103DC">
      <w:pPr>
        <w:spacing w:before="120" w:line="360" w:lineRule="auto"/>
        <w:jc w:val="both"/>
        <w:rPr>
          <w:rFonts w:ascii="Calibri" w:eastAsia="Times New Roman" w:hAnsi="Calibri" w:cs="Arial"/>
          <w:szCs w:val="24"/>
          <w:lang w:val="en-GB"/>
        </w:rPr>
      </w:pPr>
      <w:r w:rsidRPr="00171F1C">
        <w:rPr>
          <w:rFonts w:ascii="Calibri" w:eastAsia="Times New Roman" w:hAnsi="Calibri" w:cs="Arial"/>
          <w:b/>
          <w:bCs/>
          <w:szCs w:val="24"/>
          <w:lang w:val="en-GB"/>
        </w:rPr>
        <w:t>COHERE Project Leads and Statisticians</w:t>
      </w:r>
      <w:r w:rsidRPr="00171F1C">
        <w:rPr>
          <w:rFonts w:ascii="Calibri" w:eastAsia="Times New Roman" w:hAnsi="Calibri" w:cs="Arial"/>
          <w:szCs w:val="24"/>
          <w:lang w:val="en-GB"/>
        </w:rPr>
        <w:t xml:space="preserve">: Juan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Berenguer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Julia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Bohlius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Vincent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Bouteloup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Heiner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Bucher, Alessandro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Cozzi-Lepri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François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Dabis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Antonella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d’Arminio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Monforte, Mary-Anne Davies, Julia del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Amo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Maria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Dorrucci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David Dunn, Matthias Egger,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Hansjakob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Furrer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Marguerite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Guiguet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Sophie Grabar, Ali Judd, Ole Kirk, Olivier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Lambotte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Valériane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Leroy, Sara Lodi, Sophie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Matheron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Laurence Meyer, Jose M. Miro, Amanda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Mocroft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Susana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Monge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Fumiyo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Nakagawa, Roger Paredes, Andrew Phillips, Massimo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Puoti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Eliane Rohner, Michael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Schomaker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Colette Smit, Jonathan Sterne,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Rodolphe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Thiebaut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Claire Thorne, Carlo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Torti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Marc van der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Valk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, Linda </w:t>
      </w:r>
      <w:proofErr w:type="spellStart"/>
      <w:r w:rsidRPr="00171F1C">
        <w:rPr>
          <w:rFonts w:ascii="Calibri" w:eastAsia="Times New Roman" w:hAnsi="Calibri" w:cs="Arial"/>
          <w:szCs w:val="24"/>
          <w:lang w:val="en-GB"/>
        </w:rPr>
        <w:t>Wittkop</w:t>
      </w:r>
      <w:proofErr w:type="spellEnd"/>
      <w:r w:rsidRPr="00171F1C">
        <w:rPr>
          <w:rFonts w:ascii="Calibri" w:eastAsia="Times New Roman" w:hAnsi="Calibri" w:cs="Arial"/>
          <w:szCs w:val="24"/>
          <w:lang w:val="en-GB"/>
        </w:rPr>
        <w:t xml:space="preserve">. </w:t>
      </w:r>
    </w:p>
    <w:p w14:paraId="67D0B673" w14:textId="1BCE219D" w:rsidR="007103DC" w:rsidRPr="00313768" w:rsidRDefault="007103DC" w:rsidP="00313768">
      <w:pPr>
        <w:spacing w:before="120" w:line="360" w:lineRule="auto"/>
        <w:jc w:val="both"/>
        <w:rPr>
          <w:rFonts w:ascii="Calibri" w:eastAsia="Times New Roman" w:hAnsi="Calibri" w:cs="Arial"/>
          <w:szCs w:val="24"/>
          <w:lang w:val="en-US"/>
        </w:rPr>
      </w:pPr>
      <w:proofErr w:type="spellStart"/>
      <w:r w:rsidRPr="00171F1C">
        <w:rPr>
          <w:rFonts w:ascii="Calibri" w:eastAsia="Times New Roman" w:hAnsi="Calibri" w:cs="Arial"/>
          <w:b/>
          <w:szCs w:val="24"/>
          <w:lang w:val="en-US"/>
        </w:rPr>
        <w:lastRenderedPageBreak/>
        <w:t>IeDEA</w:t>
      </w:r>
      <w:proofErr w:type="spellEnd"/>
      <w:r w:rsidRPr="00171F1C">
        <w:rPr>
          <w:rFonts w:ascii="Calibri" w:eastAsia="Times New Roman" w:hAnsi="Calibri" w:cs="Arial"/>
          <w:b/>
          <w:szCs w:val="24"/>
          <w:lang w:val="en-US"/>
        </w:rPr>
        <w:t xml:space="preserve">-SA </w:t>
      </w:r>
      <w:r w:rsidR="00313768">
        <w:rPr>
          <w:rFonts w:ascii="Calibri" w:eastAsia="Times New Roman" w:hAnsi="Calibri" w:cs="Arial"/>
          <w:b/>
          <w:szCs w:val="24"/>
          <w:lang w:val="en-US"/>
        </w:rPr>
        <w:t>site investigators and cohorts</w:t>
      </w:r>
      <w:r w:rsidRPr="00171F1C">
        <w:rPr>
          <w:rFonts w:ascii="Calibri" w:eastAsia="Times New Roman" w:hAnsi="Calibri" w:cs="Arial"/>
          <w:b/>
          <w:szCs w:val="24"/>
          <w:lang w:val="en-US"/>
        </w:rPr>
        <w:t>:</w:t>
      </w:r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Gary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Maartens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Aid for AIDS, South Africa; Michael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Vinikoor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Centre for Infectious Disease Research in Zambia (CIDRZ), Zambia; Monique van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Lettow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Dignitas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Malawi; Robin Wood,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Gugulethu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ART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Programme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South Africa;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Nosisa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Sipambo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Harriet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Shezi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Clinic, South Africa; Frank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Tanser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>, Africa Centre for Health &amp; Population Studies (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Hlabisa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), South Africa; Andrew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Boulle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Khayelitsha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ART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Programme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South Africa; Geoffrey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Fatti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Kheth’Impilo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South Africa; Sam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Phiri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Lighthouse Clinic, Malawi;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Cleophas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Chimbetete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Newlands Clinic, Zimbabwe; Karl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Technau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Rahima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Moosa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Mother and Child Hospital, South Africa; Brian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Eley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Red Cross Children's Hospital, South Africa; Josephine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Muhairwe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SolidarMed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Lesotho; Anna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Jores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SolidarMed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Mozambique; Cordelia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Kunzekwenyika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SolidarMed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Zimbabwe, Matthew P Fox,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Themba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Lethu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Clinic, South Africa; Hans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Prozesky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313768" w:rsidRPr="00313768">
        <w:rPr>
          <w:rFonts w:ascii="Calibri" w:eastAsia="Times New Roman" w:hAnsi="Calibri" w:cs="Arial"/>
          <w:szCs w:val="24"/>
          <w:lang w:val="en-US"/>
        </w:rPr>
        <w:t>Tygerberg</w:t>
      </w:r>
      <w:proofErr w:type="spellEnd"/>
      <w:r w:rsidR="00313768" w:rsidRPr="00313768">
        <w:rPr>
          <w:rFonts w:ascii="Calibri" w:eastAsia="Times New Roman" w:hAnsi="Calibri" w:cs="Arial"/>
          <w:szCs w:val="24"/>
          <w:lang w:val="en-US"/>
        </w:rPr>
        <w:t xml:space="preserve"> Academic Hospital, South Africa.</w:t>
      </w:r>
    </w:p>
    <w:p w14:paraId="4CF4594E" w14:textId="1FC8BDD8" w:rsidR="007103DC" w:rsidRDefault="007103DC" w:rsidP="007103DC">
      <w:pPr>
        <w:spacing w:before="120" w:line="360" w:lineRule="auto"/>
        <w:jc w:val="both"/>
        <w:rPr>
          <w:rFonts w:ascii="Calibri" w:eastAsia="Times New Roman" w:hAnsi="Calibri" w:cs="Arial"/>
          <w:szCs w:val="24"/>
          <w:lang w:val="en-US"/>
        </w:rPr>
      </w:pPr>
      <w:r w:rsidRPr="00171F1C">
        <w:rPr>
          <w:rFonts w:ascii="Calibri" w:eastAsia="Times New Roman" w:hAnsi="Calibri" w:cs="Arial"/>
          <w:szCs w:val="24"/>
          <w:lang w:val="en-US"/>
        </w:rPr>
        <w:t>We also would like to acknowledge colleagues at the National Health Laboratory Service and the National Cancer Registry in South Africa.</w:t>
      </w:r>
    </w:p>
    <w:p w14:paraId="7327C043" w14:textId="6C78A14A" w:rsidR="00313768" w:rsidRPr="00313768" w:rsidRDefault="00313768" w:rsidP="00313768">
      <w:pPr>
        <w:spacing w:before="120" w:line="360" w:lineRule="auto"/>
        <w:jc w:val="both"/>
        <w:rPr>
          <w:rFonts w:ascii="Calibri" w:eastAsia="Times New Roman" w:hAnsi="Calibri" w:cs="Arial"/>
          <w:b/>
          <w:szCs w:val="24"/>
          <w:lang w:val="en-US"/>
        </w:rPr>
      </w:pPr>
      <w:proofErr w:type="spellStart"/>
      <w:r w:rsidRPr="00171F1C">
        <w:rPr>
          <w:rFonts w:ascii="Calibri" w:eastAsia="Times New Roman" w:hAnsi="Calibri" w:cs="Arial"/>
          <w:b/>
          <w:szCs w:val="24"/>
          <w:lang w:val="en-US"/>
        </w:rPr>
        <w:t>IeDEA</w:t>
      </w:r>
      <w:proofErr w:type="spellEnd"/>
      <w:r w:rsidRPr="00171F1C">
        <w:rPr>
          <w:rFonts w:ascii="Calibri" w:eastAsia="Times New Roman" w:hAnsi="Calibri" w:cs="Arial"/>
          <w:b/>
          <w:szCs w:val="24"/>
          <w:lang w:val="en-US"/>
        </w:rPr>
        <w:t xml:space="preserve">-SA </w:t>
      </w:r>
      <w:r>
        <w:rPr>
          <w:rFonts w:ascii="Calibri" w:eastAsia="Times New Roman" w:hAnsi="Calibri" w:cs="Arial"/>
          <w:b/>
          <w:szCs w:val="24"/>
          <w:lang w:val="en-US"/>
        </w:rPr>
        <w:t>data centers</w:t>
      </w:r>
      <w:r w:rsidRPr="00171F1C">
        <w:rPr>
          <w:rFonts w:ascii="Calibri" w:eastAsia="Times New Roman" w:hAnsi="Calibri" w:cs="Arial"/>
          <w:b/>
          <w:szCs w:val="24"/>
          <w:lang w:val="en-US"/>
        </w:rPr>
        <w:t>:</w:t>
      </w:r>
      <w:r>
        <w:rPr>
          <w:rFonts w:ascii="Calibri" w:eastAsia="Times New Roman" w:hAnsi="Calibri" w:cs="Arial"/>
          <w:b/>
          <w:szCs w:val="24"/>
          <w:lang w:val="en-US"/>
        </w:rPr>
        <w:t xml:space="preserve"> </w:t>
      </w:r>
      <w:r w:rsidRPr="00313768">
        <w:rPr>
          <w:rFonts w:ascii="Calibri" w:eastAsia="Times New Roman" w:hAnsi="Calibri" w:cs="Arial"/>
          <w:szCs w:val="24"/>
          <w:lang w:val="en-US"/>
        </w:rPr>
        <w:t xml:space="preserve">Nina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Anderegg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Marie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Ballif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Lina Bartels, Julia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Bohlius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Frédérique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Chammartin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Benedikt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 Christ, Cam Ha Dao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Ostinelli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Matthias Egger, Lukas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Fenner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Per von Groote, Andreas Haas,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Taghavi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Katayoun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Eliane Rohner, Lilian Smith, Adrian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Spörri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Gilles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Wandeler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Elizabeth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Zaniewski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Kathrin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Zürcher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Institute of Social and Preventive Medicine, University of Bern, Switzerland; Andrew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Boulle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Morna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 Cornell, Mary-Ann Davies, Victoria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Iyun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Leigh Johnson,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Mmamapudi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Kubjane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Nicola Maxwell,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Tshabakwane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Nembandona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Patience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Nyakato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Ernest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Mokotoane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Gem Patten, Michael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Schomaker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 xml:space="preserve">, Priscilla </w:t>
      </w:r>
      <w:proofErr w:type="spellStart"/>
      <w:r w:rsidRPr="00313768">
        <w:rPr>
          <w:rFonts w:ascii="Calibri" w:eastAsia="Times New Roman" w:hAnsi="Calibri" w:cs="Arial"/>
          <w:szCs w:val="24"/>
          <w:lang w:val="en-US"/>
        </w:rPr>
        <w:t>Tsondai</w:t>
      </w:r>
      <w:proofErr w:type="spellEnd"/>
      <w:r w:rsidRPr="00313768">
        <w:rPr>
          <w:rFonts w:ascii="Calibri" w:eastAsia="Times New Roman" w:hAnsi="Calibri" w:cs="Arial"/>
          <w:szCs w:val="24"/>
          <w:lang w:val="en-US"/>
        </w:rPr>
        <w:t>, Renee de Waal, School of Public Health and Family Medicine, University of Cape Town, South Africa.</w:t>
      </w:r>
    </w:p>
    <w:p w14:paraId="5512E505" w14:textId="77777777" w:rsidR="007103DC" w:rsidRPr="00171F1C" w:rsidRDefault="007103DC" w:rsidP="007103DC">
      <w:pPr>
        <w:spacing w:before="120" w:line="360" w:lineRule="auto"/>
        <w:jc w:val="both"/>
        <w:rPr>
          <w:rFonts w:ascii="Calibri" w:eastAsia="Times New Roman" w:hAnsi="Calibri" w:cs="Arial"/>
          <w:szCs w:val="24"/>
          <w:lang w:val="en-US"/>
        </w:rPr>
      </w:pPr>
      <w:r w:rsidRPr="00171F1C">
        <w:rPr>
          <w:rFonts w:ascii="Calibri" w:eastAsia="Times New Roman" w:hAnsi="Calibri" w:cs="Arial"/>
          <w:b/>
          <w:szCs w:val="24"/>
          <w:lang w:val="en-US"/>
        </w:rPr>
        <w:t>NA-ACCORD Collaborating Cohorts and Representatives:</w:t>
      </w:r>
      <w:r w:rsidRPr="00171F1C">
        <w:rPr>
          <w:rFonts w:ascii="Calibri" w:eastAsia="Times New Roman" w:hAnsi="Calibri" w:cs="Arial"/>
          <w:szCs w:val="24"/>
          <w:lang w:val="en-US"/>
        </w:rPr>
        <w:t xml:space="preserve"> AIDS Clinical Trials Group Longitudinal Linked Randomized Trials: Constance A. Benson and Ronald J. Bosch; AIDS Link to the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IntraVenous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Experience: Gregory D. Kirk; Fenway Health HIV Cohort: Stephen Boswell, Kenneth H. Mayer and Chris Grasso; HAART Observational Medical Evaluation and Research: Robert S. Hogg, P. Richard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Harrigan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Julio SG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Montaner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Benita Yip, Julia Zhu, Kate Salters and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Karyn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Gabler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HIV Outpatient Study: Kate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Buchacz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John T. Brooks; HIV Research Network: Kelly A.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Gebo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Richard D. Moore; Johns Hopkins HIV Clinical Cohort: Richard D. Moore; John T. Carey Special Immunology Unit Patient Care and Research Database, Case Western Reserve University: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Benigno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Rodriguez; Kaiser Permanente Mid-Atlantic States: Michael A.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Horberg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Kaiser Permanente Northern California: Michael J. Silverberg; Longitudinal Study of Ocular Complications of AIDS: Jennifer E. Thorne; Multicenter Hemophilia Cohort Study–II: Charles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Rabkin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Multicenter AIDS Cohort Study: Joseph B.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Margolick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Lisa P. Jacobson and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Gypsyamber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D’Souza; Montreal Chest Institute Immunodeficiency Service Cohort: Marina B. Klein; Ontario HIV Treatment Network Cohort Study: Sean B. Rourke, Anita R.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Rachlis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and Patrick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Cupido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>; Retrovirus Research Center, Bayamon Puerto Rico: Robert F. Hunter-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Mellado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Angel M. Mayor; </w:t>
      </w:r>
      <w:r w:rsidRPr="00171F1C">
        <w:rPr>
          <w:rFonts w:ascii="Calibri" w:eastAsia="Times New Roman" w:hAnsi="Calibri" w:cs="Arial"/>
          <w:szCs w:val="24"/>
          <w:lang w:val="en-US"/>
        </w:rPr>
        <w:lastRenderedPageBreak/>
        <w:t xml:space="preserve">Southern Alberta Clinic Cohort: M. John Gill; Study of the Consequences of the Protease Inhibitor Era: Steven G.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Deeks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Jeffrey N. Martin; Study to Understand the Natural History of HIV/AIDS in the Era of Effective Therapy: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Pragna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Patel and John T. Brooks; University of Alabama at Birmingham 1917 Clinic Cohort: Michael S.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Saag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Michael J.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Mugavero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James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Willig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University of North Carolina at Chapel Hill HIV Clinic Cohort: Joseph J.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Eron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Sonia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Napravnik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University of Washington HIV Cohort: Mari M.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Kitahata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Heidi M. Crane and Daniel R.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Drozd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Vanderbilt Comprehensive Care Clinic HIV Cohort: Timothy R. Sterling, David Haas, Peter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Rebeiro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Megan Turner, Sally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Bebawy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Ben Rogers; Veterans Aging Cohort Study: Amy C. Justice, Robert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Dubrow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and David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Fiellin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Women's Interagency HIV Study: Stephen J.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Gange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Kathryn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Anastos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>.</w:t>
      </w:r>
    </w:p>
    <w:p w14:paraId="50E8C8EE" w14:textId="77777777" w:rsidR="007103DC" w:rsidRPr="00171F1C" w:rsidRDefault="007103DC" w:rsidP="007103DC">
      <w:pPr>
        <w:spacing w:before="120" w:line="360" w:lineRule="auto"/>
        <w:jc w:val="both"/>
        <w:rPr>
          <w:rFonts w:ascii="Calibri" w:eastAsia="Times New Roman" w:hAnsi="Calibri" w:cs="Arial"/>
          <w:szCs w:val="24"/>
          <w:lang w:val="en-US"/>
        </w:rPr>
      </w:pPr>
      <w:r w:rsidRPr="00171F1C">
        <w:rPr>
          <w:rFonts w:ascii="Calibri" w:eastAsia="Times New Roman" w:hAnsi="Calibri" w:cs="Arial"/>
          <w:b/>
          <w:szCs w:val="24"/>
          <w:lang w:val="en-US"/>
        </w:rPr>
        <w:t xml:space="preserve">NA-ACCORD Study Administration: </w:t>
      </w:r>
      <w:r w:rsidRPr="00171F1C">
        <w:rPr>
          <w:rFonts w:ascii="Calibri" w:eastAsia="Times New Roman" w:hAnsi="Calibri" w:cs="Arial"/>
          <w:szCs w:val="24"/>
          <w:lang w:val="en-US"/>
        </w:rPr>
        <w:t xml:space="preserve">Executive Committee: Richard D. Moore, Michael S.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Saag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Stephen J.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Gange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Mari M.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Kitahata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Keri N.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Althoff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Michael A.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Horberg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Marina B. Klein, Rosemary G.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McKaig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and Aimee M. Freeman</w:t>
      </w:r>
      <w:r w:rsidRPr="00171F1C">
        <w:rPr>
          <w:rFonts w:ascii="Calibri" w:eastAsia="Times New Roman" w:hAnsi="Calibri" w:cs="Arial"/>
          <w:b/>
          <w:szCs w:val="24"/>
          <w:lang w:val="en-US"/>
        </w:rPr>
        <w:t xml:space="preserve">; </w:t>
      </w:r>
      <w:r w:rsidRPr="00171F1C">
        <w:rPr>
          <w:rFonts w:ascii="Calibri" w:eastAsia="Times New Roman" w:hAnsi="Calibri" w:cs="Arial"/>
          <w:szCs w:val="24"/>
          <w:lang w:val="en-US"/>
        </w:rPr>
        <w:t xml:space="preserve">Administrative Core: Richard D. Moore, Aimee M. Freeman and Carol Lent; Data Management Core: Mari M.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Kitahata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Stephen E. Van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Rompaey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Heidi M. Crane, Daniel R.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Drozd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Liz Morton, Justin McReynolds and William B.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Lober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Epidemiology and Biostatistics Core: Stephen J.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Gange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Keri N.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Althoff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Alison G. Abraham, Bryan Lau,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Jinbing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Zhang, Jerry Jing,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Sharada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Modur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>, Cherise Wong, Brenna Hogan, Fidel Desir, Bin Liu and Bin You.</w:t>
      </w:r>
    </w:p>
    <w:p w14:paraId="0D7143AE" w14:textId="14CAA305" w:rsidR="007103DC" w:rsidRPr="00171F1C" w:rsidRDefault="007103DC" w:rsidP="007103DC">
      <w:pPr>
        <w:spacing w:before="120" w:line="360" w:lineRule="auto"/>
        <w:jc w:val="both"/>
        <w:rPr>
          <w:rFonts w:ascii="Calibri" w:eastAsia="Times New Roman" w:hAnsi="Calibri" w:cs="Arial"/>
          <w:szCs w:val="24"/>
          <w:lang w:val="en-US"/>
        </w:rPr>
      </w:pPr>
      <w:proofErr w:type="spellStart"/>
      <w:r w:rsidRPr="00171F1C">
        <w:rPr>
          <w:rFonts w:ascii="Calibri" w:eastAsia="Times New Roman" w:hAnsi="Calibri" w:cs="Arial"/>
          <w:b/>
          <w:szCs w:val="24"/>
          <w:lang w:val="en-US"/>
        </w:rPr>
        <w:t>IeDEA</w:t>
      </w:r>
      <w:proofErr w:type="spellEnd"/>
      <w:r w:rsidRPr="00171F1C">
        <w:rPr>
          <w:rFonts w:ascii="Calibri" w:eastAsia="Times New Roman" w:hAnsi="Calibri" w:cs="Arial"/>
          <w:b/>
          <w:szCs w:val="24"/>
          <w:lang w:val="en-US"/>
        </w:rPr>
        <w:t xml:space="preserve"> Caribbean, Central, and South America (</w:t>
      </w:r>
      <w:proofErr w:type="spellStart"/>
      <w:r w:rsidRPr="00171F1C">
        <w:rPr>
          <w:rFonts w:ascii="Calibri" w:eastAsia="Times New Roman" w:hAnsi="Calibri" w:cs="Arial"/>
          <w:b/>
          <w:szCs w:val="24"/>
          <w:lang w:val="en-US"/>
        </w:rPr>
        <w:t>CCASAnet</w:t>
      </w:r>
      <w:proofErr w:type="spellEnd"/>
      <w:r w:rsidRPr="00171F1C">
        <w:rPr>
          <w:rFonts w:ascii="Calibri" w:eastAsia="Times New Roman" w:hAnsi="Calibri" w:cs="Arial"/>
          <w:b/>
          <w:szCs w:val="24"/>
          <w:lang w:val="en-US"/>
        </w:rPr>
        <w:t xml:space="preserve">):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Fundación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Huésped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Argentina: Pedro Cahn, Carina Cesar, Valeria Fink, Omar Sued, Emanuel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Dell’Isola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Cleyton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Yamamoto;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Instituto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Nacional de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Infectologia-Fiocruz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Brazil: Beatriz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Grinsztejn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Valdilea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Veloso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Paula Luz, Raquel de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Boni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Sandra Cardoso Wagner, Ruth Friedman, Ronaldo Moreira;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Universidade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Federal de Minas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Gerais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Brazil: Jorge Pinto, Flavia Ferreira, Marcelle Maia;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Universidade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Federal de São Paulo, Brazil: Regina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Célia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de Menezes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Succi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Daisy Maria Machado, Aida de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Fátima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Barbosa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Gouvêa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Fundación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Arriarán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Chile: Marcelo Wolff, Claudia Cortes, Maria Fernanda Rodriguez, Gladys Allendes; Les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Centres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GHESKIO, Haiti: Jean William Pape, Vanessa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Rouzier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Adias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Marcelin, Christian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Perodin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Hospital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Escuela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Universitario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Honduras: Marco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Tulio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Luque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Instituto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Hondureño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de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Seguridad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Social, Honduras: Denis Padgett;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Instituto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Nacional de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Ciencias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Médicas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y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Nutrición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Salvador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Zubirán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Mexico: Juan Sierra Madero, Brenda Crabtree Ramirez,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Paco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Belaunzaran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Yanink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Caro Vega;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Instituto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de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Medicina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Tropical Alexander von Humboldt, Peru: Eduardo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Gotuzzo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Fernando Mejia, Gabriela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Carriquiry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; Vanderbilt University Medical Center, USA: Catherine C McGowan, Bryan E Shepherd, Timothy Sterling,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Karu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Jayathilake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Anna K Person, Peter F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Rebeiro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Mark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Giganti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Jessica Castilho, Stephany N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Duda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Fernanda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Maruri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 xml:space="preserve">, Hilary </w:t>
      </w:r>
      <w:proofErr w:type="spellStart"/>
      <w:r w:rsidRPr="00171F1C">
        <w:rPr>
          <w:rFonts w:ascii="Calibri" w:eastAsia="Times New Roman" w:hAnsi="Calibri" w:cs="Arial"/>
          <w:szCs w:val="24"/>
          <w:lang w:val="en-US"/>
        </w:rPr>
        <w:t>Vansell</w:t>
      </w:r>
      <w:proofErr w:type="spellEnd"/>
      <w:r w:rsidRPr="00171F1C">
        <w:rPr>
          <w:rFonts w:ascii="Calibri" w:eastAsia="Times New Roman" w:hAnsi="Calibri" w:cs="Arial"/>
          <w:szCs w:val="24"/>
          <w:lang w:val="en-US"/>
        </w:rPr>
        <w:t>.</w:t>
      </w:r>
    </w:p>
    <w:p w14:paraId="4D3E2F4B" w14:textId="6F1859E8" w:rsidR="007103DC" w:rsidRPr="00171F1C" w:rsidRDefault="00C01579" w:rsidP="007103DC">
      <w:pPr>
        <w:spacing w:after="0" w:line="360" w:lineRule="auto"/>
        <w:jc w:val="both"/>
        <w:rPr>
          <w:rFonts w:ascii="Calibri" w:eastAsia="Times New Roman" w:hAnsi="Calibri" w:cs="Arial"/>
          <w:szCs w:val="24"/>
          <w:lang w:val="en-US"/>
        </w:rPr>
      </w:pPr>
      <w:proofErr w:type="spellStart"/>
      <w:r>
        <w:rPr>
          <w:rFonts w:ascii="Calibri" w:eastAsia="Times New Roman" w:hAnsi="Calibri" w:cs="Arial"/>
          <w:b/>
          <w:szCs w:val="24"/>
          <w:lang w:val="en-US"/>
        </w:rPr>
        <w:t>IeDEA</w:t>
      </w:r>
      <w:proofErr w:type="spellEnd"/>
      <w:r>
        <w:rPr>
          <w:rFonts w:ascii="Calibri" w:eastAsia="Times New Roman" w:hAnsi="Calibri" w:cs="Arial"/>
          <w:b/>
          <w:szCs w:val="24"/>
          <w:lang w:val="en-US"/>
        </w:rPr>
        <w:t xml:space="preserve"> Asia-Pacific </w:t>
      </w:r>
      <w:r w:rsidR="007103DC" w:rsidRPr="00171F1C">
        <w:rPr>
          <w:rFonts w:ascii="Calibri" w:eastAsia="Times New Roman" w:hAnsi="Calibri" w:cs="Arial"/>
          <w:b/>
          <w:szCs w:val="24"/>
          <w:lang w:val="en-US"/>
        </w:rPr>
        <w:t>TAHOD study members:</w:t>
      </w:r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PS Ly* and V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Khol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National Center for HIV/AIDS, Dermatology &amp; STDs, Phnom Penh, Cambodia; FJ Zhang* ‡, HX Zhao and N Han, Beijing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Ditan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Hospital, Capital Medical University, Beijing, China; MP Lee*, PCK Li, W Lam and YT Chan, Queen Elizabeth </w:t>
      </w:r>
      <w:r w:rsidR="007103DC" w:rsidRPr="00171F1C">
        <w:rPr>
          <w:rFonts w:ascii="Calibri" w:eastAsia="Times New Roman" w:hAnsi="Calibri" w:cs="Arial"/>
          <w:szCs w:val="24"/>
          <w:lang w:val="en-US"/>
        </w:rPr>
        <w:lastRenderedPageBreak/>
        <w:t xml:space="preserve">Hospital, Hong Kong, China; N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Kumarasamy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S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Saghayam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and C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Ezhilarasi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Chennai Antiviral Research and Treatment Clinical Research Site (CARTCRS), YRGCARE Medical Centre, VHS, Chennai, India; S Pujari*, K Joshi , S Gaikwad and A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Chitalikar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Institute of Infectious Diseases, Pune, India; TP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Merati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DN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Wirawan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and F Yuliana, Faculty of Medicine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Udayana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University &amp;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Sanglah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Hospital, Bali, Indonesia; E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Yunihastuti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D Imran and A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Widhani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Faculty of Medicine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Universitas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Indonesia - Dr.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Cipto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Mangunkusumo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General Hospital, Jakarta, Indonesia; J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Tanuma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S Oka and T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Nishijima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National Center for Global Health and Medicine, Tokyo, Japan; JY Choi*, Na S and JM Kim, Division of Infectious Diseases, Department of Internal Medicine,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Yonsei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University College of Medicine, Seoul, South Korea; BLH Sim*, YM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Gani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and R David, Hospital Sungai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Buloh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Sungai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Buloh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Malaysia; A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Kamarulzaman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SF Syed Omar, S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Ponnampalavanar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and I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Azwa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University Malaya Medical Centre, Kuala Lumpur, Malaysia; R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Ditangco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E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Uy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and R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Bantique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Research Institute for Tropical Medicine, Manila, Philippines; WW Wong* †, WW Ku and PC Wu, Taipei Veterans General Hospital, Taipei, Taiwan; OT Ng*, PL Lim, LS Lee and PS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Ohnmar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Tan Tock Seng Hospital, Singapore; A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Avihingsanon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S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Gatechompol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P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Phanuphak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and C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Phadungphon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HIV-NAT/Thai Red Cross AIDS Research Centre, Bangkok, Thailand; S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Kiertiburanakul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S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Sungkanuparph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L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Chumla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and N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Sanmeema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Faculty of Medicine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Ramathibodi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Hospital,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Mahidol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University, Bangkok, Thailand; R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Chaiwarith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T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Sirisanthana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W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Kotarathititum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and J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Praparattanapan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Research Institute for Health Sciences, Chiang Mai, Thailand; P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Kantipong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 and P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Kambua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Chiangrai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Prachanukroh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 Hospital, Chiang Rai, Thailand; KV Nguyen*, HV Bui, DTH Nguyen and DT Nguyen, National Hospital for Tropical Diseases, Hanoi, Vietnam; DD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Cuong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NV An and NT Luan, Bach Mai Hospital, Hanoi, Vietnam; AH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Sohn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*, JL Ross* and B Petersen, TREAT Asia, amfAR - The Foundation for AIDS Research, Bangkok, Thailand; MG Law*, A </w:t>
      </w:r>
      <w:proofErr w:type="spellStart"/>
      <w:r w:rsidR="007103DC" w:rsidRPr="00171F1C">
        <w:rPr>
          <w:rFonts w:ascii="Calibri" w:eastAsia="Times New Roman" w:hAnsi="Calibri" w:cs="Arial"/>
          <w:szCs w:val="24"/>
          <w:lang w:val="en-US"/>
        </w:rPr>
        <w:t>Jiamsakul</w:t>
      </w:r>
      <w:proofErr w:type="spellEnd"/>
      <w:r w:rsidR="007103DC" w:rsidRPr="00171F1C">
        <w:rPr>
          <w:rFonts w:ascii="Calibri" w:eastAsia="Times New Roman" w:hAnsi="Calibri" w:cs="Arial"/>
          <w:szCs w:val="24"/>
          <w:lang w:val="en-US"/>
        </w:rPr>
        <w:t xml:space="preserve">* and DC Boettiger, The Kirby Institute, UNSW Australia, Sydney, Australia. </w:t>
      </w:r>
    </w:p>
    <w:p w14:paraId="65A93C37" w14:textId="77777777" w:rsidR="007103DC" w:rsidRPr="00171F1C" w:rsidRDefault="007103DC" w:rsidP="007103DC">
      <w:pPr>
        <w:spacing w:after="0" w:line="360" w:lineRule="auto"/>
        <w:jc w:val="both"/>
        <w:rPr>
          <w:rFonts w:ascii="Calibri" w:eastAsia="Times New Roman" w:hAnsi="Calibri" w:cs="Arial"/>
          <w:szCs w:val="24"/>
          <w:lang w:val="en-US"/>
        </w:rPr>
      </w:pPr>
      <w:r w:rsidRPr="00171F1C">
        <w:rPr>
          <w:rFonts w:ascii="Calibri" w:eastAsia="Times New Roman" w:hAnsi="Calibri" w:cs="Arial"/>
          <w:szCs w:val="24"/>
          <w:lang w:val="en-US"/>
        </w:rPr>
        <w:t>* TAHOD Steering Committee member; † Steering Committee Chair; ‡ co-Chair.</w:t>
      </w:r>
    </w:p>
    <w:p w14:paraId="2878005E" w14:textId="1F782E06" w:rsidR="007103DC" w:rsidRDefault="00C01579" w:rsidP="007103DC">
      <w:pPr>
        <w:spacing w:before="120" w:after="0" w:line="360" w:lineRule="auto"/>
        <w:rPr>
          <w:rFonts w:ascii="Calibri" w:eastAsia="Times New Roman" w:hAnsi="Calibri" w:cs="Arial"/>
          <w:b/>
          <w:szCs w:val="24"/>
          <w:lang w:val="en-US"/>
        </w:rPr>
      </w:pPr>
      <w:proofErr w:type="spellStart"/>
      <w:r>
        <w:rPr>
          <w:rFonts w:ascii="Calibri" w:eastAsia="Times New Roman" w:hAnsi="Calibri" w:cs="Arial"/>
          <w:b/>
          <w:szCs w:val="24"/>
          <w:lang w:val="en-US"/>
        </w:rPr>
        <w:t>IeDEA</w:t>
      </w:r>
      <w:proofErr w:type="spellEnd"/>
      <w:r>
        <w:rPr>
          <w:rFonts w:ascii="Calibri" w:eastAsia="Times New Roman" w:hAnsi="Calibri" w:cs="Arial"/>
          <w:b/>
          <w:szCs w:val="24"/>
          <w:lang w:val="en-US"/>
        </w:rPr>
        <w:t xml:space="preserve"> Asia-Pacific </w:t>
      </w:r>
      <w:r w:rsidR="007103DC" w:rsidRPr="007D4D97">
        <w:rPr>
          <w:rFonts w:ascii="Calibri" w:eastAsia="Times New Roman" w:hAnsi="Calibri" w:cs="Arial"/>
          <w:b/>
          <w:szCs w:val="24"/>
          <w:lang w:val="en-US"/>
        </w:rPr>
        <w:t xml:space="preserve">AHOD study members: </w:t>
      </w:r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New South Wales: D Ellis, Coffs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Harbour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 Medical Centre, Coffs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Harbour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; M Bloch, S Agrawal, T Vincent,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Holdsworth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 House Medical Practice, Sydney; D Allen, Holden Street Clinic, Gosford; D Smith, A Rankin, Lismore Sexual Health &amp; AIDS Services, Lismore; D Baker*, East Sydney Doctors, Surry Hills; DJ Templeton*, CC O’Connor, O Thackeray, RPA Sexual Health,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Camperdown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; E Jackson, K McCallum, Blue Mountains Sexual Health and HIV Clinic,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Katoomba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; N Ryder, G Sweeney, Clinic 468, HNE Sexual Health, Tamworth; D Cooper, A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Carr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K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Macrae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K Hesse, St Vincent’s Hospital, Darlinghurst; R Finlayson, S Gupta, Taylor Square Private Clinic, Darlinghurst; J Langton-Lockton, J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Shakeshaft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Nepean Sexual Health and HIV Clinic,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Penrith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; K Brown, S Idle, N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Arvela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Illawarra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 Sexual Health Service,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Warrawong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; R Varma, H Lu, Sydney Sexual Health Centre, Sydney; D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Couldwell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S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Eswarappa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Western Sydney Sexual Health Clinic; DE Smith*, V Furner, D Smith, G Cabrera, Albion Street Centre; S Fernando, Clinic 16 – Royal North Shore Hospital; A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Cogle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*, National Association of People living with HIV/AIDS; C Lawrence*, National Aboriginal </w:t>
      </w:r>
      <w:r w:rsidR="007103DC" w:rsidRPr="007D4D97">
        <w:rPr>
          <w:rFonts w:ascii="Calibri" w:eastAsia="Times New Roman" w:hAnsi="Calibri" w:cs="Arial"/>
          <w:szCs w:val="24"/>
          <w:lang w:val="en-US"/>
        </w:rPr>
        <w:lastRenderedPageBreak/>
        <w:t xml:space="preserve">Community Controlled Health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Organisation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; B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Mulhall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*, Department of Public Health and Community Medicine, University of Sydney; M Boyd*, University of Adelaide; M Law*, K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Petoumenos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*, R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Puhr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*, R Huang*, A Han*, The Kirby Institute, University of NSW. Northern Territory: M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Gunathilake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R Payne, Communicable Disease Centre, Darwin. Queensland: M O’Sullivan, A Croydon, Gold Coast Sexual Health Clinic, Miami; D Russell, C Cashman, C Roberts, Cairns Sexual Health Service, Cairns; D Sowden, K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Taing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P Marshall, Clinic 87, Sunshine Coast-Wide Bay Health Service District,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Nambour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; D Orth, D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Youds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Gladstone Road Medical Centre,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Highgate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 Hill; D Rowling, N Latch, E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Warzywoda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Sexual Health and HIV Service in Metro North, Brisbane; B Dickson*,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CaraData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. South Australia: W Donohue, O’Brien Street General Practice, Adelaide. Victoria: R Moore, S Edwards, S Boyd, Northside Clinic, North Fitzroy; NJ Roth*, H Lau,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Prahran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 Market Clinic, South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Yarra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; T Read, J Silvers*, W Zeng, Melbourne Sexual Health Centre, Melbourne; J Hoy*, K Watson*, M Bryant, S Price, </w:t>
      </w:r>
      <w:proofErr w:type="gramStart"/>
      <w:r w:rsidR="007103DC" w:rsidRPr="007D4D97">
        <w:rPr>
          <w:rFonts w:ascii="Calibri" w:eastAsia="Times New Roman" w:hAnsi="Calibri" w:cs="Arial"/>
          <w:szCs w:val="24"/>
          <w:lang w:val="en-US"/>
        </w:rPr>
        <w:t>The</w:t>
      </w:r>
      <w:proofErr w:type="gram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 Alfred Hospital, Melbourne; I Woolley, M Giles*, T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Korman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J Williams*, Monash Medical Centre, Clayton. Western Australia: D Nolan, </w:t>
      </w:r>
      <w:proofErr w:type="gramStart"/>
      <w:r w:rsidR="007103DC" w:rsidRPr="007D4D97">
        <w:rPr>
          <w:rFonts w:ascii="Calibri" w:eastAsia="Times New Roman" w:hAnsi="Calibri" w:cs="Arial"/>
          <w:szCs w:val="24"/>
          <w:lang w:val="en-US"/>
        </w:rPr>
        <w:t>A</w:t>
      </w:r>
      <w:proofErr w:type="gram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 Allen, G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Guelfi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. Department of Clinical Immunology, Royal Perth Hospital, Perth. New Zealand: G Mills, C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Wharry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Waikato District Hospital Hamilton; N Raymond, K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Bargh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, Wellington Hospital, Wellington. </w:t>
      </w:r>
      <w:proofErr w:type="spellStart"/>
      <w:r w:rsidR="007103DC" w:rsidRPr="007D4D97">
        <w:rPr>
          <w:rFonts w:ascii="Calibri" w:eastAsia="Times New Roman" w:hAnsi="Calibri" w:cs="Arial"/>
          <w:szCs w:val="24"/>
          <w:lang w:val="en-US"/>
        </w:rPr>
        <w:t>CoDe</w:t>
      </w:r>
      <w:proofErr w:type="spellEnd"/>
      <w:r w:rsidR="007103DC" w:rsidRPr="007D4D97">
        <w:rPr>
          <w:rFonts w:ascii="Calibri" w:eastAsia="Times New Roman" w:hAnsi="Calibri" w:cs="Arial"/>
          <w:szCs w:val="24"/>
          <w:lang w:val="en-US"/>
        </w:rPr>
        <w:t xml:space="preserve"> reviewers: D Templeton, M Giles, K Brown and J Hoy.</w:t>
      </w:r>
      <w:r w:rsidR="007103DC">
        <w:rPr>
          <w:rFonts w:ascii="Calibri" w:eastAsia="Times New Roman" w:hAnsi="Calibri" w:cs="Arial"/>
          <w:b/>
          <w:szCs w:val="24"/>
          <w:lang w:val="en-US"/>
        </w:rPr>
        <w:t xml:space="preserve"> </w:t>
      </w:r>
    </w:p>
    <w:p w14:paraId="1EB2EFB1" w14:textId="77777777" w:rsidR="007103DC" w:rsidRPr="007D4D97" w:rsidRDefault="007103DC" w:rsidP="007103DC">
      <w:pPr>
        <w:spacing w:before="120" w:after="0" w:line="360" w:lineRule="auto"/>
        <w:rPr>
          <w:rFonts w:cstheme="minorHAnsi"/>
          <w:bCs/>
          <w:color w:val="000000"/>
          <w:sz w:val="20"/>
          <w:lang w:val="en-US"/>
        </w:rPr>
      </w:pPr>
      <w:r w:rsidRPr="007D4D97">
        <w:rPr>
          <w:rFonts w:ascii="Calibri" w:eastAsia="Times New Roman" w:hAnsi="Calibri" w:cs="Arial"/>
          <w:szCs w:val="24"/>
          <w:lang w:val="en-US"/>
        </w:rPr>
        <w:t>* AHOD Steering Committee member</w:t>
      </w:r>
    </w:p>
    <w:p w14:paraId="6ABB7CD3" w14:textId="77777777" w:rsidR="00027F65" w:rsidRDefault="00027F65" w:rsidP="00027F65">
      <w:pPr>
        <w:spacing w:before="120" w:after="60" w:line="480" w:lineRule="auto"/>
        <w:rPr>
          <w:lang w:val="en-US"/>
        </w:rPr>
      </w:pPr>
    </w:p>
    <w:p w14:paraId="3AECCBEC" w14:textId="77777777" w:rsidR="00027F65" w:rsidRDefault="00027F65" w:rsidP="00521E7B">
      <w:pPr>
        <w:spacing w:before="120" w:after="60" w:line="480" w:lineRule="auto"/>
        <w:rPr>
          <w:lang w:val="en-US"/>
        </w:rPr>
      </w:pPr>
    </w:p>
    <w:p w14:paraId="6842AAC6" w14:textId="5C69DCDB" w:rsidR="005005E2" w:rsidRDefault="005005E2">
      <w:pPr>
        <w:rPr>
          <w:rFonts w:cstheme="minorHAnsi"/>
          <w:b/>
          <w:bCs/>
          <w:color w:val="000000"/>
          <w:lang w:val="en-US"/>
        </w:rPr>
      </w:pPr>
    </w:p>
    <w:sectPr w:rsidR="005005E2" w:rsidSect="004012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066C6" w14:textId="77777777" w:rsidR="00F66597" w:rsidRDefault="00F66597" w:rsidP="00827375">
      <w:pPr>
        <w:spacing w:after="0" w:line="240" w:lineRule="auto"/>
      </w:pPr>
      <w:r>
        <w:separator/>
      </w:r>
    </w:p>
  </w:endnote>
  <w:endnote w:type="continuationSeparator" w:id="0">
    <w:p w14:paraId="71465057" w14:textId="77777777" w:rsidR="00F66597" w:rsidRDefault="00F66597" w:rsidP="0082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158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7D91A" w14:textId="6E7AD42B" w:rsidR="0053403D" w:rsidRDefault="005340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B9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7DADB77" w14:textId="77777777" w:rsidR="0053403D" w:rsidRDefault="00534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E6946" w14:textId="77777777" w:rsidR="00F66597" w:rsidRDefault="00F66597" w:rsidP="00827375">
      <w:pPr>
        <w:spacing w:after="0" w:line="240" w:lineRule="auto"/>
      </w:pPr>
      <w:r>
        <w:separator/>
      </w:r>
    </w:p>
  </w:footnote>
  <w:footnote w:type="continuationSeparator" w:id="0">
    <w:p w14:paraId="12AB4FA4" w14:textId="77777777" w:rsidR="00F66597" w:rsidRDefault="00F66597" w:rsidP="0082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C29"/>
    <w:multiLevelType w:val="hybridMultilevel"/>
    <w:tmpl w:val="4B0A30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27C2C"/>
    <w:multiLevelType w:val="hybridMultilevel"/>
    <w:tmpl w:val="ECAC33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C66"/>
    <w:multiLevelType w:val="hybridMultilevel"/>
    <w:tmpl w:val="872C037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62C47"/>
    <w:multiLevelType w:val="hybridMultilevel"/>
    <w:tmpl w:val="924858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0D6C0A"/>
    <w:multiLevelType w:val="hybridMultilevel"/>
    <w:tmpl w:val="1CB47F1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B2"/>
    <w:rsid w:val="00003863"/>
    <w:rsid w:val="00027F65"/>
    <w:rsid w:val="00031A91"/>
    <w:rsid w:val="000476B2"/>
    <w:rsid w:val="00062ABF"/>
    <w:rsid w:val="000647AC"/>
    <w:rsid w:val="00094921"/>
    <w:rsid w:val="000A51F1"/>
    <w:rsid w:val="000C64D0"/>
    <w:rsid w:val="000D10E0"/>
    <w:rsid w:val="000E6B0A"/>
    <w:rsid w:val="00163CBE"/>
    <w:rsid w:val="00173EE5"/>
    <w:rsid w:val="001951D5"/>
    <w:rsid w:val="001967E0"/>
    <w:rsid w:val="001A16E2"/>
    <w:rsid w:val="001B1DFE"/>
    <w:rsid w:val="001C50F7"/>
    <w:rsid w:val="00211B36"/>
    <w:rsid w:val="00237CF4"/>
    <w:rsid w:val="00251B81"/>
    <w:rsid w:val="00254553"/>
    <w:rsid w:val="00254F35"/>
    <w:rsid w:val="00260054"/>
    <w:rsid w:val="002926D6"/>
    <w:rsid w:val="002C1374"/>
    <w:rsid w:val="002D6D43"/>
    <w:rsid w:val="0030290A"/>
    <w:rsid w:val="00302CB3"/>
    <w:rsid w:val="003058CF"/>
    <w:rsid w:val="00313768"/>
    <w:rsid w:val="0033224A"/>
    <w:rsid w:val="00332D21"/>
    <w:rsid w:val="00332D93"/>
    <w:rsid w:val="00363B3C"/>
    <w:rsid w:val="003642FB"/>
    <w:rsid w:val="003647FC"/>
    <w:rsid w:val="003860EA"/>
    <w:rsid w:val="003A3FA0"/>
    <w:rsid w:val="003A660C"/>
    <w:rsid w:val="003B5956"/>
    <w:rsid w:val="00401291"/>
    <w:rsid w:val="004144D1"/>
    <w:rsid w:val="00420B50"/>
    <w:rsid w:val="00427607"/>
    <w:rsid w:val="00451C99"/>
    <w:rsid w:val="004548BE"/>
    <w:rsid w:val="00462B1E"/>
    <w:rsid w:val="00473CC5"/>
    <w:rsid w:val="00482D16"/>
    <w:rsid w:val="00483738"/>
    <w:rsid w:val="00494F94"/>
    <w:rsid w:val="004B75CB"/>
    <w:rsid w:val="004C44F0"/>
    <w:rsid w:val="004C4FB1"/>
    <w:rsid w:val="004D3578"/>
    <w:rsid w:val="005005E2"/>
    <w:rsid w:val="00502EC4"/>
    <w:rsid w:val="005168D3"/>
    <w:rsid w:val="00521E7B"/>
    <w:rsid w:val="005263FD"/>
    <w:rsid w:val="0053403D"/>
    <w:rsid w:val="00537845"/>
    <w:rsid w:val="005459E7"/>
    <w:rsid w:val="005643B6"/>
    <w:rsid w:val="0059170A"/>
    <w:rsid w:val="005917FA"/>
    <w:rsid w:val="005D3D6A"/>
    <w:rsid w:val="005D7A84"/>
    <w:rsid w:val="005E5900"/>
    <w:rsid w:val="006009E6"/>
    <w:rsid w:val="00630C63"/>
    <w:rsid w:val="00637FF9"/>
    <w:rsid w:val="00640441"/>
    <w:rsid w:val="00644E4C"/>
    <w:rsid w:val="00655B6D"/>
    <w:rsid w:val="00676CC2"/>
    <w:rsid w:val="00691B3B"/>
    <w:rsid w:val="0069785F"/>
    <w:rsid w:val="006D0C88"/>
    <w:rsid w:val="006F0FC0"/>
    <w:rsid w:val="006F7FFA"/>
    <w:rsid w:val="007047B2"/>
    <w:rsid w:val="007103DC"/>
    <w:rsid w:val="007164F7"/>
    <w:rsid w:val="00732AF1"/>
    <w:rsid w:val="00735987"/>
    <w:rsid w:val="00760DD9"/>
    <w:rsid w:val="007A098C"/>
    <w:rsid w:val="007B627B"/>
    <w:rsid w:val="007C687B"/>
    <w:rsid w:val="007D193B"/>
    <w:rsid w:val="007D64F4"/>
    <w:rsid w:val="007E74A1"/>
    <w:rsid w:val="008163A0"/>
    <w:rsid w:val="00817B90"/>
    <w:rsid w:val="00827375"/>
    <w:rsid w:val="00836642"/>
    <w:rsid w:val="0084536E"/>
    <w:rsid w:val="00853CE3"/>
    <w:rsid w:val="00873835"/>
    <w:rsid w:val="008D4E55"/>
    <w:rsid w:val="008E2E76"/>
    <w:rsid w:val="008E5554"/>
    <w:rsid w:val="008F3F32"/>
    <w:rsid w:val="009049CE"/>
    <w:rsid w:val="00920D00"/>
    <w:rsid w:val="0092125C"/>
    <w:rsid w:val="00925D61"/>
    <w:rsid w:val="00995EB6"/>
    <w:rsid w:val="00996C11"/>
    <w:rsid w:val="009A0BA1"/>
    <w:rsid w:val="009A354D"/>
    <w:rsid w:val="00A12C7C"/>
    <w:rsid w:val="00A13DA2"/>
    <w:rsid w:val="00A1794B"/>
    <w:rsid w:val="00A208EF"/>
    <w:rsid w:val="00A27C2E"/>
    <w:rsid w:val="00A309FE"/>
    <w:rsid w:val="00A30E0C"/>
    <w:rsid w:val="00A36F8F"/>
    <w:rsid w:val="00A52766"/>
    <w:rsid w:val="00A76AAD"/>
    <w:rsid w:val="00A82B7A"/>
    <w:rsid w:val="00A90F4A"/>
    <w:rsid w:val="00A95A3B"/>
    <w:rsid w:val="00AB0567"/>
    <w:rsid w:val="00AB22D5"/>
    <w:rsid w:val="00AC0707"/>
    <w:rsid w:val="00AC4CE8"/>
    <w:rsid w:val="00AD115C"/>
    <w:rsid w:val="00AE0337"/>
    <w:rsid w:val="00AF04C7"/>
    <w:rsid w:val="00AF3D1D"/>
    <w:rsid w:val="00B23733"/>
    <w:rsid w:val="00B76B5F"/>
    <w:rsid w:val="00B914EC"/>
    <w:rsid w:val="00BB104F"/>
    <w:rsid w:val="00BC382A"/>
    <w:rsid w:val="00BD02D8"/>
    <w:rsid w:val="00BE1C0E"/>
    <w:rsid w:val="00C01579"/>
    <w:rsid w:val="00C03376"/>
    <w:rsid w:val="00C03D09"/>
    <w:rsid w:val="00C0716B"/>
    <w:rsid w:val="00C22FE2"/>
    <w:rsid w:val="00C26D45"/>
    <w:rsid w:val="00C358E7"/>
    <w:rsid w:val="00C45617"/>
    <w:rsid w:val="00C46602"/>
    <w:rsid w:val="00C56D73"/>
    <w:rsid w:val="00C653A6"/>
    <w:rsid w:val="00CA1544"/>
    <w:rsid w:val="00CA347F"/>
    <w:rsid w:val="00CA72DE"/>
    <w:rsid w:val="00CB2140"/>
    <w:rsid w:val="00CB7995"/>
    <w:rsid w:val="00CC069F"/>
    <w:rsid w:val="00D12A19"/>
    <w:rsid w:val="00D13CC7"/>
    <w:rsid w:val="00D22971"/>
    <w:rsid w:val="00D31BE0"/>
    <w:rsid w:val="00D53D86"/>
    <w:rsid w:val="00DC7E55"/>
    <w:rsid w:val="00DE383F"/>
    <w:rsid w:val="00DF68C2"/>
    <w:rsid w:val="00E060AD"/>
    <w:rsid w:val="00E10654"/>
    <w:rsid w:val="00E1658B"/>
    <w:rsid w:val="00E378EE"/>
    <w:rsid w:val="00E407A9"/>
    <w:rsid w:val="00E42510"/>
    <w:rsid w:val="00E46075"/>
    <w:rsid w:val="00E52FC9"/>
    <w:rsid w:val="00E71581"/>
    <w:rsid w:val="00E827CF"/>
    <w:rsid w:val="00EA4C13"/>
    <w:rsid w:val="00EB3D75"/>
    <w:rsid w:val="00EC2047"/>
    <w:rsid w:val="00ED01BE"/>
    <w:rsid w:val="00ED0F20"/>
    <w:rsid w:val="00EF1B3B"/>
    <w:rsid w:val="00F05FFF"/>
    <w:rsid w:val="00F07211"/>
    <w:rsid w:val="00F20ED7"/>
    <w:rsid w:val="00F23280"/>
    <w:rsid w:val="00F23665"/>
    <w:rsid w:val="00F36BE1"/>
    <w:rsid w:val="00F402B7"/>
    <w:rsid w:val="00F410F5"/>
    <w:rsid w:val="00F41303"/>
    <w:rsid w:val="00F435AD"/>
    <w:rsid w:val="00F5498A"/>
    <w:rsid w:val="00F610B0"/>
    <w:rsid w:val="00F64DA1"/>
    <w:rsid w:val="00F66597"/>
    <w:rsid w:val="00F8019F"/>
    <w:rsid w:val="00F94E2E"/>
    <w:rsid w:val="00FB27A7"/>
    <w:rsid w:val="00FB2E37"/>
    <w:rsid w:val="00FB3079"/>
    <w:rsid w:val="00FB363A"/>
    <w:rsid w:val="00FD0E55"/>
    <w:rsid w:val="00FE5758"/>
    <w:rsid w:val="00FF0C59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07ECE"/>
  <w15:chartTrackingRefBased/>
  <w15:docId w15:val="{97A6FB6E-4BD6-4FE4-AB07-BD8DC627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4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2FB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2FB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F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2FB"/>
    <w:pPr>
      <w:spacing w:after="160"/>
    </w:pPr>
    <w:rPr>
      <w:b/>
      <w:bCs/>
      <w:lang w:val="de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2FB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16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75"/>
  </w:style>
  <w:style w:type="paragraph" w:styleId="Footer">
    <w:name w:val="footer"/>
    <w:basedOn w:val="Normal"/>
    <w:link w:val="FooterChar"/>
    <w:uiPriority w:val="99"/>
    <w:unhideWhenUsed/>
    <w:rsid w:val="0082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65C6-0D63-427A-B859-353765EE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Rohner, Eliane (ISPM)</dc:creator>
  <cp:keywords/>
  <dc:description/>
  <cp:lastModifiedBy>Rohner, Eliane</cp:lastModifiedBy>
  <cp:revision>6</cp:revision>
  <cp:lastPrinted>2016-09-07T13:42:00Z</cp:lastPrinted>
  <dcterms:created xsi:type="dcterms:W3CDTF">2019-02-24T01:41:00Z</dcterms:created>
  <dcterms:modified xsi:type="dcterms:W3CDTF">2019-03-01T22:59:00Z</dcterms:modified>
</cp:coreProperties>
</file>