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CB" w:rsidRPr="00720422" w:rsidRDefault="00174ECB" w:rsidP="00174ECB">
      <w:pPr>
        <w:spacing w:after="120" w:line="240" w:lineRule="auto"/>
        <w:outlineLvl w:val="0"/>
        <w:rPr>
          <w:rFonts w:ascii="Times New Roman" w:hAnsi="Times New Roman" w:cs="Times New Roman"/>
          <w:b/>
          <w:sz w:val="24"/>
        </w:rPr>
      </w:pPr>
      <w:r>
        <w:rPr>
          <w:rFonts w:ascii="Times New Roman" w:hAnsi="Times New Roman" w:cs="Times New Roman"/>
          <w:b/>
          <w:sz w:val="24"/>
        </w:rPr>
        <w:t>Supplemental Tables</w:t>
      </w:r>
    </w:p>
    <w:p w:rsidR="00174ECB" w:rsidRPr="00720422" w:rsidRDefault="00174ECB" w:rsidP="00174ECB">
      <w:pPr>
        <w:spacing w:line="240" w:lineRule="auto"/>
        <w:rPr>
          <w:rFonts w:ascii="Times New Roman" w:hAnsi="Times New Roman" w:cs="Times New Roman"/>
        </w:rPr>
      </w:pPr>
    </w:p>
    <w:p w:rsidR="00174ECB" w:rsidRPr="00720422" w:rsidRDefault="00174ECB" w:rsidP="00174ECB">
      <w:pPr>
        <w:spacing w:after="0" w:line="240" w:lineRule="auto"/>
        <w:contextualSpacing/>
        <w:outlineLvl w:val="1"/>
        <w:rPr>
          <w:rFonts w:ascii="Times New Roman" w:hAnsi="Times New Roman" w:cs="Times New Roman"/>
        </w:rPr>
      </w:pPr>
      <w:r>
        <w:rPr>
          <w:rFonts w:ascii="Times New Roman" w:hAnsi="Times New Roman" w:cs="Times New Roman"/>
        </w:rPr>
        <w:t>Supplemental</w:t>
      </w:r>
      <w:r w:rsidRPr="00720422">
        <w:rPr>
          <w:rFonts w:ascii="Times New Roman" w:hAnsi="Times New Roman" w:cs="Times New Roman"/>
        </w:rPr>
        <w:t xml:space="preserve"> Table 1. </w:t>
      </w:r>
      <w:r w:rsidRPr="00695D2B">
        <w:rPr>
          <w:rFonts w:ascii="Times New Roman" w:hAnsi="Times New Roman" w:cs="Times New Roman"/>
        </w:rPr>
        <w:t>International Classification of Diseases, Ninth Revision, Clinical Modification</w:t>
      </w:r>
      <w:r>
        <w:rPr>
          <w:rFonts w:ascii="Times New Roman" w:hAnsi="Times New Roman" w:cs="Times New Roman"/>
        </w:rPr>
        <w:t xml:space="preserve"> (ICD-9-CM) </w:t>
      </w:r>
      <w:r w:rsidRPr="00720422">
        <w:rPr>
          <w:rFonts w:ascii="Times New Roman" w:hAnsi="Times New Roman" w:cs="Times New Roman"/>
        </w:rPr>
        <w:t xml:space="preserve">Codes for </w:t>
      </w:r>
      <w:r>
        <w:rPr>
          <w:rFonts w:ascii="Times New Roman" w:hAnsi="Times New Roman" w:cs="Times New Roman"/>
        </w:rPr>
        <w:t xml:space="preserve">variables. </w:t>
      </w:r>
    </w:p>
    <w:tbl>
      <w:tblPr>
        <w:tblStyle w:val="PlainTable2"/>
        <w:tblW w:w="10559" w:type="dxa"/>
        <w:tblLook w:val="04A0" w:firstRow="1" w:lastRow="0" w:firstColumn="1" w:lastColumn="0" w:noHBand="0" w:noVBand="1"/>
      </w:tblPr>
      <w:tblGrid>
        <w:gridCol w:w="3240"/>
        <w:gridCol w:w="7319"/>
      </w:tblGrid>
      <w:tr w:rsidR="00174ECB" w:rsidRPr="00720422" w:rsidTr="00A847FE">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240" w:type="dxa"/>
          </w:tcPr>
          <w:p w:rsidR="00174ECB" w:rsidRPr="00720422" w:rsidRDefault="00174ECB" w:rsidP="00A847FE">
            <w:pPr>
              <w:spacing w:after="0"/>
              <w:contextualSpacing/>
              <w:rPr>
                <w:rFonts w:ascii="Times New Roman" w:hAnsi="Times New Roman" w:cs="Times New Roman"/>
                <w:b w:val="0"/>
              </w:rPr>
            </w:pPr>
            <w:r>
              <w:rPr>
                <w:rFonts w:ascii="Times New Roman" w:hAnsi="Times New Roman" w:cs="Times New Roman"/>
                <w:b w:val="0"/>
              </w:rPr>
              <w:t>Variable</w:t>
            </w:r>
          </w:p>
        </w:tc>
        <w:tc>
          <w:tcPr>
            <w:tcW w:w="7319" w:type="dxa"/>
          </w:tcPr>
          <w:p w:rsidR="00174ECB" w:rsidRPr="00720422" w:rsidRDefault="00174ECB" w:rsidP="00A847FE">
            <w:pPr>
              <w:spacing w:after="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0422">
              <w:rPr>
                <w:rFonts w:ascii="Times New Roman" w:hAnsi="Times New Roman" w:cs="Times New Roman"/>
                <w:b w:val="0"/>
              </w:rPr>
              <w:t>ICD-9</w:t>
            </w:r>
            <w:r>
              <w:rPr>
                <w:rFonts w:ascii="Times New Roman" w:hAnsi="Times New Roman" w:cs="Times New Roman"/>
                <w:b w:val="0"/>
              </w:rPr>
              <w:t>-CM</w:t>
            </w:r>
            <w:r w:rsidRPr="00720422">
              <w:rPr>
                <w:rFonts w:ascii="Times New Roman" w:hAnsi="Times New Roman" w:cs="Times New Roman"/>
                <w:b w:val="0"/>
              </w:rPr>
              <w:t xml:space="preserve"> Code</w:t>
            </w:r>
            <w:r>
              <w:rPr>
                <w:rFonts w:ascii="Times New Roman" w:hAnsi="Times New Roman" w:cs="Times New Roman"/>
                <w:b w:val="0"/>
              </w:rPr>
              <w:t>s</w:t>
            </w:r>
          </w:p>
        </w:tc>
      </w:tr>
      <w:tr w:rsidR="00174ECB" w:rsidRPr="00720422" w:rsidTr="00A847F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240" w:type="dxa"/>
          </w:tcPr>
          <w:p w:rsidR="00174ECB" w:rsidRPr="00695D2B" w:rsidRDefault="00174ECB" w:rsidP="00A847FE">
            <w:pPr>
              <w:spacing w:after="0"/>
              <w:contextualSpacing/>
              <w:rPr>
                <w:rFonts w:ascii="Times New Roman" w:hAnsi="Times New Roman" w:cs="Times New Roman"/>
                <w:i/>
              </w:rPr>
            </w:pPr>
            <w:r w:rsidRPr="00695D2B">
              <w:rPr>
                <w:rFonts w:ascii="Times New Roman" w:hAnsi="Times New Roman" w:cs="Times New Roman"/>
                <w:i/>
              </w:rPr>
              <w:t>Explicit Code Severe Sepsis/Septic Shock</w:t>
            </w:r>
          </w:p>
        </w:tc>
        <w:tc>
          <w:tcPr>
            <w:tcW w:w="7319" w:type="dxa"/>
          </w:tcPr>
          <w:p w:rsidR="00174ECB" w:rsidRPr="00720422"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995.92, </w:t>
            </w:r>
            <w:r w:rsidRPr="000B3F99">
              <w:rPr>
                <w:rFonts w:ascii="Times New Roman" w:hAnsi="Times New Roman" w:cs="Times New Roman"/>
              </w:rPr>
              <w:t>785.52</w:t>
            </w:r>
          </w:p>
        </w:tc>
      </w:tr>
      <w:tr w:rsidR="00174ECB" w:rsidRPr="00720422" w:rsidTr="00A847FE">
        <w:trPr>
          <w:trHeight w:val="829"/>
        </w:trPr>
        <w:tc>
          <w:tcPr>
            <w:cnfStyle w:val="001000000000" w:firstRow="0" w:lastRow="0" w:firstColumn="1" w:lastColumn="0" w:oddVBand="0" w:evenVBand="0" w:oddHBand="0" w:evenHBand="0" w:firstRowFirstColumn="0" w:firstRowLastColumn="0" w:lastRowFirstColumn="0" w:lastRowLastColumn="0"/>
            <w:tcW w:w="3240" w:type="dxa"/>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Urinary Tract Infections</w:t>
            </w:r>
          </w:p>
        </w:tc>
        <w:tc>
          <w:tcPr>
            <w:tcW w:w="7319" w:type="dxa"/>
          </w:tcPr>
          <w:p w:rsidR="00174ECB" w:rsidRPr="00720422"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0422">
              <w:rPr>
                <w:rFonts w:ascii="Times New Roman" w:hAnsi="Times New Roman" w:cs="Times New Roman"/>
              </w:rPr>
              <w:t>590.00, 590.01, 590.10, 590.11, 590.2, 590.3, 590.80, 590.81, 590.9, 595.0, 595.2, 595.3, 595.4, 595.89, 595.9, 597.0,597.80, 597.89, 598.00, 598.01, 599.0, 996.64 [</w:t>
            </w:r>
            <w:r>
              <w:rPr>
                <w:rFonts w:ascii="Times New Roman" w:hAnsi="Times New Roman" w:cs="Times New Roman"/>
              </w:rPr>
              <w:t>8</w:t>
            </w:r>
            <w:r w:rsidRPr="00720422">
              <w:rPr>
                <w:rFonts w:ascii="Times New Roman" w:hAnsi="Times New Roman" w:cs="Times New Roman"/>
              </w:rPr>
              <w:t>]</w:t>
            </w:r>
          </w:p>
        </w:tc>
      </w:tr>
      <w:tr w:rsidR="00174ECB" w:rsidRPr="00720422" w:rsidTr="00A847F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240" w:type="dxa"/>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Pulmonary Infections</w:t>
            </w:r>
          </w:p>
        </w:tc>
        <w:tc>
          <w:tcPr>
            <w:tcW w:w="7319" w:type="dxa"/>
          </w:tcPr>
          <w:p w:rsidR="00174ECB" w:rsidRPr="00720422"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0422">
              <w:rPr>
                <w:rFonts w:ascii="Times New Roman" w:hAnsi="Times New Roman" w:cs="Times New Roman"/>
              </w:rPr>
              <w:t>480.0–480.9, 481, 482.0–482.9, 483.0–483.8, 484.1–484.8, 485, 486, 487.0, 510.9, 513.0, 997.31, 415.12 [</w:t>
            </w:r>
            <w:r>
              <w:rPr>
                <w:rFonts w:ascii="Times New Roman" w:hAnsi="Times New Roman" w:cs="Times New Roman"/>
              </w:rPr>
              <w:t>8</w:t>
            </w:r>
            <w:r w:rsidRPr="00720422">
              <w:rPr>
                <w:rFonts w:ascii="Times New Roman" w:hAnsi="Times New Roman" w:cs="Times New Roman"/>
              </w:rPr>
              <w:t>]</w:t>
            </w:r>
          </w:p>
        </w:tc>
      </w:tr>
      <w:tr w:rsidR="00174ECB" w:rsidRPr="00720422" w:rsidTr="00A847FE">
        <w:trPr>
          <w:trHeight w:val="494"/>
        </w:trPr>
        <w:tc>
          <w:tcPr>
            <w:cnfStyle w:val="001000000000" w:firstRow="0" w:lastRow="0" w:firstColumn="1" w:lastColumn="0" w:oddVBand="0" w:evenVBand="0" w:oddHBand="0" w:evenHBand="0" w:firstRowFirstColumn="0" w:firstRowLastColumn="0" w:lastRowFirstColumn="0" w:lastRowLastColumn="0"/>
            <w:tcW w:w="3240" w:type="dxa"/>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Skin Soft Tissue Infections</w:t>
            </w:r>
          </w:p>
        </w:tc>
        <w:tc>
          <w:tcPr>
            <w:tcW w:w="7319" w:type="dxa"/>
          </w:tcPr>
          <w:p w:rsidR="00174ECB" w:rsidRPr="00720422"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0422">
              <w:rPr>
                <w:rFonts w:ascii="Times New Roman" w:hAnsi="Times New Roman" w:cs="Times New Roman"/>
              </w:rPr>
              <w:t>566, 680, 681, 682, 683, 684, 685,686, 707, 728.6, 785.4, 958.3, 996.62, 997.62, 998.5[</w:t>
            </w:r>
            <w:r>
              <w:rPr>
                <w:rFonts w:ascii="Times New Roman" w:hAnsi="Times New Roman" w:cs="Times New Roman"/>
              </w:rPr>
              <w:t>9</w:t>
            </w:r>
            <w:r w:rsidRPr="00720422">
              <w:rPr>
                <w:rFonts w:ascii="Times New Roman" w:hAnsi="Times New Roman" w:cs="Times New Roman"/>
              </w:rPr>
              <w:t>]</w:t>
            </w:r>
          </w:p>
        </w:tc>
      </w:tr>
      <w:tr w:rsidR="00174ECB" w:rsidRPr="00720422" w:rsidTr="00A847FE">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3240" w:type="dxa"/>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Intra-abdominal Infections</w:t>
            </w:r>
          </w:p>
        </w:tc>
        <w:tc>
          <w:tcPr>
            <w:tcW w:w="7319" w:type="dxa"/>
          </w:tcPr>
          <w:p w:rsidR="00174ECB" w:rsidRPr="00720422"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0422">
              <w:rPr>
                <w:rFonts w:ascii="Times New Roman" w:hAnsi="Times New Roman" w:cs="Times New Roman"/>
              </w:rPr>
              <w:t>008.45, 009.0–009.3, 540.0–540.9, 541, 542, 543.9, 562.01, 562.03, 562.11, 562.13, 567.0–567.9, 569.5, 569.61, 569.71, 569.83, 572.0–572.8, 574.00–574.91, 575.0–575.9, 576.0–576.9, 614.0–614.9 [</w:t>
            </w:r>
            <w:r>
              <w:rPr>
                <w:rFonts w:ascii="Times New Roman" w:hAnsi="Times New Roman" w:cs="Times New Roman"/>
              </w:rPr>
              <w:t>8</w:t>
            </w:r>
            <w:r w:rsidRPr="00720422">
              <w:rPr>
                <w:rFonts w:ascii="Times New Roman" w:hAnsi="Times New Roman" w:cs="Times New Roman"/>
              </w:rPr>
              <w:t>]</w:t>
            </w:r>
          </w:p>
          <w:p w:rsidR="00174ECB" w:rsidRPr="00720422"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0422">
              <w:rPr>
                <w:rFonts w:ascii="Times New Roman" w:hAnsi="Times New Roman" w:cs="Times New Roman"/>
              </w:rPr>
              <w:t>and  008.8, 003.0</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Do Not Resuscitate Status </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V4986</w:t>
            </w:r>
          </w:p>
        </w:tc>
      </w:tr>
      <w:tr w:rsidR="00174ECB" w:rsidRPr="00695D2B"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tcPr>
          <w:p w:rsidR="00174ECB" w:rsidRPr="00695D2B" w:rsidRDefault="00174ECB" w:rsidP="00A847FE">
            <w:pPr>
              <w:spacing w:after="0"/>
              <w:contextualSpacing/>
              <w:rPr>
                <w:rFonts w:ascii="Times New Roman" w:hAnsi="Times New Roman" w:cs="Times New Roman"/>
                <w:i/>
              </w:rPr>
            </w:pPr>
            <w:r w:rsidRPr="00695D2B">
              <w:rPr>
                <w:rFonts w:ascii="Times New Roman" w:hAnsi="Times New Roman" w:cs="Times New Roman"/>
                <w:i/>
              </w:rPr>
              <w:t>Organ Dysfunctions</w:t>
            </w:r>
          </w:p>
        </w:tc>
        <w:tc>
          <w:tcPr>
            <w:tcW w:w="7319" w:type="dxa"/>
          </w:tcPr>
          <w:p w:rsidR="00174ECB" w:rsidRPr="00695D2B"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Shock</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785.5, 785.52</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Continuous invasive mechanical ventilation </w:t>
            </w:r>
          </w:p>
        </w:tc>
        <w:tc>
          <w:tcPr>
            <w:tcW w:w="7319" w:type="dxa"/>
          </w:tcPr>
          <w:p w:rsidR="00174ECB" w:rsidRPr="000B3F99"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96.7</w:t>
            </w:r>
            <w:r>
              <w:rPr>
                <w:rFonts w:ascii="Times New Roman" w:hAnsi="Times New Roman" w:cs="Times New Roman"/>
              </w:rPr>
              <w:t xml:space="preserve"> (Procedure code)</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proofErr w:type="spellStart"/>
            <w:r w:rsidRPr="00695D2B">
              <w:rPr>
                <w:rFonts w:ascii="Times New Roman" w:hAnsi="Times New Roman" w:cs="Times New Roman"/>
                <w:b w:val="0"/>
              </w:rPr>
              <w:t>Defibrination</w:t>
            </w:r>
            <w:proofErr w:type="spellEnd"/>
            <w:r w:rsidRPr="00695D2B">
              <w:rPr>
                <w:rFonts w:ascii="Times New Roman" w:hAnsi="Times New Roman" w:cs="Times New Roman"/>
                <w:b w:val="0"/>
              </w:rPr>
              <w:t xml:space="preserve"> syndrome </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286.6</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proofErr w:type="spellStart"/>
            <w:r w:rsidRPr="00695D2B">
              <w:rPr>
                <w:rFonts w:ascii="Times New Roman" w:hAnsi="Times New Roman" w:cs="Times New Roman"/>
                <w:b w:val="0"/>
              </w:rPr>
              <w:t>Coagulat</w:t>
            </w:r>
            <w:proofErr w:type="spellEnd"/>
            <w:r w:rsidRPr="00695D2B">
              <w:rPr>
                <w:rFonts w:ascii="Times New Roman" w:hAnsi="Times New Roman" w:cs="Times New Roman"/>
                <w:b w:val="0"/>
              </w:rPr>
              <w:t xml:space="preserve"> defect </w:t>
            </w:r>
          </w:p>
        </w:tc>
        <w:tc>
          <w:tcPr>
            <w:tcW w:w="7319" w:type="dxa"/>
          </w:tcPr>
          <w:p w:rsidR="00174ECB" w:rsidRPr="000B3F99"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286.9</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proofErr w:type="spellStart"/>
            <w:r w:rsidRPr="00695D2B">
              <w:rPr>
                <w:rFonts w:ascii="Times New Roman" w:hAnsi="Times New Roman" w:cs="Times New Roman"/>
                <w:b w:val="0"/>
              </w:rPr>
              <w:t>Thromboycytopenia</w:t>
            </w:r>
            <w:proofErr w:type="spellEnd"/>
            <w:r w:rsidRPr="00695D2B">
              <w:rPr>
                <w:rFonts w:ascii="Times New Roman" w:hAnsi="Times New Roman" w:cs="Times New Roman"/>
                <w:b w:val="0"/>
              </w:rPr>
              <w:t xml:space="preserve"> (or secondary thrombocytopenia)</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287.4, 287.5</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Transient mental disorders </w:t>
            </w:r>
          </w:p>
        </w:tc>
        <w:tc>
          <w:tcPr>
            <w:tcW w:w="7319" w:type="dxa"/>
          </w:tcPr>
          <w:p w:rsidR="00174ECB" w:rsidRPr="000B3F99"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293</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Anoxic brain damage </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348.1</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Encephalopathy</w:t>
            </w:r>
          </w:p>
        </w:tc>
        <w:tc>
          <w:tcPr>
            <w:tcW w:w="7319" w:type="dxa"/>
          </w:tcPr>
          <w:p w:rsidR="00174ECB" w:rsidRPr="000B3F99"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348.3</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Hypotension </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458</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Acute and subacute necrosis of liver or Hepatic infarction</w:t>
            </w:r>
          </w:p>
        </w:tc>
        <w:tc>
          <w:tcPr>
            <w:tcW w:w="7319" w:type="dxa"/>
          </w:tcPr>
          <w:p w:rsidR="00174ECB" w:rsidRPr="000B3F99" w:rsidRDefault="00174ECB" w:rsidP="00A847FE">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570 or 573.4</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spacing w:after="0"/>
              <w:contextualSpacing/>
              <w:rPr>
                <w:rFonts w:ascii="Times New Roman" w:hAnsi="Times New Roman" w:cs="Times New Roman"/>
                <w:b w:val="0"/>
              </w:rPr>
            </w:pPr>
            <w:r w:rsidRPr="00695D2B">
              <w:rPr>
                <w:rFonts w:ascii="Times New Roman" w:hAnsi="Times New Roman" w:cs="Times New Roman"/>
                <w:b w:val="0"/>
              </w:rPr>
              <w:t xml:space="preserve">Acute kidney failure </w:t>
            </w:r>
          </w:p>
        </w:tc>
        <w:tc>
          <w:tcPr>
            <w:tcW w:w="7319" w:type="dxa"/>
          </w:tcPr>
          <w:p w:rsidR="00174ECB" w:rsidRPr="000B3F99" w:rsidRDefault="00174ECB" w:rsidP="00A847F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584</w:t>
            </w:r>
          </w:p>
        </w:tc>
      </w:tr>
      <w:tr w:rsidR="00174ECB" w:rsidRPr="000B3F99" w:rsidTr="00A847F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240" w:type="dxa"/>
            <w:noWrap/>
            <w:hideMark/>
          </w:tcPr>
          <w:p w:rsidR="00174ECB" w:rsidRPr="00695D2B" w:rsidRDefault="00174ECB" w:rsidP="00A847FE">
            <w:pPr>
              <w:rPr>
                <w:rFonts w:ascii="Times New Roman" w:hAnsi="Times New Roman" w:cs="Times New Roman"/>
                <w:b w:val="0"/>
              </w:rPr>
            </w:pPr>
            <w:r w:rsidRPr="00695D2B">
              <w:rPr>
                <w:rFonts w:ascii="Times New Roman" w:hAnsi="Times New Roman" w:cs="Times New Roman"/>
                <w:b w:val="0"/>
              </w:rPr>
              <w:t xml:space="preserve">Shock without mention of trauma </w:t>
            </w:r>
          </w:p>
        </w:tc>
        <w:tc>
          <w:tcPr>
            <w:tcW w:w="7319" w:type="dxa"/>
          </w:tcPr>
          <w:p w:rsidR="00174ECB" w:rsidRPr="000B3F99" w:rsidRDefault="00174ECB" w:rsidP="00A84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F99">
              <w:rPr>
                <w:rFonts w:ascii="Times New Roman" w:hAnsi="Times New Roman" w:cs="Times New Roman"/>
              </w:rPr>
              <w:t>785.5</w:t>
            </w:r>
          </w:p>
        </w:tc>
      </w:tr>
      <w:tr w:rsidR="00174ECB" w:rsidRPr="000B3F99" w:rsidTr="00A847FE">
        <w:trPr>
          <w:trHeight w:val="150"/>
        </w:trPr>
        <w:tc>
          <w:tcPr>
            <w:cnfStyle w:val="001000000000" w:firstRow="0" w:lastRow="0" w:firstColumn="1" w:lastColumn="0" w:oddVBand="0" w:evenVBand="0" w:oddHBand="0" w:evenHBand="0" w:firstRowFirstColumn="0" w:firstRowLastColumn="0" w:lastRowFirstColumn="0" w:lastRowLastColumn="0"/>
            <w:tcW w:w="3240" w:type="dxa"/>
            <w:noWrap/>
          </w:tcPr>
          <w:p w:rsidR="00174ECB" w:rsidRPr="00102ED5" w:rsidRDefault="00174ECB" w:rsidP="00A847FE">
            <w:pPr>
              <w:rPr>
                <w:rFonts w:ascii="Times New Roman" w:hAnsi="Times New Roman" w:cs="Times New Roman"/>
              </w:rPr>
            </w:pPr>
            <w:r>
              <w:rPr>
                <w:rFonts w:ascii="Times New Roman" w:hAnsi="Times New Roman" w:cs="Times New Roman"/>
                <w:i/>
              </w:rPr>
              <w:t xml:space="preserve">Angus Definition </w:t>
            </w:r>
            <w:r w:rsidRPr="00102ED5">
              <w:rPr>
                <w:rFonts w:ascii="Times New Roman" w:hAnsi="Times New Roman" w:cs="Times New Roman"/>
                <w:b w:val="0"/>
              </w:rPr>
              <w:t>[4,8]</w:t>
            </w:r>
          </w:p>
        </w:tc>
        <w:tc>
          <w:tcPr>
            <w:tcW w:w="7319" w:type="dxa"/>
          </w:tcPr>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Infection code (</w:t>
            </w:r>
            <w:r w:rsidRPr="00695D2B">
              <w:rPr>
                <w:rFonts w:ascii="Times New Roman" w:hAnsi="Times New Roman" w:cs="Times New Roman"/>
              </w:rPr>
              <w:t>001–005, 008–018, 020–027, 030–041,</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5D2B">
              <w:rPr>
                <w:rFonts w:ascii="Times New Roman" w:hAnsi="Times New Roman" w:cs="Times New Roman"/>
              </w:rPr>
              <w:t>090–098, 100–104, 110–112, 114–118, 320, 322, 324, 325,</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5D2B">
              <w:rPr>
                <w:rFonts w:ascii="Times New Roman" w:hAnsi="Times New Roman" w:cs="Times New Roman"/>
              </w:rPr>
              <w:t>420, 421, 451, 461–465, 481, 482, 485, 486, 491.21, 494, 510,</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5D2B">
              <w:rPr>
                <w:rFonts w:ascii="Times New Roman" w:hAnsi="Times New Roman" w:cs="Times New Roman"/>
              </w:rPr>
              <w:t>513, 540–542, 562.01, 562.03, 562.11, 562.13, 566, 567,</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5D2B">
              <w:rPr>
                <w:rFonts w:ascii="Times New Roman" w:hAnsi="Times New Roman" w:cs="Times New Roman"/>
              </w:rPr>
              <w:t>569.5, 569.83, 572.0, 572.1, 575.0, 590, 597, 599.0, 601, 614,</w:t>
            </w:r>
          </w:p>
          <w:p w:rsidR="00174EC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5D2B">
              <w:rPr>
                <w:rFonts w:ascii="Times New Roman" w:hAnsi="Times New Roman" w:cs="Times New Roman"/>
              </w:rPr>
              <w:t>615, 616, 681–683, 686, 711.0, 730, 790.7, 996.6, 998.5, 993.3</w:t>
            </w:r>
            <w:r>
              <w:rPr>
                <w:rFonts w:ascii="Times New Roman" w:hAnsi="Times New Roman" w:cs="Times New Roman"/>
              </w:rPr>
              <w:t>) + organ dysfunction (see above)</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695D2B">
              <w:rPr>
                <w:rFonts w:ascii="Times New Roman" w:hAnsi="Times New Roman" w:cs="Times New Roman"/>
                <w:i/>
              </w:rPr>
              <w:t xml:space="preserve">or </w:t>
            </w:r>
          </w:p>
          <w:p w:rsidR="00174ECB" w:rsidRPr="00695D2B" w:rsidRDefault="00174ECB" w:rsidP="00A847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Explicit code for severe sepsis/septic shock</w:t>
            </w:r>
          </w:p>
        </w:tc>
      </w:tr>
    </w:tbl>
    <w:p w:rsidR="00174ECB" w:rsidRPr="00720422" w:rsidRDefault="00174ECB" w:rsidP="00174ECB">
      <w:pPr>
        <w:spacing w:after="0" w:line="240" w:lineRule="auto"/>
        <w:contextualSpacing/>
        <w:rPr>
          <w:rFonts w:ascii="Times New Roman" w:hAnsi="Times New Roman" w:cs="Times New Roman"/>
        </w:rPr>
      </w:pPr>
    </w:p>
    <w:p w:rsidR="00174ECB" w:rsidRDefault="00174ECB" w:rsidP="00174ECB">
      <w:pPr>
        <w:spacing w:after="0" w:line="240" w:lineRule="auto"/>
        <w:contextualSpacing/>
        <w:outlineLvl w:val="1"/>
        <w:rPr>
          <w:rFonts w:ascii="Times New Roman" w:hAnsi="Times New Roman" w:cs="Times New Roman"/>
        </w:rPr>
      </w:pPr>
      <w:r>
        <w:rPr>
          <w:rFonts w:ascii="Times New Roman" w:hAnsi="Times New Roman" w:cs="Times New Roman"/>
        </w:rPr>
        <w:lastRenderedPageBreak/>
        <w:t>Supplemental</w:t>
      </w:r>
      <w:r w:rsidRPr="00720422">
        <w:rPr>
          <w:rFonts w:ascii="Times New Roman" w:hAnsi="Times New Roman" w:cs="Times New Roman"/>
        </w:rPr>
        <w:t xml:space="preserve"> Table 2. Description of </w:t>
      </w:r>
      <w:r>
        <w:rPr>
          <w:rFonts w:ascii="Times New Roman" w:hAnsi="Times New Roman" w:cs="Times New Roman"/>
        </w:rPr>
        <w:t>patient chronic conditions for each hospitalization</w:t>
      </w:r>
      <w:r w:rsidRPr="00720422">
        <w:rPr>
          <w:rFonts w:ascii="Times New Roman" w:hAnsi="Times New Roman" w:cs="Times New Roman"/>
        </w:rPr>
        <w:t xml:space="preserve"> in </w:t>
      </w:r>
      <w:r>
        <w:rPr>
          <w:rFonts w:ascii="Times New Roman" w:hAnsi="Times New Roman" w:cs="Times New Roman"/>
        </w:rPr>
        <w:t>the</w:t>
      </w:r>
      <w:r w:rsidRPr="00720422">
        <w:rPr>
          <w:rFonts w:ascii="Times New Roman" w:hAnsi="Times New Roman" w:cs="Times New Roman"/>
        </w:rPr>
        <w:t xml:space="preserve"> cohort</w:t>
      </w:r>
      <w:r w:rsidRPr="00BB19BD">
        <w:rPr>
          <w:rFonts w:ascii="Times New Roman" w:hAnsi="Times New Roman" w:cs="Times New Roman"/>
        </w:rPr>
        <w:t>,</w:t>
      </w:r>
      <w:r w:rsidRPr="00720422">
        <w:rPr>
          <w:rFonts w:ascii="Times New Roman" w:hAnsi="Times New Roman" w:cs="Times New Roman"/>
        </w:rPr>
        <w:t xml:space="preserve"> and the proportion of each grouping that died at or within seven days of discharge. Chi-square tests for independence were used to assess if mortality varied within each grouping.</w:t>
      </w:r>
    </w:p>
    <w:tbl>
      <w:tblPr>
        <w:tblW w:w="105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550"/>
        <w:gridCol w:w="2119"/>
        <w:gridCol w:w="1500"/>
      </w:tblGrid>
      <w:tr w:rsidR="00174ECB" w:rsidRPr="00720422" w:rsidTr="00A847FE">
        <w:trPr>
          <w:trHeight w:val="147"/>
        </w:trPr>
        <w:tc>
          <w:tcPr>
            <w:tcW w:w="4385" w:type="dxa"/>
            <w:vMerge w:val="restart"/>
            <w:shd w:val="clear" w:color="auto" w:fill="auto"/>
            <w:vAlign w:val="center"/>
            <w:hideMark/>
          </w:tcPr>
          <w:p w:rsidR="00174ECB" w:rsidRPr="00F16F3E" w:rsidRDefault="00174ECB" w:rsidP="00A847FE">
            <w:pPr>
              <w:spacing w:after="0" w:line="240" w:lineRule="auto"/>
              <w:rPr>
                <w:rFonts w:ascii="Times New Roman" w:eastAsia="Times New Roman" w:hAnsi="Times New Roman" w:cs="Times New Roman"/>
                <w:b/>
              </w:rPr>
            </w:pPr>
            <w:r w:rsidRPr="00F16F3E">
              <w:rPr>
                <w:rFonts w:ascii="Times New Roman" w:eastAsia="Times New Roman" w:hAnsi="Times New Roman" w:cs="Times New Roman"/>
              </w:rPr>
              <w:t> </w:t>
            </w:r>
            <w:r>
              <w:rPr>
                <w:rFonts w:ascii="Times New Roman" w:eastAsia="Times New Roman" w:hAnsi="Times New Roman" w:cs="Times New Roman"/>
                <w:b/>
              </w:rPr>
              <w:t>Patient Characteristics</w:t>
            </w:r>
          </w:p>
        </w:tc>
        <w:tc>
          <w:tcPr>
            <w:tcW w:w="2550" w:type="dxa"/>
            <w:tcBorders>
              <w:right w:val="single" w:sz="18" w:space="0" w:color="auto"/>
            </w:tcBorders>
            <w:shd w:val="clear" w:color="auto" w:fill="auto"/>
            <w:vAlign w:val="center"/>
            <w:hideMark/>
          </w:tcPr>
          <w:p w:rsidR="00174ECB" w:rsidRPr="00F16F3E" w:rsidRDefault="00174ECB" w:rsidP="00A847FE">
            <w:pPr>
              <w:spacing w:after="0" w:line="240" w:lineRule="auto"/>
              <w:jc w:val="center"/>
              <w:rPr>
                <w:rFonts w:ascii="Times New Roman" w:eastAsia="Times New Roman" w:hAnsi="Times New Roman" w:cs="Times New Roman"/>
                <w:b/>
                <w:i/>
              </w:rPr>
            </w:pPr>
            <w:r w:rsidRPr="00F16F3E">
              <w:rPr>
                <w:rFonts w:ascii="Times New Roman" w:eastAsia="Times New Roman" w:hAnsi="Times New Roman" w:cs="Times New Roman"/>
                <w:b/>
                <w:i/>
              </w:rPr>
              <w:t>Overall Sepsis Population</w:t>
            </w:r>
          </w:p>
          <w:p w:rsidR="00174ECB" w:rsidRPr="00F16F3E" w:rsidRDefault="00174ECB" w:rsidP="00A847FE">
            <w:pPr>
              <w:spacing w:after="0" w:line="240" w:lineRule="auto"/>
              <w:jc w:val="center"/>
              <w:rPr>
                <w:rFonts w:ascii="Times New Roman" w:eastAsia="Times New Roman" w:hAnsi="Times New Roman" w:cs="Times New Roman"/>
                <w:b/>
                <w:i/>
              </w:rPr>
            </w:pPr>
          </w:p>
        </w:tc>
        <w:tc>
          <w:tcPr>
            <w:tcW w:w="2119" w:type="dxa"/>
            <w:tcBorders>
              <w:left w:val="single" w:sz="18" w:space="0" w:color="auto"/>
            </w:tcBorders>
            <w:shd w:val="clear" w:color="auto" w:fill="auto"/>
            <w:vAlign w:val="center"/>
            <w:hideMark/>
          </w:tcPr>
          <w:p w:rsidR="00174ECB" w:rsidRPr="00F16F3E" w:rsidRDefault="00174ECB" w:rsidP="00A847FE">
            <w:pPr>
              <w:spacing w:after="0" w:line="240" w:lineRule="auto"/>
              <w:rPr>
                <w:rFonts w:ascii="Times New Roman" w:eastAsia="Times New Roman" w:hAnsi="Times New Roman" w:cs="Times New Roman"/>
                <w:b/>
              </w:rPr>
            </w:pPr>
            <w:r w:rsidRPr="00F16F3E">
              <w:rPr>
                <w:rFonts w:ascii="Times New Roman" w:eastAsia="Times New Roman" w:hAnsi="Times New Roman" w:cs="Times New Roman"/>
                <w:b/>
              </w:rPr>
              <w:t>Death at or within 7 days of discharge</w:t>
            </w:r>
          </w:p>
        </w:tc>
        <w:tc>
          <w:tcPr>
            <w:tcW w:w="1500" w:type="dxa"/>
            <w:vMerge w:val="restart"/>
          </w:tcPr>
          <w:p w:rsidR="00174ECB" w:rsidRPr="00F16F3E" w:rsidRDefault="00174ECB" w:rsidP="00A847FE">
            <w:pPr>
              <w:spacing w:after="0" w:line="240" w:lineRule="auto"/>
              <w:rPr>
                <w:rFonts w:ascii="Times New Roman" w:eastAsia="Times New Roman" w:hAnsi="Times New Roman" w:cs="Times New Roman"/>
                <w:b/>
              </w:rPr>
            </w:pPr>
            <w:r w:rsidRPr="00F16F3E">
              <w:rPr>
                <w:rFonts w:ascii="Times New Roman" w:eastAsia="Times New Roman" w:hAnsi="Times New Roman" w:cs="Times New Roman"/>
                <w:b/>
              </w:rPr>
              <w:t>Test for independence (mortality)</w:t>
            </w:r>
          </w:p>
        </w:tc>
      </w:tr>
      <w:tr w:rsidR="00174ECB" w:rsidRPr="00720422" w:rsidTr="00A847FE">
        <w:trPr>
          <w:trHeight w:val="147"/>
        </w:trPr>
        <w:tc>
          <w:tcPr>
            <w:tcW w:w="4385" w:type="dxa"/>
            <w:vMerge/>
            <w:shd w:val="clear" w:color="auto" w:fill="auto"/>
            <w:vAlign w:val="center"/>
          </w:tcPr>
          <w:p w:rsidR="00174ECB" w:rsidRPr="00F16F3E" w:rsidRDefault="00174ECB" w:rsidP="00A847FE">
            <w:pPr>
              <w:spacing w:after="0" w:line="240" w:lineRule="auto"/>
              <w:rPr>
                <w:rFonts w:ascii="Times New Roman" w:eastAsia="Times New Roman" w:hAnsi="Times New Roman" w:cs="Times New Roman"/>
              </w:rPr>
            </w:pPr>
          </w:p>
        </w:tc>
        <w:tc>
          <w:tcPr>
            <w:tcW w:w="2550" w:type="dxa"/>
            <w:tcBorders>
              <w:right w:val="single" w:sz="18" w:space="0" w:color="auto"/>
            </w:tcBorders>
            <w:shd w:val="clear" w:color="auto" w:fill="auto"/>
            <w:vAlign w:val="center"/>
          </w:tcPr>
          <w:p w:rsidR="00174ECB" w:rsidRPr="00F16F3E" w:rsidRDefault="00174ECB" w:rsidP="00A847FE">
            <w:pPr>
              <w:spacing w:after="0" w:line="240" w:lineRule="auto"/>
              <w:jc w:val="center"/>
              <w:rPr>
                <w:rFonts w:ascii="Times New Roman" w:eastAsia="Times New Roman" w:hAnsi="Times New Roman" w:cs="Times New Roman"/>
                <w:i/>
              </w:rPr>
            </w:pPr>
            <w:r w:rsidRPr="00F16F3E">
              <w:rPr>
                <w:rFonts w:ascii="Times New Roman" w:eastAsia="Times New Roman" w:hAnsi="Times New Roman" w:cs="Times New Roman"/>
                <w:b/>
                <w:i/>
              </w:rPr>
              <w:t xml:space="preserve">N= </w:t>
            </w:r>
            <w:r>
              <w:rPr>
                <w:rFonts w:ascii="Times New Roman" w:eastAsia="Times New Roman" w:hAnsi="Times New Roman" w:cs="Times New Roman"/>
                <w:b/>
                <w:i/>
              </w:rPr>
              <w:t>422,320</w:t>
            </w:r>
          </w:p>
        </w:tc>
        <w:tc>
          <w:tcPr>
            <w:tcW w:w="2119" w:type="dxa"/>
            <w:tcBorders>
              <w:left w:val="single" w:sz="18" w:space="0" w:color="auto"/>
            </w:tcBorders>
            <w:shd w:val="clear" w:color="auto" w:fill="auto"/>
            <w:vAlign w:val="center"/>
          </w:tcPr>
          <w:p w:rsidR="00174ECB" w:rsidRPr="00F16F3E" w:rsidRDefault="00174ECB" w:rsidP="00A847FE">
            <w:pPr>
              <w:spacing w:after="0" w:line="240" w:lineRule="auto"/>
              <w:rPr>
                <w:rFonts w:ascii="Times New Roman" w:eastAsia="Times New Roman" w:hAnsi="Times New Roman" w:cs="Times New Roman"/>
                <w:b/>
              </w:rPr>
            </w:pPr>
            <w:r w:rsidRPr="00F16F3E">
              <w:rPr>
                <w:rFonts w:ascii="Times New Roman" w:eastAsia="Times New Roman" w:hAnsi="Times New Roman" w:cs="Times New Roman"/>
                <w:b/>
              </w:rPr>
              <w:t xml:space="preserve">N= </w:t>
            </w:r>
            <w:r>
              <w:rPr>
                <w:rFonts w:ascii="Times New Roman" w:eastAsia="Times New Roman" w:hAnsi="Times New Roman" w:cs="Times New Roman"/>
                <w:b/>
              </w:rPr>
              <w:t>146,729 (35</w:t>
            </w:r>
            <w:r w:rsidRPr="00F16F3E">
              <w:rPr>
                <w:rFonts w:ascii="Times New Roman" w:eastAsia="Times New Roman" w:hAnsi="Times New Roman" w:cs="Times New Roman"/>
                <w:b/>
              </w:rPr>
              <w:t>%)</w:t>
            </w:r>
          </w:p>
        </w:tc>
        <w:tc>
          <w:tcPr>
            <w:tcW w:w="1500" w:type="dxa"/>
            <w:vMerge/>
          </w:tcPr>
          <w:p w:rsidR="00174ECB" w:rsidRPr="00F16F3E" w:rsidRDefault="00174ECB" w:rsidP="00A847FE">
            <w:pPr>
              <w:spacing w:after="0" w:line="240" w:lineRule="auto"/>
              <w:rPr>
                <w:rFonts w:ascii="Times New Roman" w:eastAsia="Times New Roman" w:hAnsi="Times New Roman" w:cs="Times New Roman"/>
                <w:b/>
              </w:rPr>
            </w:pPr>
          </w:p>
        </w:tc>
      </w:tr>
      <w:tr w:rsidR="00174ECB" w:rsidRPr="00720422" w:rsidTr="00A847FE">
        <w:trPr>
          <w:trHeight w:val="147"/>
        </w:trPr>
        <w:tc>
          <w:tcPr>
            <w:tcW w:w="4385" w:type="dxa"/>
            <w:vMerge/>
            <w:tcBorders>
              <w:bottom w:val="single" w:sz="18" w:space="0" w:color="auto"/>
            </w:tcBorders>
            <w:shd w:val="clear" w:color="auto" w:fill="auto"/>
            <w:vAlign w:val="center"/>
          </w:tcPr>
          <w:p w:rsidR="00174ECB" w:rsidRPr="00F16F3E" w:rsidRDefault="00174ECB" w:rsidP="00A847FE">
            <w:pPr>
              <w:spacing w:after="0" w:line="240" w:lineRule="auto"/>
              <w:rPr>
                <w:rFonts w:ascii="Times New Roman" w:eastAsia="Times New Roman" w:hAnsi="Times New Roman" w:cs="Times New Roman"/>
              </w:rPr>
            </w:pPr>
          </w:p>
        </w:tc>
        <w:tc>
          <w:tcPr>
            <w:tcW w:w="2550" w:type="dxa"/>
            <w:tcBorders>
              <w:bottom w:val="single" w:sz="18" w:space="0" w:color="auto"/>
              <w:right w:val="single" w:sz="18" w:space="0" w:color="auto"/>
            </w:tcBorders>
            <w:shd w:val="clear" w:color="auto" w:fill="auto"/>
            <w:vAlign w:val="center"/>
          </w:tcPr>
          <w:p w:rsidR="00174ECB" w:rsidRPr="00F16F3E" w:rsidRDefault="00174ECB" w:rsidP="00A847FE">
            <w:pPr>
              <w:spacing w:after="0" w:line="240" w:lineRule="auto"/>
              <w:jc w:val="center"/>
              <w:rPr>
                <w:rFonts w:ascii="Times New Roman" w:eastAsia="Times New Roman" w:hAnsi="Times New Roman" w:cs="Times New Roman"/>
                <w:i/>
              </w:rPr>
            </w:pPr>
            <w:r w:rsidRPr="00F16F3E">
              <w:rPr>
                <w:rFonts w:ascii="Times New Roman" w:eastAsia="Times New Roman" w:hAnsi="Times New Roman" w:cs="Times New Roman"/>
                <w:i/>
              </w:rPr>
              <w:t xml:space="preserve">N (% of sepsis </w:t>
            </w:r>
            <w:r>
              <w:rPr>
                <w:rFonts w:ascii="Times New Roman" w:eastAsia="Times New Roman" w:hAnsi="Times New Roman" w:cs="Times New Roman"/>
                <w:i/>
              </w:rPr>
              <w:t>hospitalizations</w:t>
            </w:r>
            <w:r w:rsidRPr="00F16F3E">
              <w:rPr>
                <w:rFonts w:ascii="Times New Roman" w:eastAsia="Times New Roman" w:hAnsi="Times New Roman" w:cs="Times New Roman"/>
                <w:i/>
              </w:rPr>
              <w:t>)</w:t>
            </w:r>
          </w:p>
        </w:tc>
        <w:tc>
          <w:tcPr>
            <w:tcW w:w="2119" w:type="dxa"/>
            <w:tcBorders>
              <w:left w:val="single" w:sz="18" w:space="0" w:color="auto"/>
              <w:bottom w:val="single" w:sz="18" w:space="0" w:color="auto"/>
            </w:tcBorders>
            <w:shd w:val="clear" w:color="auto" w:fill="auto"/>
            <w:vAlign w:val="center"/>
          </w:tcPr>
          <w:p w:rsidR="00174ECB" w:rsidRPr="00F16F3E" w:rsidRDefault="00174ECB" w:rsidP="00A847FE">
            <w:pPr>
              <w:spacing w:after="0" w:line="240" w:lineRule="auto"/>
              <w:rPr>
                <w:rFonts w:ascii="Times New Roman" w:eastAsia="Times New Roman" w:hAnsi="Times New Roman" w:cs="Times New Roman"/>
              </w:rPr>
            </w:pPr>
            <w:r w:rsidRPr="00F16F3E">
              <w:rPr>
                <w:rFonts w:ascii="Times New Roman" w:eastAsia="Times New Roman" w:hAnsi="Times New Roman" w:cs="Times New Roman"/>
              </w:rPr>
              <w:t>N (% of each grouping who died within 7 days)</w:t>
            </w:r>
          </w:p>
        </w:tc>
        <w:tc>
          <w:tcPr>
            <w:tcW w:w="1500" w:type="dxa"/>
            <w:vMerge/>
            <w:tcBorders>
              <w:bottom w:val="single" w:sz="18" w:space="0" w:color="auto"/>
            </w:tcBorders>
          </w:tcPr>
          <w:p w:rsidR="00174ECB" w:rsidRPr="00F16F3E" w:rsidRDefault="00174ECB" w:rsidP="00A847FE">
            <w:pPr>
              <w:spacing w:after="0" w:line="240" w:lineRule="auto"/>
              <w:rPr>
                <w:rFonts w:ascii="Times New Roman" w:eastAsia="Times New Roman" w:hAnsi="Times New Roman" w:cs="Times New Roman"/>
                <w:b/>
              </w:rPr>
            </w:pP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rPr>
                <w:rFonts w:ascii="Times New Roman" w:eastAsia="Times New Roman" w:hAnsi="Times New Roman" w:cs="Times New Roman"/>
                <w:i/>
              </w:rPr>
            </w:pPr>
            <w:r w:rsidRPr="00F16F3E">
              <w:rPr>
                <w:rFonts w:ascii="Times New Roman" w:eastAsia="Times New Roman" w:hAnsi="Times New Roman" w:cs="Times New Roman"/>
                <w:i/>
              </w:rPr>
              <w:t>Chronic Conditions</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i/>
              </w:rPr>
            </w:pP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i/>
              </w:rPr>
            </w:pP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i/>
              </w:rPr>
            </w:pP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Acute Myocardial Infarction</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47,730 (11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18,293 (38</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Alzheimer’s Dementia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174,364 (41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68,010 (39</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Atrial Fibrillation</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137,925</w:t>
            </w:r>
            <w:r w:rsidRPr="00F16F3E">
              <w:rPr>
                <w:rFonts w:ascii="Times New Roman" w:eastAsia="Times New Roman" w:hAnsi="Times New Roman" w:cs="Times New Roman"/>
              </w:rPr>
              <w:t xml:space="preserve"> (33%)</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53,906 (39</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Cataracts</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293,383</w:t>
            </w:r>
            <w:r w:rsidRPr="00F16F3E">
              <w:rPr>
                <w:rFonts w:ascii="Times New Roman" w:eastAsia="Times New Roman" w:hAnsi="Times New Roman" w:cs="Times New Roman"/>
              </w:rPr>
              <w:t xml:space="preserve"> (69%)</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104,341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Chronic Kidney Infection</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254,442 (60</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91,260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Chronic Obstructive Pulmonary Disease</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218,289 (52</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79,643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Heart Failure</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256,036 (61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95,675 (37</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Diabetes</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241,503 (57</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82,751 (34</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Glaucoma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106,259</w:t>
            </w:r>
            <w:r w:rsidRPr="00F16F3E">
              <w:rPr>
                <w:rFonts w:ascii="Times New Roman" w:eastAsia="Times New Roman" w:hAnsi="Times New Roman" w:cs="Times New Roman"/>
              </w:rPr>
              <w:t xml:space="preserve"> (25%)</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38,285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Hip Fracture</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45,569</w:t>
            </w:r>
            <w:r w:rsidRPr="00F16F3E">
              <w:rPr>
                <w:rFonts w:ascii="Times New Roman" w:eastAsia="Times New Roman" w:hAnsi="Times New Roman" w:cs="Times New Roman"/>
              </w:rPr>
              <w:t xml:space="preserve"> (11%)</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18,730 (41</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Ischemic Heart</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301,783 (71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108,405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Depression</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211,265 (50</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73,800 (35</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0.</w:t>
            </w:r>
            <w:r>
              <w:rPr>
                <w:rFonts w:ascii="Times New Roman" w:eastAsia="Times New Roman" w:hAnsi="Times New Roman" w:cs="Times New Roman"/>
              </w:rPr>
              <w:t>0099</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Rheumatoid Arthritis/Osteoarthritis</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280,446 (66</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97,560 (35</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0.</w:t>
            </w:r>
            <w:r>
              <w:rPr>
                <w:rFonts w:ascii="Times New Roman" w:eastAsia="Times New Roman" w:hAnsi="Times New Roman" w:cs="Times New Roman"/>
              </w:rPr>
              <w:t>3997</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Stroke/ Transient Ischemic Attack</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132,469 (31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48,146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Cancer (Breast)</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24,608</w:t>
            </w:r>
            <w:r w:rsidRPr="00F16F3E">
              <w:rPr>
                <w:rFonts w:ascii="Times New Roman" w:eastAsia="Times New Roman" w:hAnsi="Times New Roman" w:cs="Times New Roman"/>
              </w:rPr>
              <w:t xml:space="preserve"> (6%)</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9,</w:t>
            </w:r>
            <w:r>
              <w:rPr>
                <w:rFonts w:ascii="Times New Roman" w:eastAsia="Times New Roman" w:hAnsi="Times New Roman" w:cs="Times New Roman"/>
              </w:rPr>
              <w:t>116 (37</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Cancer (Colorectal)</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23,321</w:t>
            </w:r>
            <w:r w:rsidRPr="00F16F3E">
              <w:rPr>
                <w:rFonts w:ascii="Times New Roman" w:eastAsia="Times New Roman" w:hAnsi="Times New Roman" w:cs="Times New Roman"/>
              </w:rPr>
              <w:t xml:space="preserve"> (6%)</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9,</w:t>
            </w:r>
            <w:r>
              <w:rPr>
                <w:rFonts w:ascii="Times New Roman" w:eastAsia="Times New Roman" w:hAnsi="Times New Roman" w:cs="Times New Roman"/>
              </w:rPr>
              <w:t>065 (39</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Cancer (Prostate)</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35,232</w:t>
            </w:r>
            <w:r w:rsidRPr="00F16F3E">
              <w:rPr>
                <w:rFonts w:ascii="Times New Roman" w:eastAsia="Times New Roman" w:hAnsi="Times New Roman" w:cs="Times New Roman"/>
              </w:rPr>
              <w:t xml:space="preserve"> (8%)</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12,931 (37</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Cancer (Lung)</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19,883</w:t>
            </w:r>
            <w:r w:rsidRPr="00F16F3E">
              <w:rPr>
                <w:rFonts w:ascii="Times New Roman" w:eastAsia="Times New Roman" w:hAnsi="Times New Roman" w:cs="Times New Roman"/>
              </w:rPr>
              <w:t xml:space="preserve"> (5%)</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9,</w:t>
            </w:r>
            <w:r>
              <w:rPr>
                <w:rFonts w:ascii="Times New Roman" w:eastAsia="Times New Roman" w:hAnsi="Times New Roman" w:cs="Times New Roman"/>
              </w:rPr>
              <w:t>136 (46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Cancer (Endometrial)</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6,</w:t>
            </w:r>
            <w:r>
              <w:rPr>
                <w:rFonts w:ascii="Times New Roman" w:eastAsia="Times New Roman" w:hAnsi="Times New Roman" w:cs="Times New Roman"/>
              </w:rPr>
              <w:t>048</w:t>
            </w:r>
            <w:r w:rsidRPr="00F16F3E">
              <w:rPr>
                <w:rFonts w:ascii="Times New Roman" w:eastAsia="Times New Roman" w:hAnsi="Times New Roman" w:cs="Times New Roman"/>
              </w:rPr>
              <w:t xml:space="preserve"> (1%)</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sidRPr="00F16F3E">
              <w:rPr>
                <w:rFonts w:ascii="Times New Roman" w:eastAsia="Times New Roman" w:hAnsi="Times New Roman" w:cs="Times New Roman"/>
              </w:rPr>
              <w:t>2,</w:t>
            </w:r>
            <w:r>
              <w:rPr>
                <w:rFonts w:ascii="Times New Roman" w:eastAsia="Times New Roman" w:hAnsi="Times New Roman" w:cs="Times New Roman"/>
              </w:rPr>
              <w:t>117 (35</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0.</w:t>
            </w:r>
            <w:r>
              <w:rPr>
                <w:rFonts w:ascii="Times New Roman" w:eastAsia="Times New Roman" w:hAnsi="Times New Roman" w:cs="Times New Roman"/>
              </w:rPr>
              <w:t>6692</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Anemia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346,035 (82</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125,326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eastAsia="Times New Roman" w:hAnsi="Times New Roman" w:cs="Times New Roman"/>
              </w:rPr>
              <w:t>Asthma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93,094 (22</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31,434 (34</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Hyperlipidemia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344,006 (81</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118,543 (34</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eastAsia="Times New Roman" w:hAnsi="Times New Roman" w:cs="Times New Roman"/>
              </w:rPr>
            </w:pPr>
            <w:r w:rsidRPr="00720422">
              <w:rPr>
                <w:rFonts w:ascii="Times New Roman" w:hAnsi="Times New Roman" w:cs="Times New Roman"/>
              </w:rPr>
              <w:t>Benign Prostatic Hyperplasia</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115,414 (27</w:t>
            </w:r>
            <w:r w:rsidRPr="00F16F3E">
              <w:rPr>
                <w:rFonts w:ascii="Times New Roman" w:eastAsia="Times New Roman" w:hAnsi="Times New Roman" w:cs="Times New Roman"/>
              </w:rPr>
              <w:t>%)</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40,161 (35</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0.</w:t>
            </w:r>
            <w:r>
              <w:rPr>
                <w:rFonts w:ascii="Times New Roman" w:eastAsia="Times New Roman" w:hAnsi="Times New Roman" w:cs="Times New Roman"/>
              </w:rPr>
              <w:t>6526</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hAnsi="Times New Roman" w:cs="Times New Roman"/>
              </w:rPr>
            </w:pPr>
            <w:r w:rsidRPr="00720422">
              <w:rPr>
                <w:rFonts w:ascii="Times New Roman" w:hAnsi="Times New Roman" w:cs="Times New Roman"/>
              </w:rPr>
              <w:t>Hypertension</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388,668</w:t>
            </w:r>
            <w:r w:rsidRPr="00F16F3E">
              <w:rPr>
                <w:rFonts w:ascii="Times New Roman" w:eastAsia="Times New Roman" w:hAnsi="Times New Roman" w:cs="Times New Roman"/>
              </w:rPr>
              <w:t xml:space="preserve"> (92%)</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135,964 (35</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r w:rsidR="00174ECB" w:rsidRPr="00720422" w:rsidTr="00A847FE">
        <w:trPr>
          <w:trHeight w:val="147"/>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74ECB" w:rsidRPr="00720422" w:rsidRDefault="00174ECB" w:rsidP="00A847FE">
            <w:pPr>
              <w:spacing w:after="0" w:line="240" w:lineRule="auto"/>
              <w:jc w:val="right"/>
              <w:rPr>
                <w:rFonts w:ascii="Times New Roman" w:hAnsi="Times New Roman" w:cs="Times New Roman"/>
              </w:rPr>
            </w:pPr>
            <w:r w:rsidRPr="00720422">
              <w:rPr>
                <w:rFonts w:ascii="Times New Roman" w:hAnsi="Times New Roman" w:cs="Times New Roman"/>
              </w:rPr>
              <w:t>Hypothyroidism</w:t>
            </w:r>
          </w:p>
        </w:tc>
        <w:tc>
          <w:tcPr>
            <w:tcW w:w="2550" w:type="dxa"/>
            <w:tcBorders>
              <w:top w:val="single" w:sz="4" w:space="0" w:color="auto"/>
              <w:left w:val="single" w:sz="4" w:space="0" w:color="auto"/>
              <w:bottom w:val="single" w:sz="4" w:space="0" w:color="auto"/>
              <w:right w:val="single" w:sz="18"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147,820</w:t>
            </w:r>
            <w:r w:rsidRPr="00F16F3E">
              <w:rPr>
                <w:rFonts w:ascii="Times New Roman" w:eastAsia="Times New Roman" w:hAnsi="Times New Roman" w:cs="Times New Roman"/>
              </w:rPr>
              <w:t xml:space="preserve"> (35%)</w:t>
            </w:r>
          </w:p>
        </w:tc>
        <w:tc>
          <w:tcPr>
            <w:tcW w:w="2119" w:type="dxa"/>
            <w:tcBorders>
              <w:top w:val="single" w:sz="4" w:space="0" w:color="auto"/>
              <w:left w:val="single" w:sz="18" w:space="0" w:color="auto"/>
              <w:bottom w:val="single" w:sz="4" w:space="0" w:color="auto"/>
              <w:right w:val="single" w:sz="4" w:space="0" w:color="auto"/>
            </w:tcBorders>
            <w:shd w:val="clear" w:color="auto" w:fill="auto"/>
            <w:vAlign w:val="center"/>
          </w:tcPr>
          <w:p w:rsidR="00174ECB" w:rsidRPr="00F16F3E" w:rsidRDefault="00174ECB" w:rsidP="00A847F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52,841 (36</w:t>
            </w:r>
            <w:r w:rsidRPr="00F16F3E">
              <w:rPr>
                <w:rFonts w:ascii="Times New Roman" w:eastAsia="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74ECB" w:rsidRPr="00F16F3E" w:rsidRDefault="00174ECB" w:rsidP="00A847FE">
            <w:pPr>
              <w:spacing w:after="0" w:line="240" w:lineRule="auto"/>
              <w:jc w:val="center"/>
              <w:rPr>
                <w:rFonts w:ascii="Times New Roman" w:eastAsia="Times New Roman" w:hAnsi="Times New Roman" w:cs="Times New Roman"/>
              </w:rPr>
            </w:pPr>
            <w:r w:rsidRPr="00F16F3E">
              <w:rPr>
                <w:rFonts w:ascii="Times New Roman" w:eastAsia="Times New Roman" w:hAnsi="Times New Roman" w:cs="Times New Roman"/>
              </w:rPr>
              <w:t>&lt;0.001</w:t>
            </w:r>
          </w:p>
        </w:tc>
      </w:tr>
    </w:tbl>
    <w:p w:rsidR="00174ECB" w:rsidRDefault="00174ECB" w:rsidP="00174ECB">
      <w:pPr>
        <w:rPr>
          <w:rFonts w:ascii="Times New Roman" w:hAnsi="Times New Roman" w:cs="Times New Roman"/>
        </w:rPr>
      </w:pPr>
    </w:p>
    <w:p w:rsidR="00174ECB" w:rsidRDefault="00174ECB" w:rsidP="00174ECB">
      <w:pPr>
        <w:spacing w:after="160" w:line="259" w:lineRule="auto"/>
        <w:rPr>
          <w:rFonts w:ascii="Times New Roman" w:hAnsi="Times New Roman" w:cs="Times New Roman"/>
        </w:rPr>
      </w:pPr>
      <w:r>
        <w:rPr>
          <w:rFonts w:ascii="Times New Roman" w:hAnsi="Times New Roman" w:cs="Times New Roman"/>
        </w:rPr>
        <w:br w:type="page"/>
      </w:r>
    </w:p>
    <w:p w:rsidR="00174ECB" w:rsidRDefault="00174ECB" w:rsidP="00174ECB">
      <w:pPr>
        <w:rPr>
          <w:rFonts w:ascii="Times New Roman" w:hAnsi="Times New Roman" w:cs="Times New Roman"/>
        </w:rPr>
      </w:pPr>
    </w:p>
    <w:p w:rsidR="00174ECB" w:rsidRPr="00720422" w:rsidRDefault="00174ECB" w:rsidP="00174ECB">
      <w:pPr>
        <w:spacing w:after="0" w:line="240" w:lineRule="auto"/>
        <w:contextualSpacing/>
        <w:outlineLvl w:val="1"/>
        <w:rPr>
          <w:rFonts w:ascii="Times New Roman" w:hAnsi="Times New Roman" w:cs="Times New Roman"/>
        </w:rPr>
      </w:pPr>
      <w:r>
        <w:rPr>
          <w:rFonts w:ascii="Times New Roman" w:hAnsi="Times New Roman" w:cs="Times New Roman"/>
        </w:rPr>
        <w:t>Supplemental</w:t>
      </w:r>
      <w:r w:rsidRPr="00720422">
        <w:rPr>
          <w:rFonts w:ascii="Times New Roman" w:hAnsi="Times New Roman" w:cs="Times New Roman"/>
        </w:rPr>
        <w:t xml:space="preserve"> Table</w:t>
      </w:r>
      <w:r>
        <w:rPr>
          <w:rFonts w:ascii="Times New Roman" w:hAnsi="Times New Roman" w:cs="Times New Roman"/>
        </w:rPr>
        <w:t xml:space="preserve"> 3</w:t>
      </w:r>
      <w:r w:rsidRPr="00720422">
        <w:rPr>
          <w:rFonts w:ascii="Times New Roman" w:hAnsi="Times New Roman" w:cs="Times New Roman"/>
        </w:rPr>
        <w:t>.  Hierarchical logistic regression model adjusted odds ratios. Characteristics are listed in ranked order by absolute value of their parameter estimate. For continuous fixed effects the comparison is equivalent to the distance of the interquartile range.</w:t>
      </w:r>
    </w:p>
    <w:tbl>
      <w:tblPr>
        <w:tblW w:w="9725" w:type="dxa"/>
        <w:tblInd w:w="-10" w:type="dxa"/>
        <w:tblLayout w:type="fixed"/>
        <w:tblLook w:val="04A0" w:firstRow="1" w:lastRow="0" w:firstColumn="1" w:lastColumn="0" w:noHBand="0" w:noVBand="1"/>
      </w:tblPr>
      <w:tblGrid>
        <w:gridCol w:w="4266"/>
        <w:gridCol w:w="1860"/>
        <w:gridCol w:w="1255"/>
        <w:gridCol w:w="1158"/>
        <w:gridCol w:w="1186"/>
      </w:tblGrid>
      <w:tr w:rsidR="00174ECB" w:rsidRPr="00720422" w:rsidTr="00A847FE">
        <w:trPr>
          <w:trHeight w:val="8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ECB" w:rsidRPr="00E91006" w:rsidRDefault="00174ECB" w:rsidP="00A847FE">
            <w:pPr>
              <w:spacing w:after="0" w:line="240" w:lineRule="auto"/>
              <w:jc w:val="center"/>
              <w:rPr>
                <w:rFonts w:ascii="Times New Roman" w:hAnsi="Times New Roman"/>
                <w:b/>
                <w:color w:val="000000"/>
              </w:rPr>
            </w:pPr>
            <w:r w:rsidRPr="00E91006">
              <w:rPr>
                <w:rFonts w:ascii="Times New Roman" w:hAnsi="Times New Roman"/>
                <w:b/>
                <w:color w:val="000000"/>
              </w:rPr>
              <w:t>Characteristics</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ECB" w:rsidRPr="00E91006" w:rsidRDefault="00174ECB" w:rsidP="00A847FE">
            <w:pPr>
              <w:spacing w:after="0" w:line="240" w:lineRule="auto"/>
              <w:jc w:val="center"/>
              <w:rPr>
                <w:rFonts w:ascii="Times New Roman" w:hAnsi="Times New Roman"/>
                <w:b/>
                <w:color w:val="000000"/>
              </w:rPr>
            </w:pPr>
            <w:r w:rsidRPr="00E91006">
              <w:rPr>
                <w:rFonts w:ascii="Times New Roman" w:hAnsi="Times New Roman"/>
                <w:b/>
                <w:color w:val="000000"/>
              </w:rPr>
              <w:t>Comparison</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ECB" w:rsidRPr="00E91006" w:rsidRDefault="00174ECB" w:rsidP="00A847FE">
            <w:pPr>
              <w:spacing w:after="0" w:line="240" w:lineRule="auto"/>
              <w:jc w:val="center"/>
              <w:rPr>
                <w:rFonts w:ascii="Times New Roman" w:hAnsi="Times New Roman"/>
                <w:b/>
                <w:color w:val="000000"/>
              </w:rPr>
            </w:pPr>
            <w:r w:rsidRPr="00E91006">
              <w:rPr>
                <w:rFonts w:ascii="Times New Roman" w:hAnsi="Times New Roman"/>
                <w:b/>
                <w:color w:val="000000"/>
              </w:rPr>
              <w:t>Adjusted Odds Ratio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4ECB" w:rsidRPr="00E91006" w:rsidRDefault="00174ECB" w:rsidP="00A847FE">
            <w:pPr>
              <w:spacing w:after="0" w:line="240" w:lineRule="auto"/>
              <w:jc w:val="center"/>
              <w:rPr>
                <w:rFonts w:ascii="Times New Roman" w:hAnsi="Times New Roman"/>
                <w:b/>
                <w:color w:val="000000"/>
              </w:rPr>
            </w:pPr>
            <w:r w:rsidRPr="00E91006">
              <w:rPr>
                <w:rFonts w:ascii="Times New Roman" w:hAnsi="Times New Roman"/>
                <w:b/>
                <w:color w:val="000000"/>
              </w:rPr>
              <w:t>95% Confidence</w:t>
            </w:r>
          </w:p>
        </w:tc>
      </w:tr>
      <w:tr w:rsidR="00174ECB" w:rsidRPr="00CE5DEC" w:rsidTr="00A847FE">
        <w:trPr>
          <w:trHeight w:val="214"/>
        </w:trPr>
        <w:tc>
          <w:tcPr>
            <w:tcW w:w="42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 xml:space="preserve">POA Other continuous invasive mechanical ventilation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single" w:sz="4" w:space="0" w:color="auto"/>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3.382</w:t>
            </w:r>
          </w:p>
        </w:tc>
        <w:tc>
          <w:tcPr>
            <w:tcW w:w="1158" w:type="dxa"/>
            <w:tcBorders>
              <w:top w:val="single" w:sz="4" w:space="0" w:color="auto"/>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3.323</w:t>
            </w:r>
          </w:p>
        </w:tc>
        <w:tc>
          <w:tcPr>
            <w:tcW w:w="1186" w:type="dxa"/>
            <w:tcBorders>
              <w:top w:val="single" w:sz="4" w:space="0" w:color="auto"/>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3.441</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POA Do not resuscitate status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3.327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3.268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3.387</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 xml:space="preserve">POA Anoxic brain damage </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Any</w:t>
            </w:r>
            <w:r w:rsidRPr="00E91006">
              <w:rPr>
                <w:rFonts w:ascii="Times New Roman" w:hAnsi="Times New Roman"/>
                <w:color w:val="000000"/>
              </w:rPr>
              <w:t xml:space="preserve">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2.802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2.628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2.988</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 xml:space="preserve">POA </w:t>
            </w:r>
            <w:proofErr w:type="spellStart"/>
            <w:r w:rsidRPr="00CE5DEC">
              <w:rPr>
                <w:rFonts w:ascii="Times New Roman" w:eastAsia="Times New Roman" w:hAnsi="Times New Roman" w:cs="Times New Roman"/>
                <w:color w:val="000000"/>
              </w:rPr>
              <w:t>Defibrination</w:t>
            </w:r>
            <w:proofErr w:type="spellEnd"/>
            <w:r w:rsidRPr="00CE5DEC">
              <w:rPr>
                <w:rFonts w:ascii="Times New Roman" w:eastAsia="Times New Roman" w:hAnsi="Times New Roman" w:cs="Times New Roman"/>
                <w:color w:val="000000"/>
              </w:rPr>
              <w:t xml:space="preserve"> syndrome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2.558</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2.399</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2.729</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POA Acute and subacute necrosis of liver or hepatic infarction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2.097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2.015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2.182</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POA Coagulate</w:t>
            </w:r>
            <w:r>
              <w:rPr>
                <w:rFonts w:ascii="Times New Roman" w:eastAsia="Times New Roman" w:hAnsi="Times New Roman" w:cs="Times New Roman"/>
                <w:color w:val="000000"/>
              </w:rPr>
              <w:t xml:space="preserve"> defect</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1.940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1.837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2.048</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Pr>
                <w:rFonts w:ascii="Times New Roman" w:hAnsi="Times New Roman"/>
                <w:color w:val="000000"/>
              </w:rPr>
              <w:t xml:space="preserve">No </w:t>
            </w:r>
            <w:r w:rsidRPr="00E91006">
              <w:rPr>
                <w:rFonts w:ascii="Times New Roman" w:hAnsi="Times New Roman"/>
                <w:color w:val="000000"/>
              </w:rPr>
              <w:t>Potential source of infection identified</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None vs Any</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1.787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1.740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1.835</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 xml:space="preserve">POA Shock </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1.786</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1.759</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1.814</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Age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14</w:t>
            </w:r>
            <w:r w:rsidRPr="00E91006">
              <w:rPr>
                <w:rFonts w:ascii="Times New Roman" w:hAnsi="Times New Roman"/>
                <w:color w:val="000000"/>
              </w:rPr>
              <w:t xml:space="preserve"> year increase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1.752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1.040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1.042</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Cancer (Lung)</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1.712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1.657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1.770</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Hospitalization in previous 30 days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1.406</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1.380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1.432</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POA Intra-abdominal infection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1.332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1.303</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1.361</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 xml:space="preserve">POA </w:t>
            </w:r>
            <w:r w:rsidRPr="00E91006">
              <w:rPr>
                <w:rFonts w:ascii="Times New Roman" w:hAnsi="Times New Roman"/>
                <w:color w:val="000000"/>
              </w:rPr>
              <w:t>Urinary Tract infection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0.759</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0.745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0.773</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POA Pulmonary</w:t>
            </w:r>
            <w:r w:rsidRPr="00E91006">
              <w:rPr>
                <w:rFonts w:ascii="Times New Roman" w:hAnsi="Times New Roman"/>
                <w:color w:val="000000"/>
              </w:rPr>
              <w:t xml:space="preserve"> infection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1.312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1.288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1.337</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 xml:space="preserve">POA Transient mental disorders </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0.801</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0.751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0.855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Number of hospitalizations in previous year</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F16F3E">
              <w:rPr>
                <w:rFonts w:ascii="Times New Roman" w:hAnsi="Times New Roman" w:cs="Times New Roman"/>
              </w:rPr>
              <w:t>4+ vs 0</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1.211</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1.178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1.245</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POA Skin-soft-tissue infection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1.194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1.171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1.217</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Anemia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1.188</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1.161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1.215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 xml:space="preserve">Admission </w:t>
            </w:r>
            <w:r w:rsidRPr="00CE5DEC">
              <w:rPr>
                <w:rFonts w:ascii="Times New Roman" w:eastAsia="Times New Roman" w:hAnsi="Times New Roman" w:cs="Times New Roman"/>
                <w:color w:val="000000"/>
              </w:rPr>
              <w:t>source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SNF vs Home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1.179</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1.149</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1.210</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Number of hospitalizations in previous year</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2-3 vs 0</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1.174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1.149</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1.200</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Rheumatoid Arthritis/Osteoarthritis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0.855</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0.840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0.870</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Hyperlipidemia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0.864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0.846</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0.883</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Hospital implicit/explicit coding ratio</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Pr>
                <w:rFonts w:ascii="Times New Roman" w:hAnsi="Times New Roman"/>
                <w:color w:val="000000"/>
              </w:rPr>
              <w:t>10% increase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0.871</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0.985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0.988</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Asthma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0.882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0.866</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0.899</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POA Acute kidney failure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1.128</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1.111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1.145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Gagne Score</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4</w:t>
            </w:r>
            <w:r w:rsidRPr="00E91006">
              <w:rPr>
                <w:rFonts w:ascii="Times New Roman" w:hAnsi="Times New Roman"/>
                <w:color w:val="000000"/>
              </w:rPr>
              <w:t xml:space="preserve"> point increase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1.123</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1.027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1.032</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Number of hospitalizations in previous year</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1</w:t>
            </w:r>
            <w:r w:rsidRPr="00E91006">
              <w:rPr>
                <w:rFonts w:ascii="Times New Roman" w:hAnsi="Times New Roman"/>
                <w:color w:val="000000"/>
              </w:rPr>
              <w:t xml:space="preserve"> vs 0</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1.114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1.092</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1.137</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Atrial Fibrillation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1.110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1.092</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1.129</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Provider</w:t>
            </w:r>
            <w:r w:rsidRPr="00E91006">
              <w:rPr>
                <w:rFonts w:ascii="Times New Roman" w:hAnsi="Times New Roman"/>
                <w:color w:val="000000"/>
              </w:rPr>
              <w:t xml:space="preserve"> claim in previous 7 days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1.107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1.090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1.125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Alzheimer’s or Dementia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1.103</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1.084</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1.122</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Hypertension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0.909</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0.881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0.938</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Hip fracture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1.096</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1.071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1.121</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Benign Prostatic Hyperplasia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0.915</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0.896</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0.936</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Cancer (Colorectal)</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1.083</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1.051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1.117</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Heart Failure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1.074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1.055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1.094</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Cancer (</w:t>
            </w:r>
            <w:r w:rsidRPr="00CE5DEC">
              <w:rPr>
                <w:rFonts w:ascii="Times New Roman" w:eastAsia="Times New Roman" w:hAnsi="Times New Roman" w:cs="Times New Roman"/>
                <w:color w:val="000000"/>
              </w:rPr>
              <w:t>Endometrial</w:t>
            </w:r>
            <w:r w:rsidRPr="00E91006">
              <w:rPr>
                <w:rFonts w:ascii="Times New Roman" w:hAnsi="Times New Roman"/>
                <w:color w:val="000000"/>
              </w:rPr>
              <w:t>)</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1.074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1.011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1.141</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Cancer (</w:t>
            </w:r>
            <w:r w:rsidRPr="00CE5DEC">
              <w:rPr>
                <w:rFonts w:ascii="Times New Roman" w:eastAsia="Times New Roman" w:hAnsi="Times New Roman" w:cs="Times New Roman"/>
                <w:color w:val="000000"/>
              </w:rPr>
              <w:t>Breast</w:t>
            </w:r>
            <w:r w:rsidRPr="00E91006">
              <w:rPr>
                <w:rFonts w:ascii="Times New Roman" w:hAnsi="Times New Roman"/>
                <w:color w:val="000000"/>
              </w:rPr>
              <w:t>)</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1.071</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1.038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1.105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Cancer (Prostate)</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1.060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1.031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1.089</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Race</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Other</w:t>
            </w:r>
            <w:r w:rsidRPr="00E91006">
              <w:rPr>
                <w:rFonts w:ascii="Times New Roman" w:hAnsi="Times New Roman"/>
                <w:color w:val="000000"/>
              </w:rPr>
              <w:t xml:space="preserve"> vs White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0.948</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0.920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0.977</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 xml:space="preserve">POA Hypotension </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1.054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1.017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1.092</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Acute  Myocardial Infarction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1.050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1.026</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1.074</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lastRenderedPageBreak/>
              <w:t>Stroke/ Transient Ischemic Attack</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0.953</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0.937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0.968</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Cataracts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0.957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0.940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0.974</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 xml:space="preserve">POA </w:t>
            </w:r>
            <w:proofErr w:type="spellStart"/>
            <w:r w:rsidRPr="00CE5DEC">
              <w:rPr>
                <w:rFonts w:ascii="Times New Roman" w:eastAsia="Times New Roman" w:hAnsi="Times New Roman" w:cs="Times New Roman"/>
                <w:color w:val="000000"/>
              </w:rPr>
              <w:t>Thromboycytopenia</w:t>
            </w:r>
            <w:proofErr w:type="spellEnd"/>
            <w:r w:rsidRPr="00CE5DEC">
              <w:rPr>
                <w:rFonts w:ascii="Times New Roman" w:eastAsia="Times New Roman" w:hAnsi="Times New Roman" w:cs="Times New Roman"/>
                <w:color w:val="00000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1.042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1.018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1.066</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Depression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0.961</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0.946</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0.977</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Diabetes</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0.965</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0.950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0.981</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CE5DEC">
              <w:rPr>
                <w:rFonts w:ascii="Times New Roman" w:eastAsia="Times New Roman" w:hAnsi="Times New Roman" w:cs="Times New Roman"/>
                <w:color w:val="000000"/>
              </w:rPr>
              <w:t>Race</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CE5DEC">
              <w:rPr>
                <w:rFonts w:ascii="Times New Roman" w:eastAsia="Times New Roman" w:hAnsi="Times New Roman" w:cs="Times New Roman"/>
                <w:color w:val="000000"/>
              </w:rPr>
              <w:t>Black vs White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0.974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0.950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0.998</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Chronic Kidney Infection</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0.975</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0.958</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0.992</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Sex</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Male vs Female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0.975</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0.955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0.995</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Pr>
                <w:rFonts w:ascii="Times New Roman" w:eastAsia="Times New Roman" w:hAnsi="Times New Roman" w:cs="Times New Roman"/>
                <w:color w:val="000000"/>
              </w:rPr>
              <w:t xml:space="preserve">POA </w:t>
            </w:r>
            <w:r w:rsidRPr="00CE5DEC">
              <w:rPr>
                <w:rFonts w:ascii="Times New Roman" w:eastAsia="Times New Roman" w:hAnsi="Times New Roman" w:cs="Times New Roman"/>
                <w:color w:val="000000"/>
              </w:rPr>
              <w:t>Encephalopathy</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1.020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1.001</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1.040</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Hypothyroidism</w:t>
            </w:r>
          </w:p>
        </w:tc>
        <w:tc>
          <w:tcPr>
            <w:tcW w:w="1860" w:type="dxa"/>
            <w:tcBorders>
              <w:top w:val="nil"/>
              <w:left w:val="nil"/>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0.982</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0.967</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0.998</w:t>
            </w:r>
          </w:p>
        </w:tc>
      </w:tr>
      <w:tr w:rsidR="00174ECB" w:rsidRPr="00720422"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Ischemic Heart</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0.984</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0.965</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1.003</w:t>
            </w:r>
          </w:p>
        </w:tc>
      </w:tr>
      <w:tr w:rsidR="00174ECB" w:rsidRPr="00CE5DEC" w:rsidTr="00A847FE">
        <w:trPr>
          <w:trHeight w:val="214"/>
        </w:trPr>
        <w:tc>
          <w:tcPr>
            <w:tcW w:w="4266" w:type="dxa"/>
            <w:tcBorders>
              <w:top w:val="nil"/>
              <w:left w:val="single" w:sz="8" w:space="0" w:color="auto"/>
              <w:bottom w:val="single" w:sz="4" w:space="0" w:color="auto"/>
              <w:right w:val="single" w:sz="4" w:space="0" w:color="auto"/>
            </w:tcBorders>
            <w:shd w:val="clear" w:color="auto" w:fill="auto"/>
            <w:noWrap/>
            <w:vAlign w:val="bottom"/>
            <w:hideMark/>
          </w:tcPr>
          <w:p w:rsidR="00174ECB" w:rsidRPr="00CE5DEC" w:rsidRDefault="00174ECB" w:rsidP="00A847FE">
            <w:pPr>
              <w:spacing w:after="0" w:line="240" w:lineRule="auto"/>
              <w:rPr>
                <w:rFonts w:ascii="Times New Roman" w:eastAsia="Times New Roman" w:hAnsi="Times New Roman" w:cs="Times New Roman"/>
                <w:color w:val="000000"/>
              </w:rPr>
            </w:pPr>
            <w:r w:rsidRPr="00CE5DEC">
              <w:rPr>
                <w:rFonts w:ascii="Times New Roman" w:eastAsia="Times New Roman" w:hAnsi="Times New Roman" w:cs="Times New Roman"/>
                <w:color w:val="000000"/>
              </w:rPr>
              <w:t>Glaucoma</w:t>
            </w:r>
          </w:p>
        </w:tc>
        <w:tc>
          <w:tcPr>
            <w:tcW w:w="1860" w:type="dxa"/>
            <w:tcBorders>
              <w:top w:val="nil"/>
              <w:left w:val="nil"/>
              <w:bottom w:val="single" w:sz="4" w:space="0" w:color="auto"/>
              <w:right w:val="single" w:sz="4" w:space="0" w:color="auto"/>
            </w:tcBorders>
            <w:shd w:val="clear" w:color="auto" w:fill="auto"/>
            <w:noWrap/>
            <w:vAlign w:val="center"/>
            <w:hideMark/>
          </w:tcPr>
          <w:p w:rsidR="00174ECB" w:rsidRPr="00CE5DEC" w:rsidRDefault="00174ECB" w:rsidP="00A847FE">
            <w:pPr>
              <w:spacing w:after="0" w:line="240" w:lineRule="auto"/>
              <w:jc w:val="center"/>
              <w:rPr>
                <w:rFonts w:ascii="Times New Roman" w:eastAsia="Times New Roman" w:hAnsi="Times New Roman" w:cs="Times New Roman"/>
                <w:color w:val="000000"/>
              </w:rPr>
            </w:pPr>
            <w:r w:rsidRPr="00CE5DEC">
              <w:rPr>
                <w:rFonts w:ascii="Times New Roman" w:eastAsia="Times New Roman" w:hAnsi="Times New Roman" w:cs="Times New Roman"/>
                <w:color w:val="000000"/>
              </w:rPr>
              <w:t>Any vs None</w:t>
            </w:r>
          </w:p>
        </w:tc>
        <w:tc>
          <w:tcPr>
            <w:tcW w:w="1255"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0.987</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0.970</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eastAsia="Times New Roman" w:hAnsi="Times New Roman" w:cs="Times New Roman"/>
                <w:color w:val="000000"/>
              </w:rPr>
            </w:pPr>
            <w:r w:rsidRPr="00C278A1">
              <w:rPr>
                <w:rFonts w:ascii="Times New Roman" w:hAnsi="Times New Roman" w:cs="Times New Roman"/>
              </w:rPr>
              <w:t>1.004</w:t>
            </w:r>
          </w:p>
        </w:tc>
      </w:tr>
      <w:tr w:rsidR="00174ECB" w:rsidRPr="00720422" w:rsidTr="00A847FE">
        <w:trPr>
          <w:trHeight w:val="224"/>
        </w:trPr>
        <w:tc>
          <w:tcPr>
            <w:tcW w:w="4266" w:type="dxa"/>
            <w:tcBorders>
              <w:top w:val="nil"/>
              <w:left w:val="single" w:sz="8" w:space="0" w:color="auto"/>
              <w:bottom w:val="single" w:sz="8" w:space="0" w:color="auto"/>
              <w:right w:val="nil"/>
            </w:tcBorders>
            <w:shd w:val="clear" w:color="auto" w:fill="auto"/>
            <w:noWrap/>
            <w:vAlign w:val="bottom"/>
            <w:hideMark/>
          </w:tcPr>
          <w:p w:rsidR="00174ECB" w:rsidRPr="00E91006" w:rsidRDefault="00174ECB" w:rsidP="00A847FE">
            <w:pPr>
              <w:spacing w:after="0" w:line="240" w:lineRule="auto"/>
              <w:rPr>
                <w:rFonts w:ascii="Times New Roman" w:hAnsi="Times New Roman"/>
                <w:color w:val="000000"/>
              </w:rPr>
            </w:pPr>
            <w:r w:rsidRPr="00E91006">
              <w:rPr>
                <w:rFonts w:ascii="Times New Roman" w:hAnsi="Times New Roman"/>
                <w:color w:val="000000"/>
              </w:rPr>
              <w:t>Chronic Obstructive Pulmonary Disease</w:t>
            </w:r>
          </w:p>
        </w:tc>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174ECB" w:rsidRPr="00E91006" w:rsidRDefault="00174ECB" w:rsidP="00A847FE">
            <w:pPr>
              <w:spacing w:after="0" w:line="240" w:lineRule="auto"/>
              <w:jc w:val="center"/>
              <w:rPr>
                <w:rFonts w:ascii="Times New Roman" w:hAnsi="Times New Roman"/>
                <w:color w:val="000000"/>
              </w:rPr>
            </w:pPr>
            <w:r w:rsidRPr="00E91006">
              <w:rPr>
                <w:rFonts w:ascii="Times New Roman" w:hAnsi="Times New Roman"/>
                <w:color w:val="000000"/>
              </w:rPr>
              <w:t>Any vs None</w:t>
            </w:r>
          </w:p>
        </w:tc>
        <w:tc>
          <w:tcPr>
            <w:tcW w:w="1255" w:type="dxa"/>
            <w:tcBorders>
              <w:top w:val="nil"/>
              <w:left w:val="single" w:sz="4" w:space="0" w:color="auto"/>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1.010</w:t>
            </w:r>
          </w:p>
        </w:tc>
        <w:tc>
          <w:tcPr>
            <w:tcW w:w="1158"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0.994</w:t>
            </w:r>
          </w:p>
        </w:tc>
        <w:tc>
          <w:tcPr>
            <w:tcW w:w="1186" w:type="dxa"/>
            <w:tcBorders>
              <w:top w:val="nil"/>
              <w:left w:val="nil"/>
              <w:bottom w:val="single" w:sz="4" w:space="0" w:color="auto"/>
              <w:right w:val="single" w:sz="4" w:space="0" w:color="auto"/>
            </w:tcBorders>
            <w:shd w:val="clear" w:color="auto" w:fill="auto"/>
            <w:noWrap/>
          </w:tcPr>
          <w:p w:rsidR="00174ECB" w:rsidRPr="00C278A1" w:rsidRDefault="00174ECB" w:rsidP="00A847FE">
            <w:pPr>
              <w:spacing w:after="0" w:line="240" w:lineRule="auto"/>
              <w:jc w:val="center"/>
              <w:rPr>
                <w:rFonts w:ascii="Times New Roman" w:hAnsi="Times New Roman" w:cs="Times New Roman"/>
                <w:color w:val="000000"/>
              </w:rPr>
            </w:pPr>
            <w:r w:rsidRPr="00C278A1">
              <w:rPr>
                <w:rFonts w:ascii="Times New Roman" w:hAnsi="Times New Roman" w:cs="Times New Roman"/>
              </w:rPr>
              <w:t>1.027</w:t>
            </w:r>
          </w:p>
        </w:tc>
      </w:tr>
    </w:tbl>
    <w:p w:rsidR="00174ECB" w:rsidRDefault="00174ECB" w:rsidP="00174ECB"/>
    <w:p w:rsidR="00174ECB" w:rsidRPr="00720422" w:rsidRDefault="00174ECB" w:rsidP="00174ECB">
      <w:pPr>
        <w:spacing w:line="480" w:lineRule="auto"/>
        <w:outlineLvl w:val="1"/>
        <w:rPr>
          <w:rFonts w:ascii="Times New Roman" w:hAnsi="Times New Roman" w:cs="Times New Roman"/>
        </w:rPr>
      </w:pPr>
      <w:r>
        <w:rPr>
          <w:rFonts w:ascii="Times New Roman" w:hAnsi="Times New Roman" w:cs="Times New Roman"/>
        </w:rPr>
        <w:t xml:space="preserve">Supplemental Figure 1. Distribution of Risk Standardized Mortality Rates by decile. </w:t>
      </w:r>
      <w:r>
        <w:rPr>
          <w:rFonts w:ascii="Times New Roman" w:hAnsi="Times New Roman" w:cs="Times New Roman"/>
          <w:noProof/>
        </w:rPr>
        <w:drawing>
          <wp:inline distT="0" distB="0" distL="0" distR="0">
            <wp:extent cx="609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ure 1.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0" cy="4572000"/>
                    </a:xfrm>
                    <a:prstGeom prst="rect">
                      <a:avLst/>
                    </a:prstGeom>
                  </pic:spPr>
                </pic:pic>
              </a:graphicData>
            </a:graphic>
          </wp:inline>
        </w:drawing>
      </w:r>
    </w:p>
    <w:p w:rsidR="00174ECB" w:rsidRPr="00720422" w:rsidRDefault="00174ECB" w:rsidP="00174ECB">
      <w:pPr>
        <w:pStyle w:val="CommentText"/>
        <w:spacing w:line="480" w:lineRule="auto"/>
      </w:pPr>
    </w:p>
    <w:p w:rsidR="00174ECB" w:rsidRDefault="00174ECB" w:rsidP="00174ECB"/>
    <w:p w:rsidR="00174ECB" w:rsidRPr="00A815A8" w:rsidRDefault="00174ECB" w:rsidP="00174ECB">
      <w:pPr>
        <w:rPr>
          <w:rFonts w:ascii="Times New Roman" w:hAnsi="Times New Roman" w:cs="Times New Roman"/>
        </w:rPr>
      </w:pPr>
      <w:r w:rsidRPr="00A815A8">
        <w:rPr>
          <w:rFonts w:ascii="Times New Roman" w:hAnsi="Times New Roman" w:cs="Times New Roman"/>
        </w:rPr>
        <w:lastRenderedPageBreak/>
        <w:t xml:space="preserve">Supplemental Figure 2. Correlation between </w:t>
      </w:r>
      <w:r>
        <w:rPr>
          <w:rFonts w:ascii="Times New Roman" w:hAnsi="Times New Roman" w:cs="Times New Roman"/>
        </w:rPr>
        <w:t>Risk Standardized Mortality Rates</w:t>
      </w:r>
      <w:r w:rsidRPr="00A815A8">
        <w:rPr>
          <w:rFonts w:ascii="Times New Roman" w:hAnsi="Times New Roman" w:cs="Times New Roman"/>
        </w:rPr>
        <w:t xml:space="preserve"> for full and sub analysis (excluding hospitals with 50 or fewer included hospitalizations). </w:t>
      </w:r>
      <w:proofErr w:type="spellStart"/>
      <w:proofErr w:type="gramStart"/>
      <w:r w:rsidRPr="00A815A8">
        <w:rPr>
          <w:rFonts w:ascii="Times New Roman" w:hAnsi="Times New Roman" w:cs="Times New Roman"/>
        </w:rPr>
        <w:t>Pearsons</w:t>
      </w:r>
      <w:proofErr w:type="spellEnd"/>
      <w:proofErr w:type="gramEnd"/>
      <w:r w:rsidRPr="00A815A8">
        <w:rPr>
          <w:rFonts w:ascii="Times New Roman" w:hAnsi="Times New Roman" w:cs="Times New Roman"/>
        </w:rPr>
        <w:t xml:space="preserve"> correlation coefficient &gt; 0.99. </w:t>
      </w:r>
    </w:p>
    <w:p w:rsidR="00FC70C6" w:rsidRDefault="00174ECB">
      <w:bookmarkStart w:id="0" w:name="_GoBack"/>
      <w:r>
        <w:rPr>
          <w:noProof/>
        </w:rPr>
        <w:drawing>
          <wp:inline distT="0" distB="0" distL="0" distR="0">
            <wp:extent cx="609600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 2.tiff"/>
                    <pic:cNvPicPr/>
                  </pic:nvPicPr>
                  <pic:blipFill rotWithShape="1">
                    <a:blip r:embed="rId5" cstate="print">
                      <a:extLst>
                        <a:ext uri="{28A0092B-C50C-407E-A947-70E740481C1C}">
                          <a14:useLocalDpi xmlns:a14="http://schemas.microsoft.com/office/drawing/2010/main" val="0"/>
                        </a:ext>
                      </a:extLst>
                    </a:blip>
                    <a:srcRect t="9375"/>
                    <a:stretch/>
                  </pic:blipFill>
                  <pic:spPr bwMode="auto">
                    <a:xfrm>
                      <a:off x="0" y="0"/>
                      <a:ext cx="6096000" cy="414337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CB"/>
    <w:rsid w:val="00174ECB"/>
    <w:rsid w:val="00A7289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4EC9"/>
  <w15:chartTrackingRefBased/>
  <w15:docId w15:val="{7BA53462-C07F-4CC8-A832-20766191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74ECB"/>
    <w:pPr>
      <w:spacing w:line="240" w:lineRule="auto"/>
    </w:pPr>
    <w:rPr>
      <w:sz w:val="20"/>
      <w:szCs w:val="20"/>
    </w:rPr>
  </w:style>
  <w:style w:type="character" w:customStyle="1" w:styleId="CommentTextChar">
    <w:name w:val="Comment Text Char"/>
    <w:basedOn w:val="DefaultParagraphFont"/>
    <w:link w:val="CommentText"/>
    <w:uiPriority w:val="99"/>
    <w:rsid w:val="00174ECB"/>
    <w:rPr>
      <w:sz w:val="20"/>
      <w:szCs w:val="20"/>
    </w:rPr>
  </w:style>
  <w:style w:type="table" w:styleId="PlainTable2">
    <w:name w:val="Plain Table 2"/>
    <w:basedOn w:val="TableNormal"/>
    <w:uiPriority w:val="42"/>
    <w:rsid w:val="00174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Kelly M. (CDC/OID/NCEZID)</dc:creator>
  <cp:keywords/>
  <dc:description/>
  <cp:lastModifiedBy>Hatfield, Kelly M. (CDC/OID/NCEZID)</cp:lastModifiedBy>
  <cp:revision>2</cp:revision>
  <dcterms:created xsi:type="dcterms:W3CDTF">2018-05-16T18:18:00Z</dcterms:created>
  <dcterms:modified xsi:type="dcterms:W3CDTF">2018-05-16T18:32:00Z</dcterms:modified>
</cp:coreProperties>
</file>