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85D4" w14:textId="77777777" w:rsidR="00FC70C6" w:rsidRPr="00F32132" w:rsidRDefault="00167179" w:rsidP="00F32132">
      <w:pPr>
        <w:spacing w:after="0" w:line="480" w:lineRule="auto"/>
        <w:rPr>
          <w:b/>
        </w:rPr>
      </w:pPr>
      <w:r w:rsidRPr="00F32132">
        <w:rPr>
          <w:b/>
        </w:rPr>
        <w:t>Supplemental materials</w:t>
      </w:r>
    </w:p>
    <w:p w14:paraId="2D07D2EF" w14:textId="77777777" w:rsidR="00167179" w:rsidRDefault="00167179" w:rsidP="00F32132">
      <w:pPr>
        <w:spacing w:after="0" w:line="480" w:lineRule="auto"/>
      </w:pPr>
    </w:p>
    <w:p w14:paraId="2033E827" w14:textId="77777777" w:rsidR="00167179" w:rsidRPr="00F32132" w:rsidRDefault="00765249" w:rsidP="00F32132">
      <w:pPr>
        <w:spacing w:after="0" w:line="480" w:lineRule="auto"/>
        <w:rPr>
          <w:b/>
        </w:rPr>
      </w:pPr>
      <w:r>
        <w:rPr>
          <w:b/>
        </w:rPr>
        <w:t>Supplemental m</w:t>
      </w:r>
      <w:r w:rsidR="00167179" w:rsidRPr="00F32132">
        <w:rPr>
          <w:b/>
        </w:rPr>
        <w:t>ethods</w:t>
      </w:r>
    </w:p>
    <w:p w14:paraId="025DE508" w14:textId="77777777" w:rsidR="00167179" w:rsidRPr="007F57F9" w:rsidRDefault="00F32132" w:rsidP="00F32132">
      <w:pPr>
        <w:spacing w:after="0" w:line="480" w:lineRule="auto"/>
        <w:rPr>
          <w:i/>
        </w:rPr>
      </w:pPr>
      <w:r w:rsidRPr="007F57F9">
        <w:rPr>
          <w:i/>
        </w:rPr>
        <w:t>Counties</w:t>
      </w:r>
    </w:p>
    <w:p w14:paraId="6728149C" w14:textId="31A2C273" w:rsidR="00F32132" w:rsidRDefault="00F32132" w:rsidP="00F32132">
      <w:pPr>
        <w:spacing w:after="0" w:line="480" w:lineRule="auto"/>
      </w:pPr>
      <w:r>
        <w:t xml:space="preserve">For this paper, data were used from the following </w:t>
      </w:r>
      <w:r w:rsidR="00B33739">
        <w:t xml:space="preserve">Emerging Infections Program continuously </w:t>
      </w:r>
      <w:r>
        <w:t>under surveillance</w:t>
      </w:r>
      <w:r w:rsidR="00B33739">
        <w:t xml:space="preserve"> for invasive methicillin-resistant </w:t>
      </w:r>
      <w:r w:rsidR="00B33739">
        <w:rPr>
          <w:i/>
        </w:rPr>
        <w:t xml:space="preserve">Staphylococcus aureus </w:t>
      </w:r>
      <w:r w:rsidR="00B33739">
        <w:t>during 2005</w:t>
      </w:r>
      <w:r w:rsidR="00B33739">
        <w:rPr>
          <w:rFonts w:cstheme="minorHAnsi"/>
        </w:rPr>
        <w:t>–2013</w:t>
      </w:r>
      <w:r>
        <w:t>: California (Contra Costa, Alameda,</w:t>
      </w:r>
      <w:r w:rsidR="00B33739">
        <w:t xml:space="preserve"> and</w:t>
      </w:r>
      <w:r>
        <w:t xml:space="preserve"> San Francisco counties), Georgia (DeKalb, Fulton, Douglas, Clayton, Gwinnett, Cobb, Newton, and Rockdale counties), Minnesota (</w:t>
      </w:r>
      <w:r w:rsidR="00765249">
        <w:t>Ramsey</w:t>
      </w:r>
      <w:r>
        <w:t xml:space="preserve"> </w:t>
      </w:r>
      <w:proofErr w:type="gramStart"/>
      <w:r>
        <w:t>county</w:t>
      </w:r>
      <w:proofErr w:type="gramEnd"/>
      <w:r>
        <w:t>), New York (Monroe County), Tennessee (Davidson county).</w:t>
      </w:r>
      <w:r w:rsidR="00BF4471">
        <w:t xml:space="preserve">  Compared to the United States as a whole, minority races are overrepresented in this five site population area.</w:t>
      </w:r>
    </w:p>
    <w:p w14:paraId="07AB8111" w14:textId="77777777" w:rsidR="00F32132" w:rsidRDefault="00F32132" w:rsidP="00F32132">
      <w:pPr>
        <w:spacing w:after="0" w:line="480" w:lineRule="auto"/>
      </w:pPr>
    </w:p>
    <w:p w14:paraId="59830BDE" w14:textId="77777777" w:rsidR="00F32132" w:rsidRDefault="00ED1AC5" w:rsidP="00F32132">
      <w:pPr>
        <w:spacing w:after="0" w:line="480" w:lineRule="auto"/>
        <w:rPr>
          <w:i/>
        </w:rPr>
      </w:pPr>
      <w:r>
        <w:rPr>
          <w:i/>
        </w:rPr>
        <w:t>Isolate collection</w:t>
      </w:r>
    </w:p>
    <w:p w14:paraId="136B2150" w14:textId="34668EDE" w:rsidR="007F57F9" w:rsidRDefault="00020479" w:rsidP="00327BCB">
      <w:pPr>
        <w:tabs>
          <w:tab w:val="left" w:pos="2988"/>
        </w:tabs>
        <w:spacing w:after="0" w:line="480" w:lineRule="auto"/>
      </w:pPr>
      <w:r>
        <w:t>As noted in the methods section of the manuscript, a subset of</w:t>
      </w:r>
      <w:r w:rsidRPr="00020479">
        <w:t xml:space="preserve"> clinical laboratories in each </w:t>
      </w:r>
      <w:r>
        <w:t xml:space="preserve">of the above </w:t>
      </w:r>
      <w:r w:rsidRPr="00020479">
        <w:t>EIP site</w:t>
      </w:r>
      <w:r>
        <w:t>s</w:t>
      </w:r>
      <w:r w:rsidRPr="00020479">
        <w:t xml:space="preserve"> was identified from which either &gt;50% of MRSA blood isolates from cases were </w:t>
      </w:r>
      <w:r w:rsidR="002F4384">
        <w:t xml:space="preserve">submitted and tested </w:t>
      </w:r>
      <w:r w:rsidRPr="00020479">
        <w:t xml:space="preserve">at CDC or a systematic sample of blood isolates was </w:t>
      </w:r>
      <w:r w:rsidR="002F4384">
        <w:t xml:space="preserve">submitted and tested </w:t>
      </w:r>
      <w:r w:rsidR="00B33739">
        <w:t>(New York site only)</w:t>
      </w:r>
      <w:r w:rsidRPr="00020479">
        <w:t xml:space="preserve">.  </w:t>
      </w:r>
      <w:r>
        <w:t xml:space="preserve">All laboratories from Minnesota were included because isolate </w:t>
      </w:r>
      <w:r w:rsidR="002F4384">
        <w:t xml:space="preserve">submission </w:t>
      </w:r>
      <w:r>
        <w:t xml:space="preserve">occurs throughout the county.  </w:t>
      </w:r>
      <w:r w:rsidR="00327BCB">
        <w:t xml:space="preserve">Of 5614 </w:t>
      </w:r>
      <w:r w:rsidR="00B33739">
        <w:t xml:space="preserve">bloodstream infection </w:t>
      </w:r>
      <w:r w:rsidR="00327BCB">
        <w:t>cases identified from the</w:t>
      </w:r>
      <w:r>
        <w:t>se</w:t>
      </w:r>
      <w:r w:rsidR="00327BCB">
        <w:t xml:space="preserve"> </w:t>
      </w:r>
      <w:r>
        <w:t>clinical laboratories</w:t>
      </w:r>
      <w:r w:rsidR="002102B2">
        <w:t xml:space="preserve"> from 2005</w:t>
      </w:r>
      <w:r w:rsidR="002102B2">
        <w:rPr>
          <w:rFonts w:cstheme="minorHAnsi"/>
        </w:rPr>
        <w:t>–</w:t>
      </w:r>
      <w:r w:rsidR="002102B2">
        <w:t>2013</w:t>
      </w:r>
      <w:r>
        <w:t xml:space="preserve">, isolates had been </w:t>
      </w:r>
      <w:r w:rsidR="00E456C0">
        <w:t xml:space="preserve">submitted and </w:t>
      </w:r>
      <w:r>
        <w:t>tested for 68%.</w:t>
      </w:r>
    </w:p>
    <w:p w14:paraId="0FE9AF7D" w14:textId="77777777" w:rsidR="00ED1AC5" w:rsidRDefault="00ED1AC5" w:rsidP="00020479">
      <w:pPr>
        <w:spacing w:after="0" w:line="480" w:lineRule="auto"/>
      </w:pPr>
    </w:p>
    <w:p w14:paraId="12FE1572" w14:textId="77777777" w:rsidR="00C44EA9" w:rsidRPr="00C44EA9" w:rsidRDefault="00C44EA9" w:rsidP="00020479">
      <w:pPr>
        <w:spacing w:after="0" w:line="480" w:lineRule="auto"/>
        <w:rPr>
          <w:i/>
        </w:rPr>
      </w:pPr>
      <w:r>
        <w:rPr>
          <w:i/>
        </w:rPr>
        <w:t>Multiple imputation</w:t>
      </w:r>
    </w:p>
    <w:p w14:paraId="38897162" w14:textId="77777777" w:rsidR="002102B2" w:rsidRPr="007F57F9" w:rsidRDefault="00C03040" w:rsidP="002102B2">
      <w:pPr>
        <w:spacing w:after="0" w:line="480" w:lineRule="auto"/>
        <w:ind w:firstLine="720"/>
      </w:pPr>
      <w:r>
        <w:t>To perform imputation, first a multinomial</w:t>
      </w:r>
      <w:r w:rsidR="00ED1AC5">
        <w:t xml:space="preserve"> logistic regression model was created using strain type (“USA100”, “USA300”, or “other”) as the dependent variable with backwards stepwise selection and a stay criteria of P&lt;0.05 to select variables significantly associated with different strain types.  Candidate variables were age, </w:t>
      </w:r>
      <w:r w:rsidR="00C44EA9">
        <w:t xml:space="preserve">sex, state, year, </w:t>
      </w:r>
      <w:r w:rsidR="00ED1AC5">
        <w:t xml:space="preserve">infection type (e.g., bloodstream infection, osteomyelitis), culture source, comorbid conditions (HIV infection, recurrent boils, prior CVA, chronic liver disease, diabetes, congestive heart failure, injection drug use, obesity, peptic ulcer disease, peripheral vascular disease, chronic renal disease, smoking, </w:t>
      </w:r>
      <w:r w:rsidR="00ED1AC5">
        <w:lastRenderedPageBreak/>
        <w:t>dementia, chronic pulmonary disease, homelessness, connective tissue disease, other drug use), and healthcare exposure data (prior hospitalization, dialysis, or long-term facility stay</w:t>
      </w:r>
      <w:r w:rsidR="00C44EA9">
        <w:t>; overall epidemiologic classification</w:t>
      </w:r>
      <w:r w:rsidR="00ED1AC5">
        <w:t>; recent central venous catheter use), date of admission when specimen was collect</w:t>
      </w:r>
      <w:r w:rsidR="00C44EA9">
        <w:t>ed</w:t>
      </w:r>
      <w:r w:rsidR="00ED1AC5">
        <w:t xml:space="preserve">, </w:t>
      </w:r>
      <w:r w:rsidR="00C44EA9">
        <w:t xml:space="preserve">where the specimen was collected (e.g., intensive care, unit, emergency department) </w:t>
      </w:r>
      <w:r w:rsidR="00ED1AC5">
        <w:t>and whether the infection represented a recurrence.</w:t>
      </w:r>
      <w:r w:rsidR="00C44EA9">
        <w:t xml:space="preserve">  Variables </w:t>
      </w:r>
      <w:r w:rsidR="00F34326">
        <w:t xml:space="preserve">independently </w:t>
      </w:r>
      <w:r w:rsidR="00C44EA9">
        <w:t>associated with different strain types were age, sex, state, year, cellulitis, pneumonia, traumatic wound infection, skin abscess, AIDS, recurrent boils, congestive heart disease, hematologic malignancy, injection drug use, obesity, current smoker, chronic pulmonary disease, dementia, other drug use, hemiplegia, prior long-term care facility residence, prior surgery, location of specimen collection, epidemiologic class, and admission date of culture.</w:t>
      </w:r>
    </w:p>
    <w:p w14:paraId="0BCF9492" w14:textId="77777777" w:rsidR="00167179" w:rsidRDefault="002102B2" w:rsidP="00F32132">
      <w:pPr>
        <w:spacing w:after="0" w:line="480" w:lineRule="auto"/>
      </w:pPr>
      <w:r>
        <w:tab/>
      </w:r>
      <w:r w:rsidR="00C44EA9">
        <w:t>Second, multiple imputation was performed using these variables</w:t>
      </w:r>
      <w:r w:rsidR="00A9441C">
        <w:t>.</w:t>
      </w:r>
      <w:r w:rsidR="00C44EA9">
        <w:t xml:space="preserve">  Twenty-five imputation datasets were created with the SAS PROC MI procedure using a monotone logistic method.</w:t>
      </w:r>
    </w:p>
    <w:p w14:paraId="358361F5" w14:textId="77777777" w:rsidR="00125273" w:rsidRDefault="00125273" w:rsidP="00F32132">
      <w:pPr>
        <w:spacing w:after="0" w:line="480" w:lineRule="auto"/>
      </w:pPr>
    </w:p>
    <w:p w14:paraId="0C51C155" w14:textId="77777777" w:rsidR="00125273" w:rsidRDefault="00125273">
      <w:r>
        <w:br w:type="page"/>
      </w:r>
    </w:p>
    <w:p w14:paraId="37729EBD" w14:textId="77777777" w:rsidR="003A238C" w:rsidRDefault="003A238C" w:rsidP="00125273">
      <w:pPr>
        <w:rPr>
          <w:b/>
        </w:rPr>
      </w:pPr>
      <w:r>
        <w:rPr>
          <w:b/>
        </w:rPr>
        <w:lastRenderedPageBreak/>
        <w:t>Supplemental Tables</w:t>
      </w:r>
      <w:bookmarkStart w:id="0" w:name="_GoBack"/>
      <w:bookmarkEnd w:id="0"/>
    </w:p>
    <w:p w14:paraId="43408FBA" w14:textId="13FA3F4C" w:rsidR="00125273" w:rsidRDefault="00125273" w:rsidP="00125273">
      <w:r w:rsidRPr="00765249">
        <w:rPr>
          <w:b/>
        </w:rPr>
        <w:t>Table S1</w:t>
      </w:r>
      <w:r>
        <w:t xml:space="preserve">: Completeness of </w:t>
      </w:r>
      <w:r w:rsidR="002D322B">
        <w:t xml:space="preserve">blood </w:t>
      </w:r>
      <w:r>
        <w:t xml:space="preserve">isolates </w:t>
      </w:r>
      <w:r w:rsidR="009353BD">
        <w:t>submitted</w:t>
      </w:r>
      <w:r>
        <w:t xml:space="preserve"> by </w:t>
      </w:r>
      <w:r w:rsidR="009353BD">
        <w:t xml:space="preserve">selected laboratories in </w:t>
      </w:r>
      <w:r w:rsidR="002D322B">
        <w:t>five</w:t>
      </w:r>
      <w:r w:rsidR="009353BD">
        <w:t xml:space="preserve"> Emerging Infections Program sites, by </w:t>
      </w:r>
      <w:r>
        <w:t>year (</w:t>
      </w:r>
      <w:r w:rsidRPr="0047366B">
        <w:rPr>
          <w:i/>
        </w:rPr>
        <w:t>P</w:t>
      </w:r>
      <w:r>
        <w:t>&lt;0.0001 overall)</w:t>
      </w:r>
    </w:p>
    <w:tbl>
      <w:tblPr>
        <w:tblStyle w:val="TableGrid"/>
        <w:tblW w:w="9677" w:type="dxa"/>
        <w:tblLook w:val="04A0" w:firstRow="1" w:lastRow="0" w:firstColumn="1" w:lastColumn="0" w:noHBand="0" w:noVBand="1"/>
      </w:tblPr>
      <w:tblGrid>
        <w:gridCol w:w="1901"/>
        <w:gridCol w:w="864"/>
        <w:gridCol w:w="864"/>
        <w:gridCol w:w="864"/>
        <w:gridCol w:w="864"/>
        <w:gridCol w:w="864"/>
        <w:gridCol w:w="864"/>
        <w:gridCol w:w="864"/>
        <w:gridCol w:w="864"/>
        <w:gridCol w:w="864"/>
      </w:tblGrid>
      <w:tr w:rsidR="0047366B" w14:paraId="6A817F1C" w14:textId="77777777" w:rsidTr="0047366B">
        <w:tc>
          <w:tcPr>
            <w:tcW w:w="1901" w:type="dxa"/>
          </w:tcPr>
          <w:p w14:paraId="1ED6AEF6" w14:textId="77777777" w:rsidR="00125273" w:rsidRDefault="00125273" w:rsidP="00457B74"/>
        </w:tc>
        <w:tc>
          <w:tcPr>
            <w:tcW w:w="864" w:type="dxa"/>
          </w:tcPr>
          <w:p w14:paraId="2D02C56C" w14:textId="77777777" w:rsidR="00125273" w:rsidRDefault="00125273" w:rsidP="00457B74">
            <w:r>
              <w:t>2005</w:t>
            </w:r>
          </w:p>
        </w:tc>
        <w:tc>
          <w:tcPr>
            <w:tcW w:w="864" w:type="dxa"/>
          </w:tcPr>
          <w:p w14:paraId="5E5C8099" w14:textId="77777777" w:rsidR="00125273" w:rsidRDefault="00125273" w:rsidP="00457B74">
            <w:r>
              <w:t>2006</w:t>
            </w:r>
          </w:p>
        </w:tc>
        <w:tc>
          <w:tcPr>
            <w:tcW w:w="864" w:type="dxa"/>
          </w:tcPr>
          <w:p w14:paraId="1DBE488C" w14:textId="77777777" w:rsidR="00125273" w:rsidRDefault="00125273" w:rsidP="00457B74">
            <w:r>
              <w:t>2007</w:t>
            </w:r>
          </w:p>
        </w:tc>
        <w:tc>
          <w:tcPr>
            <w:tcW w:w="864" w:type="dxa"/>
          </w:tcPr>
          <w:p w14:paraId="27F1E9F8" w14:textId="77777777" w:rsidR="00125273" w:rsidRDefault="00125273" w:rsidP="00457B74">
            <w:r>
              <w:t>2008</w:t>
            </w:r>
          </w:p>
        </w:tc>
        <w:tc>
          <w:tcPr>
            <w:tcW w:w="864" w:type="dxa"/>
          </w:tcPr>
          <w:p w14:paraId="06A99109" w14:textId="77777777" w:rsidR="00125273" w:rsidRDefault="00125273" w:rsidP="00457B74">
            <w:r>
              <w:t>2009</w:t>
            </w:r>
          </w:p>
        </w:tc>
        <w:tc>
          <w:tcPr>
            <w:tcW w:w="864" w:type="dxa"/>
          </w:tcPr>
          <w:p w14:paraId="322DB3C1" w14:textId="77777777" w:rsidR="00125273" w:rsidRDefault="00125273" w:rsidP="00457B74">
            <w:r>
              <w:t>2010</w:t>
            </w:r>
          </w:p>
        </w:tc>
        <w:tc>
          <w:tcPr>
            <w:tcW w:w="864" w:type="dxa"/>
          </w:tcPr>
          <w:p w14:paraId="1E55B068" w14:textId="77777777" w:rsidR="00125273" w:rsidRDefault="00125273" w:rsidP="00457B74">
            <w:r>
              <w:t>2011</w:t>
            </w:r>
          </w:p>
        </w:tc>
        <w:tc>
          <w:tcPr>
            <w:tcW w:w="864" w:type="dxa"/>
          </w:tcPr>
          <w:p w14:paraId="585D4F96" w14:textId="77777777" w:rsidR="00125273" w:rsidRDefault="00125273" w:rsidP="00457B74">
            <w:r>
              <w:t>2012</w:t>
            </w:r>
          </w:p>
        </w:tc>
        <w:tc>
          <w:tcPr>
            <w:tcW w:w="864" w:type="dxa"/>
          </w:tcPr>
          <w:p w14:paraId="0EC3041D" w14:textId="77777777" w:rsidR="00125273" w:rsidRDefault="00125273" w:rsidP="00457B74">
            <w:r>
              <w:t>2013</w:t>
            </w:r>
          </w:p>
        </w:tc>
      </w:tr>
      <w:tr w:rsidR="0047366B" w14:paraId="4C52B48D" w14:textId="77777777" w:rsidTr="0047366B">
        <w:tc>
          <w:tcPr>
            <w:tcW w:w="1901" w:type="dxa"/>
          </w:tcPr>
          <w:p w14:paraId="04F64651" w14:textId="3647F3D1" w:rsidR="00125273" w:rsidRDefault="002D322B" w:rsidP="002D322B">
            <w:r>
              <w:t>Cases with i</w:t>
            </w:r>
            <w:r w:rsidR="00125273">
              <w:t xml:space="preserve">solates </w:t>
            </w:r>
            <w:r>
              <w:t>submitted</w:t>
            </w:r>
            <w:r w:rsidR="00125273">
              <w:t>, n</w:t>
            </w:r>
          </w:p>
        </w:tc>
        <w:tc>
          <w:tcPr>
            <w:tcW w:w="864" w:type="dxa"/>
          </w:tcPr>
          <w:p w14:paraId="76F44F8A" w14:textId="77777777" w:rsidR="00125273" w:rsidRDefault="00125273" w:rsidP="00457B74">
            <w:r>
              <w:t>520</w:t>
            </w:r>
          </w:p>
        </w:tc>
        <w:tc>
          <w:tcPr>
            <w:tcW w:w="864" w:type="dxa"/>
          </w:tcPr>
          <w:p w14:paraId="159C513A" w14:textId="77777777" w:rsidR="00125273" w:rsidRDefault="00125273" w:rsidP="00457B74">
            <w:r>
              <w:t>502</w:t>
            </w:r>
          </w:p>
        </w:tc>
        <w:tc>
          <w:tcPr>
            <w:tcW w:w="864" w:type="dxa"/>
          </w:tcPr>
          <w:p w14:paraId="28E4EDB9" w14:textId="77777777" w:rsidR="00125273" w:rsidRDefault="00125273" w:rsidP="00457B74">
            <w:r>
              <w:t>518</w:t>
            </w:r>
          </w:p>
        </w:tc>
        <w:tc>
          <w:tcPr>
            <w:tcW w:w="864" w:type="dxa"/>
          </w:tcPr>
          <w:p w14:paraId="718088E7" w14:textId="77777777" w:rsidR="00125273" w:rsidRDefault="00125273" w:rsidP="00457B74">
            <w:r>
              <w:t>539</w:t>
            </w:r>
          </w:p>
        </w:tc>
        <w:tc>
          <w:tcPr>
            <w:tcW w:w="864" w:type="dxa"/>
          </w:tcPr>
          <w:p w14:paraId="6B10F6AF" w14:textId="77777777" w:rsidR="00125273" w:rsidRDefault="00125273" w:rsidP="00457B74">
            <w:r>
              <w:t>419</w:t>
            </w:r>
          </w:p>
        </w:tc>
        <w:tc>
          <w:tcPr>
            <w:tcW w:w="864" w:type="dxa"/>
          </w:tcPr>
          <w:p w14:paraId="04D47FA7" w14:textId="77777777" w:rsidR="00125273" w:rsidRDefault="00125273" w:rsidP="00457B74">
            <w:r>
              <w:t>344</w:t>
            </w:r>
          </w:p>
        </w:tc>
        <w:tc>
          <w:tcPr>
            <w:tcW w:w="864" w:type="dxa"/>
          </w:tcPr>
          <w:p w14:paraId="6731E8AE" w14:textId="77777777" w:rsidR="00125273" w:rsidRDefault="00125273" w:rsidP="00457B74">
            <w:r>
              <w:t>344</w:t>
            </w:r>
          </w:p>
        </w:tc>
        <w:tc>
          <w:tcPr>
            <w:tcW w:w="864" w:type="dxa"/>
          </w:tcPr>
          <w:p w14:paraId="00B85234" w14:textId="77777777" w:rsidR="00125273" w:rsidRDefault="00125273" w:rsidP="00457B74">
            <w:r>
              <w:t>310</w:t>
            </w:r>
          </w:p>
        </w:tc>
        <w:tc>
          <w:tcPr>
            <w:tcW w:w="864" w:type="dxa"/>
          </w:tcPr>
          <w:p w14:paraId="3A363316" w14:textId="77777777" w:rsidR="00125273" w:rsidRDefault="00125273" w:rsidP="00457B74">
            <w:r>
              <w:t>294</w:t>
            </w:r>
          </w:p>
        </w:tc>
      </w:tr>
      <w:tr w:rsidR="0047366B" w14:paraId="5463F6D4" w14:textId="77777777" w:rsidTr="0047366B">
        <w:tc>
          <w:tcPr>
            <w:tcW w:w="1901" w:type="dxa"/>
          </w:tcPr>
          <w:p w14:paraId="1BE55732" w14:textId="2F46894C" w:rsidR="00125273" w:rsidRDefault="009353BD" w:rsidP="009353BD">
            <w:r>
              <w:t xml:space="preserve">Cases with </w:t>
            </w:r>
            <w:r w:rsidR="002D322B">
              <w:t>n</w:t>
            </w:r>
            <w:r w:rsidR="0047366B">
              <w:t xml:space="preserve">o isolate </w:t>
            </w:r>
            <w:r>
              <w:t>submitted</w:t>
            </w:r>
            <w:r w:rsidR="00125273">
              <w:t>, n</w:t>
            </w:r>
          </w:p>
        </w:tc>
        <w:tc>
          <w:tcPr>
            <w:tcW w:w="864" w:type="dxa"/>
          </w:tcPr>
          <w:p w14:paraId="484EE810" w14:textId="77777777" w:rsidR="00125273" w:rsidRDefault="00125273" w:rsidP="00457B74">
            <w:r>
              <w:t>280</w:t>
            </w:r>
          </w:p>
        </w:tc>
        <w:tc>
          <w:tcPr>
            <w:tcW w:w="864" w:type="dxa"/>
          </w:tcPr>
          <w:p w14:paraId="162991EB" w14:textId="77777777" w:rsidR="00125273" w:rsidRDefault="00125273" w:rsidP="00457B74">
            <w:r>
              <w:t>339</w:t>
            </w:r>
          </w:p>
        </w:tc>
        <w:tc>
          <w:tcPr>
            <w:tcW w:w="864" w:type="dxa"/>
          </w:tcPr>
          <w:p w14:paraId="53CFB19F" w14:textId="77777777" w:rsidR="00125273" w:rsidRDefault="00125273" w:rsidP="00457B74">
            <w:r>
              <w:t>203</w:t>
            </w:r>
          </w:p>
        </w:tc>
        <w:tc>
          <w:tcPr>
            <w:tcW w:w="864" w:type="dxa"/>
          </w:tcPr>
          <w:p w14:paraId="61DE0504" w14:textId="77777777" w:rsidR="00125273" w:rsidRDefault="00125273" w:rsidP="00457B74">
            <w:r>
              <w:t>168</w:t>
            </w:r>
          </w:p>
        </w:tc>
        <w:tc>
          <w:tcPr>
            <w:tcW w:w="864" w:type="dxa"/>
          </w:tcPr>
          <w:p w14:paraId="1D7345A5" w14:textId="77777777" w:rsidR="00125273" w:rsidRDefault="00125273" w:rsidP="00457B74">
            <w:r>
              <w:t>203</w:t>
            </w:r>
          </w:p>
        </w:tc>
        <w:tc>
          <w:tcPr>
            <w:tcW w:w="864" w:type="dxa"/>
          </w:tcPr>
          <w:p w14:paraId="6A438096" w14:textId="77777777" w:rsidR="00125273" w:rsidRDefault="00125273" w:rsidP="00457B74">
            <w:r>
              <w:t>167</w:t>
            </w:r>
          </w:p>
        </w:tc>
        <w:tc>
          <w:tcPr>
            <w:tcW w:w="864" w:type="dxa"/>
          </w:tcPr>
          <w:p w14:paraId="3AA8FCCB" w14:textId="77777777" w:rsidR="00125273" w:rsidRDefault="00125273" w:rsidP="00457B74">
            <w:r>
              <w:t>185</w:t>
            </w:r>
          </w:p>
        </w:tc>
        <w:tc>
          <w:tcPr>
            <w:tcW w:w="864" w:type="dxa"/>
          </w:tcPr>
          <w:p w14:paraId="7FF6CCB6" w14:textId="77777777" w:rsidR="00125273" w:rsidRDefault="00125273" w:rsidP="00457B74">
            <w:r>
              <w:t>153</w:t>
            </w:r>
          </w:p>
        </w:tc>
        <w:tc>
          <w:tcPr>
            <w:tcW w:w="864" w:type="dxa"/>
          </w:tcPr>
          <w:p w14:paraId="3A186192" w14:textId="77777777" w:rsidR="00125273" w:rsidRDefault="00125273" w:rsidP="00457B74">
            <w:r>
              <w:t>126</w:t>
            </w:r>
          </w:p>
        </w:tc>
      </w:tr>
      <w:tr w:rsidR="0047366B" w14:paraId="3F0B41AC" w14:textId="77777777" w:rsidTr="0047366B">
        <w:tc>
          <w:tcPr>
            <w:tcW w:w="1901" w:type="dxa"/>
          </w:tcPr>
          <w:p w14:paraId="1A010639" w14:textId="076408F0" w:rsidR="00125273" w:rsidRDefault="002D322B" w:rsidP="002D322B">
            <w:r>
              <w:t>Cases with i</w:t>
            </w:r>
            <w:r w:rsidR="00125273">
              <w:t xml:space="preserve">solates </w:t>
            </w:r>
            <w:r w:rsidR="009353BD">
              <w:t>submitted</w:t>
            </w:r>
            <w:r w:rsidR="00125273">
              <w:t>, % of total</w:t>
            </w:r>
          </w:p>
        </w:tc>
        <w:tc>
          <w:tcPr>
            <w:tcW w:w="864" w:type="dxa"/>
          </w:tcPr>
          <w:p w14:paraId="34587F11" w14:textId="77777777" w:rsidR="00125273" w:rsidRDefault="00125273" w:rsidP="00457B74">
            <w:r>
              <w:t>65.0%</w:t>
            </w:r>
          </w:p>
        </w:tc>
        <w:tc>
          <w:tcPr>
            <w:tcW w:w="864" w:type="dxa"/>
          </w:tcPr>
          <w:p w14:paraId="420F7828" w14:textId="77777777" w:rsidR="00125273" w:rsidRDefault="00125273" w:rsidP="00457B74">
            <w:r>
              <w:t>59.7%</w:t>
            </w:r>
          </w:p>
        </w:tc>
        <w:tc>
          <w:tcPr>
            <w:tcW w:w="864" w:type="dxa"/>
          </w:tcPr>
          <w:p w14:paraId="66816D39" w14:textId="77777777" w:rsidR="00125273" w:rsidRDefault="00125273" w:rsidP="00457B74">
            <w:r>
              <w:t>71.8%</w:t>
            </w:r>
          </w:p>
        </w:tc>
        <w:tc>
          <w:tcPr>
            <w:tcW w:w="864" w:type="dxa"/>
          </w:tcPr>
          <w:p w14:paraId="0E48039E" w14:textId="77777777" w:rsidR="00125273" w:rsidRDefault="00125273" w:rsidP="00457B74">
            <w:r>
              <w:t>76.2%</w:t>
            </w:r>
          </w:p>
        </w:tc>
        <w:tc>
          <w:tcPr>
            <w:tcW w:w="864" w:type="dxa"/>
          </w:tcPr>
          <w:p w14:paraId="7BBF8B0D" w14:textId="77777777" w:rsidR="00125273" w:rsidRDefault="00125273" w:rsidP="00457B74">
            <w:r>
              <w:t>67.4%</w:t>
            </w:r>
          </w:p>
        </w:tc>
        <w:tc>
          <w:tcPr>
            <w:tcW w:w="864" w:type="dxa"/>
          </w:tcPr>
          <w:p w14:paraId="7E467CF0" w14:textId="77777777" w:rsidR="00125273" w:rsidRDefault="00125273" w:rsidP="00457B74">
            <w:r>
              <w:t>67.3%</w:t>
            </w:r>
          </w:p>
        </w:tc>
        <w:tc>
          <w:tcPr>
            <w:tcW w:w="864" w:type="dxa"/>
          </w:tcPr>
          <w:p w14:paraId="7133EFE8" w14:textId="77777777" w:rsidR="00125273" w:rsidRDefault="00125273" w:rsidP="00457B74">
            <w:r>
              <w:t>65.0%</w:t>
            </w:r>
          </w:p>
        </w:tc>
        <w:tc>
          <w:tcPr>
            <w:tcW w:w="864" w:type="dxa"/>
          </w:tcPr>
          <w:p w14:paraId="708786B2" w14:textId="77777777" w:rsidR="00125273" w:rsidRDefault="00125273" w:rsidP="00457B74">
            <w:r>
              <w:t>67.0%</w:t>
            </w:r>
          </w:p>
        </w:tc>
        <w:tc>
          <w:tcPr>
            <w:tcW w:w="864" w:type="dxa"/>
          </w:tcPr>
          <w:p w14:paraId="1A475EC4" w14:textId="77777777" w:rsidR="00125273" w:rsidRDefault="00125273" w:rsidP="00457B74">
            <w:r>
              <w:t>70.0%</w:t>
            </w:r>
          </w:p>
        </w:tc>
      </w:tr>
    </w:tbl>
    <w:p w14:paraId="2DE32D5D" w14:textId="77777777" w:rsidR="00125273" w:rsidRDefault="00125273" w:rsidP="00125273"/>
    <w:p w14:paraId="7F50265E" w14:textId="77777777" w:rsidR="00765249" w:rsidRDefault="00765249" w:rsidP="00125273"/>
    <w:p w14:paraId="40DCDF55" w14:textId="77777777" w:rsidR="00765249" w:rsidRDefault="00765249">
      <w:r>
        <w:br w:type="page"/>
      </w:r>
    </w:p>
    <w:p w14:paraId="74708B07" w14:textId="77777777" w:rsidR="00765249" w:rsidRDefault="00765249" w:rsidP="00125273"/>
    <w:p w14:paraId="1C9292DE" w14:textId="3578B4F6" w:rsidR="00125273" w:rsidRDefault="00125273" w:rsidP="00125273">
      <w:r w:rsidRPr="00765249">
        <w:rPr>
          <w:b/>
        </w:rPr>
        <w:t>Table S2</w:t>
      </w:r>
      <w:r>
        <w:t xml:space="preserve">: Completeness of </w:t>
      </w:r>
      <w:r w:rsidR="002D322B">
        <w:t xml:space="preserve">blood </w:t>
      </w:r>
      <w:r>
        <w:t xml:space="preserve">isolates </w:t>
      </w:r>
      <w:r w:rsidR="009353BD">
        <w:t>submitted</w:t>
      </w:r>
      <w:r>
        <w:t xml:space="preserve"> by </w:t>
      </w:r>
      <w:r w:rsidR="002D322B">
        <w:t>selected laboratories in five</w:t>
      </w:r>
      <w:r w:rsidR="009353BD">
        <w:t xml:space="preserve"> </w:t>
      </w:r>
      <w:r>
        <w:t>Emerging Infections Program site (</w:t>
      </w:r>
      <w:r w:rsidRPr="0047366B">
        <w:rPr>
          <w:i/>
        </w:rPr>
        <w:t>P</w:t>
      </w:r>
      <w:r>
        <w:t>&lt;0.0001 overall)</w:t>
      </w:r>
    </w:p>
    <w:tbl>
      <w:tblPr>
        <w:tblStyle w:val="TableGrid"/>
        <w:tblW w:w="0" w:type="auto"/>
        <w:tblLook w:val="04A0" w:firstRow="1" w:lastRow="0" w:firstColumn="1" w:lastColumn="0" w:noHBand="0" w:noVBand="1"/>
      </w:tblPr>
      <w:tblGrid>
        <w:gridCol w:w="3685"/>
        <w:gridCol w:w="1080"/>
        <w:gridCol w:w="1080"/>
        <w:gridCol w:w="1080"/>
        <w:gridCol w:w="1080"/>
        <w:gridCol w:w="1080"/>
      </w:tblGrid>
      <w:tr w:rsidR="00125273" w14:paraId="32904114" w14:textId="77777777" w:rsidTr="0047366B">
        <w:tc>
          <w:tcPr>
            <w:tcW w:w="3685" w:type="dxa"/>
          </w:tcPr>
          <w:p w14:paraId="3E1903EC" w14:textId="77777777" w:rsidR="00125273" w:rsidRDefault="00125273" w:rsidP="00457B74"/>
        </w:tc>
        <w:tc>
          <w:tcPr>
            <w:tcW w:w="1080" w:type="dxa"/>
          </w:tcPr>
          <w:p w14:paraId="60B85431" w14:textId="77777777" w:rsidR="00125273" w:rsidRDefault="00125273" w:rsidP="00457B74">
            <w:r>
              <w:t>CA</w:t>
            </w:r>
          </w:p>
        </w:tc>
        <w:tc>
          <w:tcPr>
            <w:tcW w:w="1080" w:type="dxa"/>
          </w:tcPr>
          <w:p w14:paraId="1A82C561" w14:textId="77777777" w:rsidR="00125273" w:rsidRDefault="00125273" w:rsidP="00457B74">
            <w:r>
              <w:t>GA</w:t>
            </w:r>
          </w:p>
        </w:tc>
        <w:tc>
          <w:tcPr>
            <w:tcW w:w="1080" w:type="dxa"/>
          </w:tcPr>
          <w:p w14:paraId="25DACB18" w14:textId="77777777" w:rsidR="00125273" w:rsidRDefault="00125273" w:rsidP="00457B74">
            <w:r>
              <w:t>MN</w:t>
            </w:r>
          </w:p>
        </w:tc>
        <w:tc>
          <w:tcPr>
            <w:tcW w:w="1080" w:type="dxa"/>
          </w:tcPr>
          <w:p w14:paraId="55AE1BAD" w14:textId="77777777" w:rsidR="00125273" w:rsidRDefault="00125273" w:rsidP="00457B74">
            <w:r>
              <w:t>NY</w:t>
            </w:r>
          </w:p>
        </w:tc>
        <w:tc>
          <w:tcPr>
            <w:tcW w:w="1080" w:type="dxa"/>
          </w:tcPr>
          <w:p w14:paraId="1368B263" w14:textId="77777777" w:rsidR="00125273" w:rsidRDefault="00125273" w:rsidP="00457B74">
            <w:r>
              <w:t>TN</w:t>
            </w:r>
          </w:p>
        </w:tc>
      </w:tr>
      <w:tr w:rsidR="00125273" w14:paraId="34E1D516" w14:textId="77777777" w:rsidTr="0047366B">
        <w:tc>
          <w:tcPr>
            <w:tcW w:w="3685" w:type="dxa"/>
          </w:tcPr>
          <w:p w14:paraId="631D702F" w14:textId="21A1BD1F" w:rsidR="00125273" w:rsidRDefault="002D322B" w:rsidP="002D322B">
            <w:r>
              <w:t>Cases with i</w:t>
            </w:r>
            <w:r w:rsidR="00125273">
              <w:t xml:space="preserve">solates </w:t>
            </w:r>
            <w:r w:rsidR="009353BD">
              <w:t>submitted</w:t>
            </w:r>
            <w:r w:rsidR="00125273">
              <w:t>, n</w:t>
            </w:r>
          </w:p>
        </w:tc>
        <w:tc>
          <w:tcPr>
            <w:tcW w:w="1080" w:type="dxa"/>
          </w:tcPr>
          <w:p w14:paraId="7B65A5B2" w14:textId="77777777" w:rsidR="00125273" w:rsidRDefault="00125273" w:rsidP="00125273">
            <w:r>
              <w:t>317</w:t>
            </w:r>
          </w:p>
        </w:tc>
        <w:tc>
          <w:tcPr>
            <w:tcW w:w="1080" w:type="dxa"/>
          </w:tcPr>
          <w:p w14:paraId="059289B7" w14:textId="77777777" w:rsidR="00125273" w:rsidRDefault="00125273" w:rsidP="00125273">
            <w:r>
              <w:t>1762</w:t>
            </w:r>
          </w:p>
        </w:tc>
        <w:tc>
          <w:tcPr>
            <w:tcW w:w="1080" w:type="dxa"/>
          </w:tcPr>
          <w:p w14:paraId="61B9E242" w14:textId="77777777" w:rsidR="00125273" w:rsidRDefault="00125273" w:rsidP="00125273">
            <w:r>
              <w:t>553</w:t>
            </w:r>
          </w:p>
        </w:tc>
        <w:tc>
          <w:tcPr>
            <w:tcW w:w="1080" w:type="dxa"/>
          </w:tcPr>
          <w:p w14:paraId="3329E155" w14:textId="77777777" w:rsidR="00125273" w:rsidRDefault="00125273" w:rsidP="00125273">
            <w:r>
              <w:t>755</w:t>
            </w:r>
          </w:p>
        </w:tc>
        <w:tc>
          <w:tcPr>
            <w:tcW w:w="1080" w:type="dxa"/>
          </w:tcPr>
          <w:p w14:paraId="68B64E2C" w14:textId="77777777" w:rsidR="00125273" w:rsidRDefault="00125273" w:rsidP="00125273">
            <w:r>
              <w:t>403</w:t>
            </w:r>
          </w:p>
        </w:tc>
      </w:tr>
      <w:tr w:rsidR="00125273" w14:paraId="7AC28E4E" w14:textId="77777777" w:rsidTr="0047366B">
        <w:tc>
          <w:tcPr>
            <w:tcW w:w="3685" w:type="dxa"/>
          </w:tcPr>
          <w:p w14:paraId="56B8846F" w14:textId="331D7005" w:rsidR="00125273" w:rsidRDefault="009353BD" w:rsidP="002D322B">
            <w:r>
              <w:t>Cases with n</w:t>
            </w:r>
            <w:r w:rsidR="00125273">
              <w:t xml:space="preserve">o isolate </w:t>
            </w:r>
            <w:r w:rsidR="002D322B">
              <w:t>submitted</w:t>
            </w:r>
            <w:r w:rsidR="00125273">
              <w:t>, n</w:t>
            </w:r>
          </w:p>
        </w:tc>
        <w:tc>
          <w:tcPr>
            <w:tcW w:w="1080" w:type="dxa"/>
          </w:tcPr>
          <w:p w14:paraId="7FBD6F30" w14:textId="77777777" w:rsidR="00125273" w:rsidRDefault="00125273" w:rsidP="00125273">
            <w:r>
              <w:t>123</w:t>
            </w:r>
          </w:p>
        </w:tc>
        <w:tc>
          <w:tcPr>
            <w:tcW w:w="1080" w:type="dxa"/>
          </w:tcPr>
          <w:p w14:paraId="215F6E9D" w14:textId="77777777" w:rsidR="00125273" w:rsidRDefault="00125273" w:rsidP="00125273">
            <w:r>
              <w:t>798</w:t>
            </w:r>
          </w:p>
        </w:tc>
        <w:tc>
          <w:tcPr>
            <w:tcW w:w="1080" w:type="dxa"/>
          </w:tcPr>
          <w:p w14:paraId="65233F58" w14:textId="77777777" w:rsidR="00125273" w:rsidRDefault="00125273" w:rsidP="00125273">
            <w:r>
              <w:t>74</w:t>
            </w:r>
          </w:p>
        </w:tc>
        <w:tc>
          <w:tcPr>
            <w:tcW w:w="1080" w:type="dxa"/>
          </w:tcPr>
          <w:p w14:paraId="144209A8" w14:textId="77777777" w:rsidR="00125273" w:rsidRDefault="00125273" w:rsidP="00125273">
            <w:r>
              <w:t>771</w:t>
            </w:r>
          </w:p>
        </w:tc>
        <w:tc>
          <w:tcPr>
            <w:tcW w:w="1080" w:type="dxa"/>
          </w:tcPr>
          <w:p w14:paraId="44794115" w14:textId="77777777" w:rsidR="00125273" w:rsidRDefault="00125273" w:rsidP="00125273">
            <w:r>
              <w:t>58</w:t>
            </w:r>
          </w:p>
        </w:tc>
      </w:tr>
      <w:tr w:rsidR="00125273" w14:paraId="3A4A0D95" w14:textId="77777777" w:rsidTr="0047366B">
        <w:tc>
          <w:tcPr>
            <w:tcW w:w="3685" w:type="dxa"/>
          </w:tcPr>
          <w:p w14:paraId="14DA31B6" w14:textId="527D3171" w:rsidR="00125273" w:rsidRDefault="002D322B" w:rsidP="002D322B">
            <w:r>
              <w:t>Cases with i</w:t>
            </w:r>
            <w:r w:rsidR="00125273">
              <w:t xml:space="preserve">solates </w:t>
            </w:r>
            <w:r w:rsidR="009353BD">
              <w:t>submitted</w:t>
            </w:r>
            <w:r w:rsidR="00125273">
              <w:t>, % of total</w:t>
            </w:r>
          </w:p>
        </w:tc>
        <w:tc>
          <w:tcPr>
            <w:tcW w:w="1080" w:type="dxa"/>
          </w:tcPr>
          <w:p w14:paraId="11B1D1D6" w14:textId="77777777" w:rsidR="00125273" w:rsidRDefault="00125273" w:rsidP="00125273">
            <w:r>
              <w:t>72.1%</w:t>
            </w:r>
          </w:p>
        </w:tc>
        <w:tc>
          <w:tcPr>
            <w:tcW w:w="1080" w:type="dxa"/>
          </w:tcPr>
          <w:p w14:paraId="6DCBB37D" w14:textId="77777777" w:rsidR="00125273" w:rsidRDefault="00125273" w:rsidP="00125273">
            <w:r>
              <w:t>68.8%</w:t>
            </w:r>
          </w:p>
        </w:tc>
        <w:tc>
          <w:tcPr>
            <w:tcW w:w="1080" w:type="dxa"/>
          </w:tcPr>
          <w:p w14:paraId="3AB1BDD1" w14:textId="77777777" w:rsidR="00125273" w:rsidRDefault="00125273" w:rsidP="00125273">
            <w:r>
              <w:t>88.2%</w:t>
            </w:r>
          </w:p>
        </w:tc>
        <w:tc>
          <w:tcPr>
            <w:tcW w:w="1080" w:type="dxa"/>
          </w:tcPr>
          <w:p w14:paraId="4FCBDB0F" w14:textId="77777777" w:rsidR="00125273" w:rsidRDefault="00125273" w:rsidP="00125273">
            <w:r>
              <w:t>49.5%</w:t>
            </w:r>
          </w:p>
        </w:tc>
        <w:tc>
          <w:tcPr>
            <w:tcW w:w="1080" w:type="dxa"/>
          </w:tcPr>
          <w:p w14:paraId="5A9FAA03" w14:textId="77777777" w:rsidR="00125273" w:rsidRDefault="00125273" w:rsidP="00125273">
            <w:r>
              <w:t>87.4%</w:t>
            </w:r>
          </w:p>
        </w:tc>
      </w:tr>
    </w:tbl>
    <w:p w14:paraId="45F7D476" w14:textId="77777777" w:rsidR="00765249" w:rsidRDefault="00765249" w:rsidP="00125273"/>
    <w:p w14:paraId="4F9E89B5" w14:textId="77777777" w:rsidR="00125273" w:rsidRDefault="00125273" w:rsidP="00F32132">
      <w:pPr>
        <w:spacing w:after="0" w:line="480" w:lineRule="auto"/>
      </w:pPr>
    </w:p>
    <w:p w14:paraId="1015D29A" w14:textId="77777777" w:rsidR="00167179" w:rsidRDefault="00167179" w:rsidP="00F32132">
      <w:pPr>
        <w:spacing w:after="0" w:line="480" w:lineRule="auto"/>
      </w:pPr>
    </w:p>
    <w:sectPr w:rsidR="00167179"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79"/>
    <w:rsid w:val="00020479"/>
    <w:rsid w:val="00125273"/>
    <w:rsid w:val="00167179"/>
    <w:rsid w:val="002102B2"/>
    <w:rsid w:val="002D322B"/>
    <w:rsid w:val="002F4384"/>
    <w:rsid w:val="00327BCB"/>
    <w:rsid w:val="00372C71"/>
    <w:rsid w:val="003A238C"/>
    <w:rsid w:val="0047366B"/>
    <w:rsid w:val="00657DC1"/>
    <w:rsid w:val="00706F3F"/>
    <w:rsid w:val="00765249"/>
    <w:rsid w:val="007F57F9"/>
    <w:rsid w:val="009353BD"/>
    <w:rsid w:val="00A9441C"/>
    <w:rsid w:val="00B33739"/>
    <w:rsid w:val="00B36051"/>
    <w:rsid w:val="00BF4471"/>
    <w:rsid w:val="00C03040"/>
    <w:rsid w:val="00C44EA9"/>
    <w:rsid w:val="00D26908"/>
    <w:rsid w:val="00E456C0"/>
    <w:rsid w:val="00ED1AC5"/>
    <w:rsid w:val="00EE792E"/>
    <w:rsid w:val="00F32132"/>
    <w:rsid w:val="00F3432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C7B3"/>
  <w15:chartTrackingRefBased/>
  <w15:docId w15:val="{88D25FD0-9D16-43C6-B2FB-CBFCDF69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6C0"/>
    <w:rPr>
      <w:sz w:val="16"/>
      <w:szCs w:val="16"/>
    </w:rPr>
  </w:style>
  <w:style w:type="paragraph" w:styleId="CommentText">
    <w:name w:val="annotation text"/>
    <w:basedOn w:val="Normal"/>
    <w:link w:val="CommentTextChar"/>
    <w:uiPriority w:val="99"/>
    <w:semiHidden/>
    <w:unhideWhenUsed/>
    <w:rsid w:val="00E456C0"/>
    <w:pPr>
      <w:spacing w:line="240" w:lineRule="auto"/>
    </w:pPr>
    <w:rPr>
      <w:sz w:val="20"/>
      <w:szCs w:val="20"/>
    </w:rPr>
  </w:style>
  <w:style w:type="character" w:customStyle="1" w:styleId="CommentTextChar">
    <w:name w:val="Comment Text Char"/>
    <w:basedOn w:val="DefaultParagraphFont"/>
    <w:link w:val="CommentText"/>
    <w:uiPriority w:val="99"/>
    <w:semiHidden/>
    <w:rsid w:val="00E456C0"/>
    <w:rPr>
      <w:sz w:val="20"/>
      <w:szCs w:val="20"/>
    </w:rPr>
  </w:style>
  <w:style w:type="paragraph" w:styleId="CommentSubject">
    <w:name w:val="annotation subject"/>
    <w:basedOn w:val="CommentText"/>
    <w:next w:val="CommentText"/>
    <w:link w:val="CommentSubjectChar"/>
    <w:uiPriority w:val="99"/>
    <w:semiHidden/>
    <w:unhideWhenUsed/>
    <w:rsid w:val="00E456C0"/>
    <w:rPr>
      <w:b/>
      <w:bCs/>
    </w:rPr>
  </w:style>
  <w:style w:type="character" w:customStyle="1" w:styleId="CommentSubjectChar">
    <w:name w:val="Comment Subject Char"/>
    <w:basedOn w:val="CommentTextChar"/>
    <w:link w:val="CommentSubject"/>
    <w:uiPriority w:val="99"/>
    <w:semiHidden/>
    <w:rsid w:val="00E456C0"/>
    <w:rPr>
      <w:b/>
      <w:bCs/>
      <w:sz w:val="20"/>
      <w:szCs w:val="20"/>
    </w:rPr>
  </w:style>
  <w:style w:type="paragraph" w:styleId="BalloonText">
    <w:name w:val="Balloon Text"/>
    <w:basedOn w:val="Normal"/>
    <w:link w:val="BalloonTextChar"/>
    <w:uiPriority w:val="99"/>
    <w:semiHidden/>
    <w:unhideWhenUsed/>
    <w:rsid w:val="00E4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9995-27E0-4921-B355-270E0D37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Isaac (CDC/OID/NCEZID)</dc:creator>
  <cp:keywords/>
  <dc:description/>
  <cp:lastModifiedBy>See, Isaac (CDC/DDID/NCEZID/DHQP)</cp:lastModifiedBy>
  <cp:revision>6</cp:revision>
  <dcterms:created xsi:type="dcterms:W3CDTF">2019-01-31T17:35:00Z</dcterms:created>
  <dcterms:modified xsi:type="dcterms:W3CDTF">2019-02-01T14:18:00Z</dcterms:modified>
</cp:coreProperties>
</file>