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B6" w:rsidRDefault="005E50B6" w:rsidP="005E50B6">
      <w:pPr>
        <w:autoSpaceDE w:val="0"/>
        <w:autoSpaceDN w:val="0"/>
        <w:adjustRightInd w:val="0"/>
        <w:ind w:left="0" w:firstLine="0"/>
        <w:jc w:val="left"/>
        <w:rPr>
          <w:b/>
          <w:bCs/>
          <w:sz w:val="22"/>
          <w:u w:val="single"/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2C75B8">
            <w:rPr>
              <w:b/>
              <w:bCs/>
              <w:sz w:val="22"/>
              <w:u w:val="single"/>
              <w:lang w:val="en-US"/>
            </w:rPr>
            <w:t>UKRAINE</w:t>
          </w:r>
        </w:smartTag>
      </w:smartTag>
    </w:p>
    <w:p w:rsidR="005E50B6" w:rsidRPr="002C75B8" w:rsidRDefault="005E50B6" w:rsidP="005E50B6">
      <w:pPr>
        <w:ind w:left="0" w:firstLine="0"/>
        <w:contextualSpacing/>
        <w:textAlignment w:val="baseline"/>
        <w:rPr>
          <w:b/>
          <w:bCs/>
          <w:sz w:val="22"/>
          <w:u w:val="single"/>
          <w:lang w:val="en-US"/>
        </w:rPr>
      </w:pPr>
    </w:p>
    <w:p w:rsidR="005E50B6" w:rsidRPr="002C75B8" w:rsidRDefault="005E50B6" w:rsidP="005E50B6">
      <w:pPr>
        <w:spacing w:line="480" w:lineRule="auto"/>
        <w:ind w:left="0" w:firstLine="0"/>
        <w:rPr>
          <w:bCs/>
          <w:sz w:val="22"/>
          <w:lang w:val="en-US"/>
        </w:rPr>
      </w:pPr>
      <w:r>
        <w:rPr>
          <w:bCs/>
          <w:noProof/>
          <w:sz w:val="22"/>
          <w:lang w:val="en-US"/>
        </w:rPr>
        <w:drawing>
          <wp:inline distT="0" distB="0" distL="0" distR="0">
            <wp:extent cx="2496820" cy="1892300"/>
            <wp:effectExtent l="19050" t="0" r="0" b="0"/>
            <wp:docPr id="1" name="Imagen 1" descr="UAWOR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AWOR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B6" w:rsidRPr="002C75B8" w:rsidRDefault="005E50B6" w:rsidP="005E50B6">
      <w:pPr>
        <w:spacing w:line="480" w:lineRule="auto"/>
        <w:ind w:left="0" w:firstLine="0"/>
        <w:rPr>
          <w:bCs/>
          <w:sz w:val="22"/>
          <w:lang w:val="en-US"/>
        </w:rPr>
      </w:pPr>
      <w:r w:rsidRPr="002C75B8">
        <w:rPr>
          <w:b/>
          <w:sz w:val="22"/>
          <w:lang w:val="en-US"/>
        </w:rPr>
        <w:t>BASIC COUNTRY DATA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Total Population: 4</w:t>
      </w:r>
      <w:r>
        <w:rPr>
          <w:bCs/>
          <w:sz w:val="22"/>
          <w:lang w:val="en-US"/>
        </w:rPr>
        <w:t>5,870,700</w:t>
      </w:r>
      <w:r w:rsidRPr="002C75B8">
        <w:rPr>
          <w:bCs/>
          <w:sz w:val="22"/>
          <w:lang w:val="en-US"/>
        </w:rPr>
        <w:t xml:space="preserve"> 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0-14 years: 14%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Rural population: 32% 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living under USD 1</w:t>
      </w:r>
      <w:r>
        <w:rPr>
          <w:bCs/>
          <w:sz w:val="22"/>
          <w:lang w:val="en-US"/>
        </w:rPr>
        <w:t>.</w:t>
      </w:r>
      <w:r w:rsidRPr="002C75B8">
        <w:rPr>
          <w:bCs/>
          <w:sz w:val="22"/>
          <w:lang w:val="en-US"/>
        </w:rPr>
        <w:t>25 a day:</w:t>
      </w:r>
      <w:r>
        <w:rPr>
          <w:bCs/>
          <w:sz w:val="22"/>
          <w:lang w:val="en-US"/>
        </w:rPr>
        <w:t xml:space="preserve"> 0.1</w:t>
      </w:r>
      <w:r w:rsidRPr="002C75B8">
        <w:rPr>
          <w:bCs/>
          <w:sz w:val="22"/>
          <w:lang w:val="en-US"/>
        </w:rPr>
        <w:t xml:space="preserve">% 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Population living under the national poverty line: </w:t>
      </w:r>
      <w:r>
        <w:rPr>
          <w:bCs/>
          <w:sz w:val="22"/>
          <w:lang w:val="en-US"/>
        </w:rPr>
        <w:t>no data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Income status: Lower middle income economy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Ranking: </w:t>
      </w:r>
      <w:r>
        <w:rPr>
          <w:bCs/>
          <w:sz w:val="22"/>
          <w:lang w:val="en-US"/>
        </w:rPr>
        <w:t>High</w:t>
      </w:r>
      <w:r w:rsidRPr="002C75B8">
        <w:rPr>
          <w:bCs/>
          <w:sz w:val="22"/>
          <w:lang w:val="en-US"/>
        </w:rPr>
        <w:t xml:space="preserve"> human development (ranking </w:t>
      </w:r>
      <w:r>
        <w:rPr>
          <w:bCs/>
          <w:sz w:val="22"/>
          <w:lang w:val="en-US"/>
        </w:rPr>
        <w:t>76</w:t>
      </w:r>
      <w:r w:rsidRPr="002C75B8">
        <w:rPr>
          <w:bCs/>
          <w:sz w:val="22"/>
          <w:lang w:val="en-US"/>
        </w:rPr>
        <w:t>)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Per capita total expenditure on health at average exchange rate (US dollar): </w:t>
      </w:r>
      <w:r>
        <w:rPr>
          <w:bCs/>
          <w:sz w:val="22"/>
          <w:lang w:val="en-US"/>
        </w:rPr>
        <w:t>1</w:t>
      </w:r>
      <w:r w:rsidRPr="002C75B8">
        <w:rPr>
          <w:bCs/>
          <w:sz w:val="22"/>
          <w:lang w:val="en-US"/>
        </w:rPr>
        <w:t>8</w:t>
      </w:r>
      <w:r>
        <w:rPr>
          <w:bCs/>
          <w:sz w:val="22"/>
          <w:lang w:val="en-US"/>
        </w:rPr>
        <w:t>0</w:t>
      </w:r>
      <w:r w:rsidRPr="002C75B8">
        <w:rPr>
          <w:bCs/>
          <w:sz w:val="22"/>
          <w:lang w:val="en-US"/>
        </w:rPr>
        <w:t xml:space="preserve"> 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Life expectancy at birth (years): 6</w:t>
      </w:r>
      <w:r>
        <w:rPr>
          <w:bCs/>
          <w:sz w:val="22"/>
          <w:lang w:val="en-US"/>
        </w:rPr>
        <w:t>9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Health</w:t>
      </w:r>
      <w:r>
        <w:rPr>
          <w:bCs/>
          <w:sz w:val="22"/>
          <w:lang w:val="en-US"/>
        </w:rPr>
        <w:t>y</w:t>
      </w:r>
      <w:r w:rsidRPr="002C75B8">
        <w:rPr>
          <w:bCs/>
          <w:sz w:val="22"/>
          <w:lang w:val="en-US"/>
        </w:rPr>
        <w:t xml:space="preserve"> life expectancy at birth (years): 59 </w:t>
      </w: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</w:p>
    <w:p w:rsidR="005E50B6" w:rsidRPr="002C75B8" w:rsidRDefault="005E50B6" w:rsidP="005E50B6">
      <w:pPr>
        <w:ind w:left="0" w:firstLine="0"/>
        <w:rPr>
          <w:bCs/>
          <w:sz w:val="22"/>
          <w:lang w:val="en-US"/>
        </w:rPr>
      </w:pPr>
    </w:p>
    <w:p w:rsidR="005E50B6" w:rsidRPr="002C75B8" w:rsidRDefault="005E50B6" w:rsidP="005E50B6">
      <w:pPr>
        <w:spacing w:line="480" w:lineRule="auto"/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US"/>
        </w:rPr>
        <w:t xml:space="preserve">BACKGROUND INFORMATION </w:t>
      </w:r>
    </w:p>
    <w:p w:rsidR="005E50B6" w:rsidRDefault="005E50B6" w:rsidP="005E50B6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From 1990</w:t>
      </w:r>
      <w:r>
        <w:rPr>
          <w:sz w:val="22"/>
          <w:lang w:val="en-US"/>
        </w:rPr>
        <w:t xml:space="preserve"> to </w:t>
      </w:r>
      <w:r w:rsidRPr="002C75B8">
        <w:rPr>
          <w:sz w:val="22"/>
          <w:lang w:val="en-US"/>
        </w:rPr>
        <w:t xml:space="preserve">2007, 24 CL and 7 VL cases were reported in Ukraine. All cases were imported, mainly from </w:t>
      </w:r>
      <w:smartTag w:uri="urn:schemas-microsoft-com:office:smarttags" w:element="country-region">
        <w:r w:rsidRPr="002C75B8">
          <w:rPr>
            <w:sz w:val="22"/>
            <w:lang w:val="en-US"/>
          </w:rPr>
          <w:t>Tajikistan</w:t>
        </w:r>
      </w:smartTag>
      <w:r w:rsidRPr="002C75B8">
        <w:rPr>
          <w:sz w:val="22"/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US"/>
            </w:rPr>
            <w:t>Armenia</w:t>
          </w:r>
        </w:smartTag>
      </w:smartTag>
      <w:r w:rsidRPr="002C75B8">
        <w:rPr>
          <w:sz w:val="22"/>
          <w:lang w:val="en-US"/>
        </w:rPr>
        <w:t xml:space="preserve">. </w:t>
      </w:r>
      <w:r>
        <w:rPr>
          <w:sz w:val="22"/>
          <w:lang w:val="en-US"/>
        </w:rPr>
        <w:t>3</w:t>
      </w:r>
      <w:r w:rsidRPr="002C75B8">
        <w:rPr>
          <w:sz w:val="22"/>
          <w:lang w:val="en-US"/>
        </w:rPr>
        <w:t xml:space="preserve"> CL and </w:t>
      </w:r>
      <w:r>
        <w:rPr>
          <w:sz w:val="22"/>
          <w:lang w:val="en-US"/>
        </w:rPr>
        <w:t>3</w:t>
      </w:r>
      <w:r w:rsidRPr="002C75B8">
        <w:rPr>
          <w:sz w:val="22"/>
          <w:lang w:val="en-US"/>
        </w:rPr>
        <w:t xml:space="preserve"> VL cases were diagnosed in 2008-2009 and </w:t>
      </w:r>
      <w:r>
        <w:rPr>
          <w:sz w:val="22"/>
          <w:lang w:val="en-US"/>
        </w:rPr>
        <w:t>2</w:t>
      </w:r>
      <w:r w:rsidRPr="002C75B8">
        <w:rPr>
          <w:sz w:val="22"/>
          <w:lang w:val="en-US"/>
        </w:rPr>
        <w:t xml:space="preserve"> of the VL cases were fatal</w:t>
      </w:r>
      <w:r>
        <w:rPr>
          <w:sz w:val="22"/>
          <w:lang w:val="en-US"/>
        </w:rPr>
        <w:t xml:space="preserve"> in 2008</w:t>
      </w:r>
      <w:r w:rsidRPr="002C75B8">
        <w:rPr>
          <w:sz w:val="22"/>
          <w:lang w:val="en-US"/>
        </w:rPr>
        <w:t xml:space="preserve">. </w:t>
      </w:r>
    </w:p>
    <w:p w:rsidR="005E50B6" w:rsidRPr="002C75B8" w:rsidRDefault="005E50B6" w:rsidP="005E50B6">
      <w:pPr>
        <w:ind w:left="0" w:firstLine="0"/>
        <w:rPr>
          <w:sz w:val="22"/>
          <w:lang w:val="en-US"/>
        </w:rPr>
      </w:pPr>
    </w:p>
    <w:p w:rsidR="005E50B6" w:rsidRDefault="005E50B6" w:rsidP="005E50B6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CL and VL are likely to be largely underreported as there is no awareness among doctors, and no provisions for diagnosis and treatment. </w:t>
      </w:r>
    </w:p>
    <w:p w:rsidR="005E50B6" w:rsidRPr="002C75B8" w:rsidRDefault="005E50B6" w:rsidP="005E50B6">
      <w:pPr>
        <w:ind w:left="0" w:firstLine="0"/>
        <w:rPr>
          <w:sz w:val="22"/>
          <w:lang w:val="en-US"/>
        </w:rPr>
      </w:pPr>
    </w:p>
    <w:p w:rsidR="005E50B6" w:rsidRPr="002C75B8" w:rsidRDefault="005E50B6" w:rsidP="005E50B6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One case of HIV/</w:t>
      </w:r>
      <w:r w:rsidRPr="002C75B8">
        <w:rPr>
          <w:i/>
          <w:iCs/>
          <w:sz w:val="22"/>
          <w:lang w:val="en-US"/>
        </w:rPr>
        <w:t>Leishmania</w:t>
      </w:r>
      <w:r w:rsidRPr="002C75B8">
        <w:rPr>
          <w:sz w:val="22"/>
          <w:lang w:val="en-US"/>
        </w:rPr>
        <w:t xml:space="preserve"> co-infection </w:t>
      </w:r>
      <w:r>
        <w:rPr>
          <w:sz w:val="22"/>
          <w:lang w:val="en-US"/>
        </w:rPr>
        <w:t>was</w:t>
      </w:r>
      <w:r w:rsidRPr="002C75B8">
        <w:rPr>
          <w:sz w:val="22"/>
          <w:lang w:val="en-US"/>
        </w:rPr>
        <w:t xml:space="preserve"> diagnosed in 2009.</w:t>
      </w:r>
      <w:r w:rsidRPr="002C75B8">
        <w:rPr>
          <w:sz w:val="22"/>
          <w:lang w:val="en-GB"/>
        </w:rPr>
        <w:t xml:space="preserve"> </w:t>
      </w: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t>PARASITOLOGICAL INFORMATION</w:t>
      </w:r>
    </w:p>
    <w:p w:rsidR="005E50B6" w:rsidRPr="002C75B8" w:rsidRDefault="005E50B6" w:rsidP="005E50B6">
      <w:pPr>
        <w:ind w:left="0" w:firstLine="0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1758"/>
        <w:gridCol w:w="2863"/>
        <w:gridCol w:w="2311"/>
      </w:tblGrid>
      <w:tr w:rsidR="005E50B6" w:rsidRPr="002C75B8" w:rsidTr="00A7768B">
        <w:trPr>
          <w:jc w:val="center"/>
        </w:trPr>
        <w:tc>
          <w:tcPr>
            <w:tcW w:w="2310" w:type="dxa"/>
            <w:vAlign w:val="center"/>
          </w:tcPr>
          <w:p w:rsidR="005E50B6" w:rsidRPr="002C75B8" w:rsidRDefault="005E50B6" w:rsidP="00A7768B">
            <w:pPr>
              <w:ind w:left="0" w:firstLine="0"/>
              <w:jc w:val="center"/>
              <w:rPr>
                <w:sz w:val="22"/>
              </w:rPr>
            </w:pPr>
            <w:r w:rsidRPr="002C75B8">
              <w:rPr>
                <w:b/>
                <w:bCs/>
                <w:i/>
                <w:iCs/>
                <w:sz w:val="22"/>
              </w:rPr>
              <w:t xml:space="preserve">Leishmania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1758" w:type="dxa"/>
            <w:vAlign w:val="center"/>
          </w:tcPr>
          <w:p w:rsidR="005E50B6" w:rsidRPr="002C75B8" w:rsidRDefault="005E50B6" w:rsidP="00A7768B">
            <w:pPr>
              <w:ind w:left="0" w:firstLine="0"/>
              <w:jc w:val="center"/>
              <w:rPr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Clinical</w:t>
            </w:r>
            <w:proofErr w:type="spellEnd"/>
            <w:r w:rsidRPr="002C75B8">
              <w:rPr>
                <w:b/>
                <w:bCs/>
                <w:sz w:val="22"/>
              </w:rPr>
              <w:t xml:space="preserve"> </w:t>
            </w:r>
            <w:proofErr w:type="spellStart"/>
            <w:r w:rsidRPr="002C75B8">
              <w:rPr>
                <w:b/>
                <w:bCs/>
                <w:sz w:val="22"/>
              </w:rPr>
              <w:t>form</w:t>
            </w:r>
            <w:proofErr w:type="spellEnd"/>
          </w:p>
        </w:tc>
        <w:tc>
          <w:tcPr>
            <w:tcW w:w="2863" w:type="dxa"/>
            <w:vAlign w:val="center"/>
          </w:tcPr>
          <w:p w:rsidR="005E50B6" w:rsidRPr="002C75B8" w:rsidRDefault="005E50B6" w:rsidP="00A7768B">
            <w:pPr>
              <w:ind w:left="0" w:firstLine="0"/>
              <w:jc w:val="center"/>
              <w:rPr>
                <w:sz w:val="22"/>
              </w:rPr>
            </w:pPr>
            <w:r w:rsidRPr="002C75B8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2311" w:type="dxa"/>
            <w:vAlign w:val="center"/>
          </w:tcPr>
          <w:p w:rsidR="005E50B6" w:rsidRPr="002C75B8" w:rsidRDefault="005E50B6" w:rsidP="00A7768B">
            <w:pPr>
              <w:ind w:left="0" w:firstLine="0"/>
              <w:jc w:val="center"/>
              <w:rPr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5E50B6" w:rsidRPr="002C75B8" w:rsidTr="00A7768B">
        <w:trPr>
          <w:jc w:val="center"/>
        </w:trPr>
        <w:tc>
          <w:tcPr>
            <w:tcW w:w="2310" w:type="dxa"/>
            <w:vAlign w:val="center"/>
          </w:tcPr>
          <w:p w:rsidR="005E50B6" w:rsidRPr="002C75B8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L. infantum</w:t>
            </w:r>
          </w:p>
        </w:tc>
        <w:tc>
          <w:tcPr>
            <w:tcW w:w="1758" w:type="dxa"/>
            <w:vAlign w:val="center"/>
          </w:tcPr>
          <w:p w:rsidR="005E50B6" w:rsidRPr="002C75B8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ZVL</w:t>
            </w:r>
          </w:p>
        </w:tc>
        <w:tc>
          <w:tcPr>
            <w:tcW w:w="2863" w:type="dxa"/>
            <w:vAlign w:val="center"/>
          </w:tcPr>
          <w:p w:rsidR="005E50B6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P. </w:t>
            </w:r>
            <w:proofErr w:type="spellStart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neglectus</w:t>
            </w:r>
            <w:proofErr w:type="spellEnd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5E50B6" w:rsidRPr="002C75B8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P. </w:t>
            </w:r>
            <w:proofErr w:type="spellStart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longiductus</w:t>
            </w:r>
            <w:proofErr w:type="spellEnd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,</w:t>
            </w:r>
          </w:p>
        </w:tc>
        <w:tc>
          <w:tcPr>
            <w:tcW w:w="2311" w:type="dxa"/>
            <w:vAlign w:val="center"/>
          </w:tcPr>
          <w:p w:rsidR="005E50B6" w:rsidRPr="00C44334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C44334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Canis</w:t>
            </w:r>
            <w:proofErr w:type="spellEnd"/>
            <w:r w:rsidRPr="00C44334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 </w:t>
            </w:r>
            <w:proofErr w:type="spellStart"/>
            <w:r w:rsidRPr="00C44334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familiaris</w:t>
            </w:r>
            <w:proofErr w:type="spellEnd"/>
          </w:p>
        </w:tc>
      </w:tr>
      <w:tr w:rsidR="005E50B6" w:rsidRPr="002C75B8" w:rsidTr="00A7768B">
        <w:trPr>
          <w:jc w:val="center"/>
        </w:trPr>
        <w:tc>
          <w:tcPr>
            <w:tcW w:w="2310" w:type="dxa"/>
            <w:vAlign w:val="center"/>
          </w:tcPr>
          <w:p w:rsidR="005E50B6" w:rsidRPr="002C75B8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L. donovani</w:t>
            </w:r>
          </w:p>
        </w:tc>
        <w:tc>
          <w:tcPr>
            <w:tcW w:w="1758" w:type="dxa"/>
            <w:vAlign w:val="center"/>
          </w:tcPr>
          <w:p w:rsidR="005E50B6" w:rsidRPr="002C75B8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VL</w:t>
            </w:r>
          </w:p>
        </w:tc>
        <w:tc>
          <w:tcPr>
            <w:tcW w:w="2863" w:type="dxa"/>
            <w:vAlign w:val="center"/>
          </w:tcPr>
          <w:p w:rsidR="005E50B6" w:rsidRPr="002C75B8" w:rsidRDefault="005E50B6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unknown</w:t>
            </w:r>
          </w:p>
        </w:tc>
        <w:tc>
          <w:tcPr>
            <w:tcW w:w="2311" w:type="dxa"/>
            <w:vAlign w:val="center"/>
          </w:tcPr>
          <w:p w:rsidR="005E50B6" w:rsidRPr="002C75B8" w:rsidRDefault="005E50B6" w:rsidP="00A7768B">
            <w:pPr>
              <w:ind w:left="0" w:firstLine="0"/>
              <w:jc w:val="center"/>
              <w:rPr>
                <w:sz w:val="22"/>
              </w:rPr>
            </w:pPr>
          </w:p>
        </w:tc>
      </w:tr>
    </w:tbl>
    <w:p w:rsidR="005E50B6" w:rsidRPr="002C75B8" w:rsidRDefault="005E50B6" w:rsidP="005E50B6">
      <w:pPr>
        <w:ind w:left="0" w:firstLine="0"/>
        <w:rPr>
          <w:b/>
          <w:bCs/>
          <w:sz w:val="22"/>
        </w:rPr>
      </w:pPr>
    </w:p>
    <w:p w:rsidR="005E50B6" w:rsidRDefault="005E50B6" w:rsidP="005E50B6">
      <w:pPr>
        <w:ind w:left="0" w:firstLine="0"/>
        <w:rPr>
          <w:b/>
          <w:bCs/>
          <w:sz w:val="22"/>
        </w:rPr>
      </w:pPr>
    </w:p>
    <w:p w:rsidR="005E50B6" w:rsidRDefault="005E50B6" w:rsidP="005E50B6">
      <w:pPr>
        <w:ind w:left="0" w:firstLine="0"/>
        <w:rPr>
          <w:b/>
          <w:bCs/>
          <w:sz w:val="22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lastRenderedPageBreak/>
        <w:t>MAPS AND TRENDS</w:t>
      </w:r>
    </w:p>
    <w:p w:rsidR="005E50B6" w:rsidRPr="002C75B8" w:rsidRDefault="005E50B6" w:rsidP="005E50B6">
      <w:pPr>
        <w:ind w:left="0" w:firstLine="0"/>
        <w:rPr>
          <w:b/>
          <w:bCs/>
          <w:sz w:val="22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t>Visceral leishmaniasis</w:t>
      </w:r>
    </w:p>
    <w:p w:rsidR="005E50B6" w:rsidRDefault="005E50B6" w:rsidP="005E50B6">
      <w:pPr>
        <w:ind w:left="0" w:firstLine="0"/>
        <w:rPr>
          <w:sz w:val="22"/>
          <w:lang w:val="es-ES"/>
        </w:rPr>
      </w:pPr>
      <w:r>
        <w:rPr>
          <w:noProof/>
          <w:sz w:val="22"/>
          <w:lang w:val="en-US"/>
        </w:rPr>
        <w:drawing>
          <wp:inline distT="0" distB="0" distL="0" distR="0">
            <wp:extent cx="2854325" cy="2019935"/>
            <wp:effectExtent l="19050" t="0" r="3175" b="0"/>
            <wp:docPr id="2" name="Picture 2" descr="UAV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VLmod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29210</wp:posOffset>
            </wp:positionV>
            <wp:extent cx="2827020" cy="1998345"/>
            <wp:effectExtent l="19050" t="0" r="0" b="0"/>
            <wp:wrapNone/>
            <wp:docPr id="6" name="Picture 5" descr="UAV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AVLIRm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99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0B6" w:rsidRDefault="005E50B6" w:rsidP="005E50B6">
      <w:pPr>
        <w:ind w:left="0" w:firstLine="0"/>
        <w:rPr>
          <w:sz w:val="22"/>
          <w:lang w:val="es-ES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t>Cutaneous leishmaniasis</w:t>
      </w:r>
    </w:p>
    <w:p w:rsidR="005E50B6" w:rsidRDefault="005E50B6" w:rsidP="005E50B6">
      <w:pPr>
        <w:ind w:left="0" w:firstLine="0"/>
        <w:rPr>
          <w:sz w:val="22"/>
          <w:lang w:val="es-ES"/>
        </w:rPr>
      </w:pPr>
      <w:r>
        <w:rPr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12065</wp:posOffset>
            </wp:positionV>
            <wp:extent cx="2880995" cy="2038350"/>
            <wp:effectExtent l="19050" t="0" r="0" b="0"/>
            <wp:wrapNone/>
            <wp:docPr id="5" name="Picture 4" descr="UAC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ACLIRm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2"/>
          <w:lang w:val="en-US"/>
        </w:rPr>
        <w:drawing>
          <wp:inline distT="0" distB="0" distL="0" distR="0">
            <wp:extent cx="2857500" cy="20193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0B6" w:rsidRDefault="005E50B6" w:rsidP="005E50B6">
      <w:pPr>
        <w:ind w:left="0" w:firstLine="0"/>
        <w:rPr>
          <w:sz w:val="22"/>
          <w:lang w:val="es-ES"/>
        </w:rPr>
      </w:pPr>
    </w:p>
    <w:p w:rsidR="005E50B6" w:rsidRDefault="005E50B6" w:rsidP="005E50B6">
      <w:pPr>
        <w:ind w:left="0" w:firstLine="0"/>
        <w:rPr>
          <w:sz w:val="22"/>
          <w:lang w:val="es-ES"/>
        </w:rPr>
      </w:pPr>
    </w:p>
    <w:p w:rsidR="005E50B6" w:rsidRDefault="005E50B6" w:rsidP="005E50B6">
      <w:pPr>
        <w:ind w:left="0" w:firstLine="0"/>
        <w:rPr>
          <w:b/>
          <w:bCs/>
          <w:sz w:val="22"/>
          <w:lang w:val="en-GB"/>
        </w:rPr>
      </w:pPr>
      <w:r w:rsidRPr="00011393">
        <w:rPr>
          <w:b/>
          <w:bCs/>
          <w:sz w:val="22"/>
          <w:lang w:val="en-GB"/>
        </w:rPr>
        <w:t>Cases of visceral leishmaniasis</w:t>
      </w:r>
    </w:p>
    <w:p w:rsidR="005E50B6" w:rsidRDefault="005E50B6" w:rsidP="005E50B6">
      <w:pPr>
        <w:ind w:left="0" w:firstLine="0"/>
        <w:rPr>
          <w:b/>
          <w:bCs/>
          <w:sz w:val="22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080"/>
      </w:tblGrid>
      <w:tr w:rsidR="005E50B6" w:rsidRPr="00632CA8" w:rsidTr="00A7768B">
        <w:tc>
          <w:tcPr>
            <w:tcW w:w="126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b/>
                <w:bCs/>
                <w:sz w:val="22"/>
                <w:lang w:val="es-ES"/>
              </w:rPr>
            </w:pPr>
            <w:r w:rsidRPr="00632CA8">
              <w:rPr>
                <w:b/>
                <w:bCs/>
                <w:sz w:val="22"/>
                <w:lang w:val="es-ES"/>
              </w:rPr>
              <w:t>2005</w:t>
            </w:r>
          </w:p>
        </w:tc>
        <w:tc>
          <w:tcPr>
            <w:tcW w:w="126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b/>
                <w:bCs/>
                <w:sz w:val="22"/>
                <w:lang w:val="es-ES"/>
              </w:rPr>
            </w:pPr>
            <w:r w:rsidRPr="00632CA8">
              <w:rPr>
                <w:b/>
                <w:bCs/>
                <w:sz w:val="22"/>
                <w:lang w:val="es-ES"/>
              </w:rPr>
              <w:t>2006</w:t>
            </w:r>
          </w:p>
        </w:tc>
        <w:tc>
          <w:tcPr>
            <w:tcW w:w="126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b/>
                <w:bCs/>
                <w:sz w:val="22"/>
                <w:lang w:val="es-ES"/>
              </w:rPr>
            </w:pPr>
            <w:r w:rsidRPr="00632CA8">
              <w:rPr>
                <w:b/>
                <w:bCs/>
                <w:sz w:val="22"/>
                <w:lang w:val="es-ES"/>
              </w:rPr>
              <w:t>2007</w:t>
            </w:r>
          </w:p>
        </w:tc>
        <w:tc>
          <w:tcPr>
            <w:tcW w:w="108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b/>
                <w:bCs/>
                <w:sz w:val="22"/>
                <w:lang w:val="es-ES"/>
              </w:rPr>
            </w:pPr>
            <w:r w:rsidRPr="00632CA8">
              <w:rPr>
                <w:b/>
                <w:bCs/>
                <w:sz w:val="22"/>
                <w:lang w:val="es-ES"/>
              </w:rPr>
              <w:t>2008</w:t>
            </w:r>
          </w:p>
        </w:tc>
      </w:tr>
      <w:tr w:rsidR="005E50B6" w:rsidRPr="00632CA8" w:rsidTr="00A7768B">
        <w:tc>
          <w:tcPr>
            <w:tcW w:w="126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sz w:val="22"/>
                <w:lang w:val="es-ES"/>
              </w:rPr>
            </w:pPr>
            <w:r w:rsidRPr="00632CA8">
              <w:rPr>
                <w:sz w:val="22"/>
                <w:lang w:val="es-ES"/>
              </w:rPr>
              <w:t>1</w:t>
            </w:r>
          </w:p>
        </w:tc>
        <w:tc>
          <w:tcPr>
            <w:tcW w:w="126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sz w:val="22"/>
                <w:lang w:val="es-ES"/>
              </w:rPr>
            </w:pPr>
            <w:r w:rsidRPr="00632CA8">
              <w:rPr>
                <w:sz w:val="22"/>
                <w:lang w:val="es-ES"/>
              </w:rPr>
              <w:t>3</w:t>
            </w:r>
          </w:p>
        </w:tc>
        <w:tc>
          <w:tcPr>
            <w:tcW w:w="126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sz w:val="22"/>
                <w:lang w:val="es-ES"/>
              </w:rPr>
            </w:pPr>
            <w:r w:rsidRPr="00632CA8">
              <w:rPr>
                <w:sz w:val="22"/>
                <w:lang w:val="es-ES"/>
              </w:rPr>
              <w:t>3</w:t>
            </w:r>
          </w:p>
        </w:tc>
        <w:tc>
          <w:tcPr>
            <w:tcW w:w="1080" w:type="dxa"/>
          </w:tcPr>
          <w:p w:rsidR="005E50B6" w:rsidRPr="00632CA8" w:rsidRDefault="005E50B6" w:rsidP="00A7768B">
            <w:pPr>
              <w:ind w:left="0" w:firstLine="0"/>
              <w:jc w:val="center"/>
              <w:rPr>
                <w:sz w:val="22"/>
                <w:lang w:val="es-ES"/>
              </w:rPr>
            </w:pPr>
            <w:r w:rsidRPr="00632CA8">
              <w:rPr>
                <w:sz w:val="22"/>
                <w:lang w:val="es-ES"/>
              </w:rPr>
              <w:t>2</w:t>
            </w:r>
          </w:p>
        </w:tc>
      </w:tr>
    </w:tbl>
    <w:p w:rsidR="005E50B6" w:rsidRDefault="005E50B6" w:rsidP="005E50B6">
      <w:pPr>
        <w:ind w:left="0" w:firstLine="0"/>
        <w:rPr>
          <w:b/>
          <w:bCs/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  <w:lang w:val="es-ES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</w:rPr>
      </w:pPr>
      <w:r>
        <w:rPr>
          <w:rFonts w:eastAsia="Times New Roman"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127635</wp:posOffset>
            </wp:positionV>
            <wp:extent cx="6745605" cy="2348865"/>
            <wp:effectExtent l="0" t="0" r="0" b="0"/>
            <wp:wrapNone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2C75B8">
        <w:rPr>
          <w:b/>
          <w:bCs/>
          <w:sz w:val="22"/>
        </w:rPr>
        <w:t xml:space="preserve">Cutaneous leishmaniasis </w:t>
      </w:r>
      <w:proofErr w:type="spellStart"/>
      <w:r w:rsidRPr="002C75B8">
        <w:rPr>
          <w:b/>
          <w:bCs/>
          <w:sz w:val="22"/>
        </w:rPr>
        <w:t>trend</w:t>
      </w:r>
      <w:proofErr w:type="spellEnd"/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Default="005E50B6" w:rsidP="005E50B6">
      <w:pPr>
        <w:ind w:left="0" w:firstLine="0"/>
        <w:rPr>
          <w:rFonts w:eastAsia="Times New Roman"/>
          <w:sz w:val="22"/>
          <w:lang w:val="es-ES" w:eastAsia="es-ES"/>
        </w:rPr>
      </w:pPr>
    </w:p>
    <w:p w:rsidR="005E50B6" w:rsidRPr="002C75B8" w:rsidRDefault="005E50B6" w:rsidP="005E50B6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  <w:r w:rsidRPr="002C75B8">
        <w:rPr>
          <w:rFonts w:eastAsia="Times New Roman"/>
          <w:b/>
          <w:bCs/>
          <w:sz w:val="22"/>
          <w:lang w:val="en-GB" w:eastAsia="es-ES"/>
        </w:rPr>
        <w:lastRenderedPageBreak/>
        <w:t>CONTROL</w:t>
      </w:r>
    </w:p>
    <w:p w:rsidR="005E50B6" w:rsidRPr="002C75B8" w:rsidRDefault="005E50B6" w:rsidP="005E50B6">
      <w:pPr>
        <w:ind w:left="0" w:firstLine="0"/>
        <w:rPr>
          <w:rFonts w:eastAsia="Times New Roman"/>
          <w:sz w:val="22"/>
          <w:lang w:val="en-GB" w:eastAsia="es-ES"/>
        </w:rPr>
      </w:pPr>
    </w:p>
    <w:p w:rsidR="005E50B6" w:rsidRPr="002C75B8" w:rsidRDefault="005E50B6" w:rsidP="005E50B6">
      <w:pPr>
        <w:ind w:left="0" w:firstLine="0"/>
        <w:rPr>
          <w:rFonts w:eastAsia="Times New Roman"/>
          <w:sz w:val="22"/>
          <w:lang w:val="en-US" w:eastAsia="es-ES"/>
        </w:rPr>
      </w:pPr>
      <w:r w:rsidRPr="002C75B8">
        <w:rPr>
          <w:rFonts w:eastAsia="Times New Roman"/>
          <w:sz w:val="22"/>
          <w:lang w:val="en-US" w:eastAsia="es-ES"/>
        </w:rPr>
        <w:t xml:space="preserve">The notification of leishmaniasis is mandatory in the country. There is no national </w:t>
      </w:r>
      <w:r>
        <w:rPr>
          <w:rFonts w:eastAsia="Times New Roman"/>
          <w:sz w:val="22"/>
          <w:lang w:val="en-US" w:eastAsia="es-ES"/>
        </w:rPr>
        <w:t>l</w:t>
      </w:r>
      <w:r w:rsidRPr="002C75B8">
        <w:rPr>
          <w:rFonts w:eastAsia="Times New Roman"/>
          <w:sz w:val="22"/>
          <w:lang w:val="en-US" w:eastAsia="es-ES"/>
        </w:rPr>
        <w:t>eishmaniasis control program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no leishmaniasis vector control program and no </w:t>
      </w:r>
      <w:proofErr w:type="spellStart"/>
      <w:r w:rsidRPr="002C75B8">
        <w:rPr>
          <w:rFonts w:eastAsia="Times New Roman"/>
          <w:sz w:val="22"/>
          <w:lang w:val="en-US" w:eastAsia="es-ES"/>
        </w:rPr>
        <w:t>bednet</w:t>
      </w:r>
      <w:proofErr w:type="spellEnd"/>
      <w:r w:rsidRPr="002C75B8">
        <w:rPr>
          <w:rFonts w:eastAsia="Times New Roman"/>
          <w:sz w:val="22"/>
          <w:lang w:val="en-US" w:eastAsia="es-ES"/>
        </w:rPr>
        <w:t xml:space="preserve"> distribution program. Insecticide spraying is not done. There is no leishmaniasis reservoir control program. </w:t>
      </w:r>
    </w:p>
    <w:p w:rsidR="005E50B6" w:rsidRPr="002C75B8" w:rsidRDefault="005E50B6" w:rsidP="005E50B6">
      <w:pPr>
        <w:ind w:left="0" w:firstLine="0"/>
        <w:rPr>
          <w:rFonts w:eastAsia="Times New Roman"/>
          <w:sz w:val="22"/>
          <w:lang w:val="en-US" w:eastAsia="es-ES"/>
        </w:rPr>
      </w:pPr>
    </w:p>
    <w:p w:rsidR="005E50B6" w:rsidRPr="002C75B8" w:rsidRDefault="005E50B6" w:rsidP="005E50B6">
      <w:pPr>
        <w:ind w:left="0" w:firstLine="0"/>
        <w:rPr>
          <w:rFonts w:eastAsia="Times New Roman"/>
          <w:sz w:val="22"/>
          <w:lang w:val="en-US" w:eastAsia="es-ES"/>
        </w:rPr>
      </w:pPr>
    </w:p>
    <w:p w:rsidR="005E50B6" w:rsidRPr="002C75B8" w:rsidRDefault="005E50B6" w:rsidP="005E50B6">
      <w:pPr>
        <w:spacing w:line="360" w:lineRule="auto"/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 xml:space="preserve">DIAGNOSIS, TREATMENT </w:t>
      </w:r>
    </w:p>
    <w:p w:rsidR="005E50B6" w:rsidRDefault="005E50B6" w:rsidP="005E50B6">
      <w:pPr>
        <w:ind w:left="0" w:firstLine="0"/>
        <w:rPr>
          <w:sz w:val="22"/>
          <w:lang w:val="en-US"/>
        </w:rPr>
      </w:pP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  <w:r w:rsidRPr="002C75B8">
        <w:rPr>
          <w:sz w:val="22"/>
          <w:lang w:val="en-US"/>
        </w:rPr>
        <w:t xml:space="preserve">There are no protocols for diagnosis and treatment of leishmaniasis in Ukraine. Antimonials are used </w:t>
      </w:r>
      <w:r>
        <w:rPr>
          <w:sz w:val="22"/>
          <w:lang w:val="en-US"/>
        </w:rPr>
        <w:t>if</w:t>
      </w:r>
      <w:r w:rsidRPr="002C75B8">
        <w:rPr>
          <w:sz w:val="22"/>
          <w:lang w:val="en-US"/>
        </w:rPr>
        <w:t xml:space="preserve"> available. </w:t>
      </w: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spacing w:line="360" w:lineRule="auto"/>
        <w:ind w:left="0" w:firstLine="0"/>
        <w:rPr>
          <w:sz w:val="22"/>
          <w:lang w:val="en-GB"/>
        </w:rPr>
      </w:pPr>
      <w:r w:rsidRPr="002C75B8">
        <w:rPr>
          <w:b/>
          <w:bCs/>
          <w:sz w:val="22"/>
          <w:lang w:val="en-US"/>
        </w:rPr>
        <w:t xml:space="preserve">ACCESS TO CARE </w:t>
      </w:r>
    </w:p>
    <w:p w:rsidR="005E50B6" w:rsidRDefault="005E50B6" w:rsidP="005E50B6">
      <w:pPr>
        <w:ind w:left="0" w:firstLine="0"/>
        <w:rPr>
          <w:sz w:val="22"/>
          <w:lang w:val="en-US"/>
        </w:rPr>
      </w:pPr>
    </w:p>
    <w:p w:rsidR="005E50B6" w:rsidRPr="002C75B8" w:rsidRDefault="005E50B6" w:rsidP="005E50B6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Care for leishmaniasis is not provided for free in Ukraine. There is very problematic access to treatment. Drugs can only be obtained by hospitals</w:t>
      </w:r>
      <w:r>
        <w:rPr>
          <w:sz w:val="22"/>
          <w:lang w:val="en-US"/>
        </w:rPr>
        <w:t xml:space="preserve"> and </w:t>
      </w:r>
      <w:r w:rsidRPr="002C75B8">
        <w:rPr>
          <w:sz w:val="22"/>
          <w:lang w:val="en-US"/>
        </w:rPr>
        <w:t>with great difficulties. In 2008, 2 cases of VL were fatal due to a lack of specific drugs. Diagnosis, if at all, is mostly very late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due to a lack of awareness of the disease among doctors and patients. </w:t>
      </w:r>
    </w:p>
    <w:p w:rsidR="005E50B6" w:rsidRPr="002C75B8" w:rsidRDefault="005E50B6" w:rsidP="005E50B6">
      <w:pPr>
        <w:ind w:left="0" w:firstLine="0"/>
        <w:rPr>
          <w:sz w:val="22"/>
          <w:lang w:val="en-US"/>
        </w:rPr>
      </w:pP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GB"/>
        </w:rPr>
        <w:t>ACCESS TO DRUGS</w:t>
      </w:r>
      <w:r w:rsidRPr="002C75B8">
        <w:rPr>
          <w:sz w:val="22"/>
          <w:lang w:val="en-GB"/>
        </w:rPr>
        <w:t xml:space="preserve"> </w:t>
      </w: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b/>
          <w:bCs/>
          <w:sz w:val="22"/>
          <w:lang w:val="en-US"/>
        </w:rPr>
      </w:pPr>
      <w:r w:rsidRPr="002C75B8">
        <w:rPr>
          <w:sz w:val="22"/>
          <w:lang w:val="en-US"/>
        </w:rPr>
        <w:t xml:space="preserve">There are no drugs registered for leishmaniasis and they are not available in the country. No drugs for leishmaniasis are included in the National Essential Drug List. Meglumine </w:t>
      </w:r>
      <w:r w:rsidRPr="002C75B8">
        <w:rPr>
          <w:bCs/>
          <w:sz w:val="22"/>
          <w:lang w:val="en-GB"/>
        </w:rPr>
        <w:t xml:space="preserve">antimoniate (Glucantime, </w:t>
      </w:r>
      <w:proofErr w:type="spellStart"/>
      <w:r>
        <w:rPr>
          <w:bCs/>
          <w:sz w:val="22"/>
          <w:lang w:val="en-GB"/>
        </w:rPr>
        <w:t>Sanofi</w:t>
      </w:r>
      <w:proofErr w:type="spellEnd"/>
      <w:r w:rsidRPr="002C75B8">
        <w:rPr>
          <w:bCs/>
          <w:sz w:val="22"/>
          <w:lang w:val="en-GB"/>
        </w:rPr>
        <w:t>) can sometimes be obtained</w:t>
      </w:r>
      <w:r>
        <w:rPr>
          <w:bCs/>
          <w:sz w:val="22"/>
          <w:lang w:val="en-GB"/>
        </w:rPr>
        <w:t>,</w:t>
      </w:r>
      <w:r w:rsidRPr="002C75B8">
        <w:rPr>
          <w:bCs/>
          <w:sz w:val="22"/>
          <w:lang w:val="en-GB"/>
        </w:rPr>
        <w:t xml:space="preserve"> with difficulty</w:t>
      </w:r>
      <w:r>
        <w:rPr>
          <w:bCs/>
          <w:sz w:val="22"/>
          <w:lang w:val="en-GB"/>
        </w:rPr>
        <w:t>,</w:t>
      </w:r>
      <w:r w:rsidRPr="002C75B8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through</w:t>
      </w:r>
      <w:r w:rsidRPr="002C75B8">
        <w:rPr>
          <w:bCs/>
          <w:sz w:val="22"/>
          <w:lang w:val="en-GB"/>
        </w:rPr>
        <w:t xml:space="preserve"> private import. </w:t>
      </w: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ind w:left="0" w:firstLine="0"/>
        <w:rPr>
          <w:sz w:val="22"/>
          <w:lang w:val="en-GB"/>
        </w:rPr>
      </w:pPr>
    </w:p>
    <w:p w:rsidR="005E50B6" w:rsidRPr="002C75B8" w:rsidRDefault="005E50B6" w:rsidP="005E50B6">
      <w:pPr>
        <w:spacing w:line="360" w:lineRule="auto"/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>SOURCES OF INFORMATION</w:t>
      </w:r>
    </w:p>
    <w:p w:rsidR="005E50B6" w:rsidRPr="00D06302" w:rsidRDefault="005E50B6" w:rsidP="005E50B6">
      <w:pPr>
        <w:numPr>
          <w:ilvl w:val="0"/>
          <w:numId w:val="5"/>
        </w:numPr>
        <w:ind w:right="-1"/>
        <w:rPr>
          <w:bCs/>
          <w:i/>
          <w:iCs/>
          <w:sz w:val="22"/>
          <w:lang w:val="en-GB"/>
        </w:rPr>
      </w:pPr>
      <w:r w:rsidRPr="00D06302">
        <w:rPr>
          <w:sz w:val="22"/>
          <w:lang w:val="en-GB"/>
        </w:rPr>
        <w:t xml:space="preserve">Dr Tamara </w:t>
      </w:r>
      <w:proofErr w:type="spellStart"/>
      <w:r w:rsidRPr="00D06302">
        <w:rPr>
          <w:sz w:val="22"/>
          <w:lang w:val="en-GB"/>
        </w:rPr>
        <w:t>Pavlikovska</w:t>
      </w:r>
      <w:proofErr w:type="spellEnd"/>
      <w:r>
        <w:rPr>
          <w:sz w:val="22"/>
          <w:lang w:val="en-GB"/>
        </w:rPr>
        <w:t xml:space="preserve">, </w:t>
      </w:r>
      <w:r w:rsidRPr="00D06302">
        <w:rPr>
          <w:sz w:val="22"/>
          <w:lang w:val="en-GB"/>
        </w:rPr>
        <w:t>Central Sanitary and Epidemiological Station of the Ministry of Health</w:t>
      </w:r>
      <w:r>
        <w:rPr>
          <w:sz w:val="2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lang w:val="en-GB"/>
            </w:rPr>
            <w:t>Kiev</w:t>
          </w:r>
        </w:smartTag>
      </w:smartTag>
      <w:r>
        <w:rPr>
          <w:sz w:val="22"/>
          <w:lang w:val="en-GB"/>
        </w:rPr>
        <w:t xml:space="preserve">. </w:t>
      </w:r>
      <w:r w:rsidRPr="00D06302">
        <w:rPr>
          <w:bCs/>
          <w:i/>
          <w:iCs/>
          <w:sz w:val="22"/>
          <w:lang w:val="en-GB"/>
        </w:rPr>
        <w:t xml:space="preserve">Leishmaniasis in the European Region, a WHO consultative </w:t>
      </w:r>
      <w:proofErr w:type="spellStart"/>
      <w:r w:rsidRPr="00D06302">
        <w:rPr>
          <w:bCs/>
          <w:i/>
          <w:iCs/>
          <w:sz w:val="22"/>
          <w:lang w:val="en-GB"/>
        </w:rPr>
        <w:t>intercountry</w:t>
      </w:r>
      <w:proofErr w:type="spellEnd"/>
      <w:r w:rsidRPr="00D06302">
        <w:rPr>
          <w:bCs/>
          <w:i/>
          <w:iCs/>
          <w:sz w:val="22"/>
          <w:lang w:val="en-GB"/>
        </w:rPr>
        <w:t xml:space="preserve"> meeting, </w:t>
      </w:r>
      <w:smartTag w:uri="urn:schemas-microsoft-com:office:smarttags" w:element="place">
        <w:smartTag w:uri="urn:schemas-microsoft-com:office:smarttags" w:element="City">
          <w:r w:rsidRPr="00D06302">
            <w:rPr>
              <w:bCs/>
              <w:i/>
              <w:iCs/>
              <w:sz w:val="22"/>
              <w:lang w:val="en-GB"/>
            </w:rPr>
            <w:t>Istanbul</w:t>
          </w:r>
        </w:smartTag>
        <w:r w:rsidRPr="00D06302">
          <w:rPr>
            <w:bCs/>
            <w:i/>
            <w:iCs/>
            <w:sz w:val="22"/>
            <w:lang w:val="en-GB"/>
          </w:rPr>
          <w:t xml:space="preserve">, </w:t>
        </w:r>
        <w:smartTag w:uri="urn:schemas-microsoft-com:office:smarttags" w:element="country-region">
          <w:r w:rsidRPr="00D06302">
            <w:rPr>
              <w:bCs/>
              <w:i/>
              <w:iCs/>
              <w:sz w:val="22"/>
              <w:lang w:val="en-GB"/>
            </w:rPr>
            <w:t>Turkey</w:t>
          </w:r>
        </w:smartTag>
      </w:smartTag>
      <w:r w:rsidRPr="00D06302">
        <w:rPr>
          <w:bCs/>
          <w:i/>
          <w:iCs/>
          <w:sz w:val="22"/>
          <w:lang w:val="en-GB"/>
        </w:rPr>
        <w:t>, 17–19 November 2009</w:t>
      </w:r>
      <w:r>
        <w:rPr>
          <w:bCs/>
          <w:i/>
          <w:iCs/>
          <w:sz w:val="22"/>
          <w:lang w:val="en-GB"/>
        </w:rPr>
        <w:t>.</w:t>
      </w:r>
    </w:p>
    <w:sectPr w:rsidR="005E50B6" w:rsidRPr="00D06302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683"/>
    <w:multiLevelType w:val="hybridMultilevel"/>
    <w:tmpl w:val="2B5A5F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50B6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1D11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E50B6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B6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NormalWeb">
    <w:name w:val="Normal (Web)"/>
    <w:basedOn w:val="Normal"/>
    <w:unhideWhenUsed/>
    <w:rsid w:val="005E50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B6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25"/>
      <c:hPercent val="3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1661891117478555E-2"/>
          <c:y val="4.2194092827004238E-2"/>
          <c:w val="0.90401146131805155"/>
          <c:h val="0.742616033755274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4F81BD"/>
            </a:solidFill>
            <a:ln w="12680">
              <a:solidFill>
                <a:srgbClr val="000000"/>
              </a:solidFill>
              <a:prstDash val="solid"/>
            </a:ln>
          </c:spPr>
          <c:cat>
            <c:numRef>
              <c:f>Sheet1!$B$1:$L$1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2001</c:v>
                </c:pt>
                <c:pt idx="4">
                  <c:v>2003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</c:numCache>
            </c:numRef>
          </c:cat>
          <c:val>
            <c:numRef>
              <c:f>Sheet1!$B$2:$L$2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</c:ser>
        <c:gapDepth val="0"/>
        <c:shape val="box"/>
        <c:axId val="285523968"/>
        <c:axId val="285527424"/>
        <c:axId val="0"/>
      </c:bar3DChart>
      <c:catAx>
        <c:axId val="285523968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85527424"/>
        <c:crosses val="autoZero"/>
        <c:auto val="1"/>
        <c:lblAlgn val="ctr"/>
        <c:lblOffset val="100"/>
        <c:tickLblSkip val="1"/>
        <c:tickMarkSkip val="1"/>
      </c:catAx>
      <c:valAx>
        <c:axId val="285527424"/>
        <c:scaling>
          <c:orientation val="minMax"/>
        </c:scaling>
        <c:axPos val="l"/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85523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36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2012-04-02T18:56:00Z</dcterms:created>
  <dcterms:modified xsi:type="dcterms:W3CDTF">2012-04-02T18:57:00Z</dcterms:modified>
</cp:coreProperties>
</file>