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2D3" w:rsidRPr="00D93CD1" w:rsidRDefault="007A32D3" w:rsidP="007A32D3">
      <w:pPr>
        <w:spacing w:line="480" w:lineRule="auto"/>
        <w:ind w:left="0" w:firstLine="0"/>
        <w:rPr>
          <w:bCs/>
          <w:sz w:val="22"/>
          <w:u w:val="single"/>
        </w:rPr>
      </w:pPr>
      <w:r w:rsidRPr="00D93CD1">
        <w:rPr>
          <w:b/>
          <w:sz w:val="22"/>
          <w:u w:val="single"/>
        </w:rPr>
        <w:t>TURKMENISTAN</w:t>
      </w:r>
    </w:p>
    <w:p w:rsidR="007A32D3" w:rsidRPr="002C75B8" w:rsidRDefault="007A32D3" w:rsidP="007A32D3">
      <w:pPr>
        <w:spacing w:line="480" w:lineRule="auto"/>
        <w:ind w:left="0" w:firstLine="0"/>
        <w:rPr>
          <w:bCs/>
          <w:sz w:val="22"/>
          <w:lang w:val="en-US"/>
        </w:rPr>
      </w:pPr>
      <w:r>
        <w:rPr>
          <w:bCs/>
          <w:noProof/>
          <w:sz w:val="22"/>
          <w:lang w:val="en-US"/>
        </w:rPr>
        <w:drawing>
          <wp:inline distT="0" distB="0" distL="0" distR="0">
            <wp:extent cx="2576195" cy="1725295"/>
            <wp:effectExtent l="19050" t="0" r="0" b="0"/>
            <wp:docPr id="1" name="Imagen 1" descr="C:\Users\admin\Documents\Downloads\TMWOR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admin\Documents\Downloads\TMWORL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195" cy="172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2D3" w:rsidRPr="002C75B8" w:rsidRDefault="007A32D3" w:rsidP="007A32D3">
      <w:pPr>
        <w:spacing w:line="480" w:lineRule="auto"/>
        <w:ind w:left="0" w:firstLine="0"/>
        <w:rPr>
          <w:bCs/>
          <w:sz w:val="22"/>
          <w:lang w:val="en-US"/>
        </w:rPr>
      </w:pPr>
      <w:r w:rsidRPr="002C75B8">
        <w:rPr>
          <w:b/>
          <w:sz w:val="22"/>
          <w:lang w:val="en-US"/>
        </w:rPr>
        <w:t>BASIC COUNTRY DATA</w:t>
      </w:r>
    </w:p>
    <w:p w:rsidR="007A32D3" w:rsidRPr="002C75B8" w:rsidRDefault="007A32D3" w:rsidP="007A32D3">
      <w:pPr>
        <w:ind w:left="0" w:firstLine="0"/>
        <w:rPr>
          <w:bCs/>
          <w:sz w:val="22"/>
          <w:lang w:val="en-US"/>
        </w:rPr>
      </w:pPr>
      <w:r w:rsidRPr="002C75B8">
        <w:rPr>
          <w:bCs/>
          <w:sz w:val="22"/>
          <w:lang w:val="en-US"/>
        </w:rPr>
        <w:t xml:space="preserve">Total Population: </w:t>
      </w:r>
      <w:r>
        <w:rPr>
          <w:bCs/>
          <w:sz w:val="22"/>
          <w:lang w:val="en-US"/>
        </w:rPr>
        <w:t>5,041,995</w:t>
      </w:r>
      <w:r w:rsidRPr="002C75B8">
        <w:rPr>
          <w:bCs/>
          <w:sz w:val="22"/>
          <w:lang w:val="en-US"/>
        </w:rPr>
        <w:t xml:space="preserve"> </w:t>
      </w:r>
    </w:p>
    <w:p w:rsidR="007A32D3" w:rsidRPr="002C75B8" w:rsidRDefault="007A32D3" w:rsidP="007A32D3">
      <w:pPr>
        <w:ind w:left="0" w:firstLine="0"/>
        <w:rPr>
          <w:bCs/>
          <w:sz w:val="22"/>
          <w:lang w:val="en-US"/>
        </w:rPr>
      </w:pPr>
      <w:r w:rsidRPr="002C75B8">
        <w:rPr>
          <w:bCs/>
          <w:sz w:val="22"/>
          <w:lang w:val="en-US"/>
        </w:rPr>
        <w:t xml:space="preserve">Population 0-14 years: </w:t>
      </w:r>
      <w:r>
        <w:rPr>
          <w:bCs/>
          <w:sz w:val="22"/>
          <w:lang w:val="en-US"/>
        </w:rPr>
        <w:t>29</w:t>
      </w:r>
      <w:r w:rsidRPr="002C75B8">
        <w:rPr>
          <w:bCs/>
          <w:sz w:val="22"/>
          <w:lang w:val="en-US"/>
        </w:rPr>
        <w:t xml:space="preserve">% </w:t>
      </w:r>
    </w:p>
    <w:p w:rsidR="007A32D3" w:rsidRPr="002C75B8" w:rsidRDefault="007A32D3" w:rsidP="007A32D3">
      <w:pPr>
        <w:ind w:left="0" w:firstLine="0"/>
        <w:rPr>
          <w:bCs/>
          <w:sz w:val="22"/>
          <w:lang w:val="en-US"/>
        </w:rPr>
      </w:pPr>
      <w:r w:rsidRPr="002C75B8">
        <w:rPr>
          <w:bCs/>
          <w:sz w:val="22"/>
          <w:lang w:val="en-US"/>
        </w:rPr>
        <w:t xml:space="preserve">Rural population: </w:t>
      </w:r>
      <w:r>
        <w:rPr>
          <w:bCs/>
          <w:sz w:val="22"/>
          <w:lang w:val="en-US"/>
        </w:rPr>
        <w:t>51</w:t>
      </w:r>
      <w:r w:rsidRPr="002C75B8">
        <w:rPr>
          <w:bCs/>
          <w:sz w:val="22"/>
          <w:lang w:val="en-US"/>
        </w:rPr>
        <w:t xml:space="preserve">% </w:t>
      </w:r>
    </w:p>
    <w:p w:rsidR="007A32D3" w:rsidRPr="002C75B8" w:rsidRDefault="007A32D3" w:rsidP="007A32D3">
      <w:pPr>
        <w:ind w:left="0" w:firstLine="0"/>
        <w:rPr>
          <w:bCs/>
          <w:sz w:val="22"/>
          <w:lang w:val="en-US"/>
        </w:rPr>
      </w:pPr>
      <w:r w:rsidRPr="002C75B8">
        <w:rPr>
          <w:bCs/>
          <w:sz w:val="22"/>
          <w:lang w:val="en-US"/>
        </w:rPr>
        <w:t>Population living under USD 1</w:t>
      </w:r>
      <w:r>
        <w:rPr>
          <w:bCs/>
          <w:sz w:val="22"/>
          <w:lang w:val="en-US"/>
        </w:rPr>
        <w:t>.</w:t>
      </w:r>
      <w:r w:rsidRPr="002C75B8">
        <w:rPr>
          <w:bCs/>
          <w:sz w:val="22"/>
          <w:lang w:val="en-US"/>
        </w:rPr>
        <w:t xml:space="preserve">25 a day: </w:t>
      </w:r>
      <w:r>
        <w:rPr>
          <w:bCs/>
          <w:sz w:val="22"/>
          <w:lang w:val="en-US"/>
        </w:rPr>
        <w:t>no data</w:t>
      </w:r>
      <w:r w:rsidRPr="002C75B8">
        <w:rPr>
          <w:bCs/>
          <w:sz w:val="22"/>
          <w:lang w:val="en-US"/>
        </w:rPr>
        <w:t xml:space="preserve"> </w:t>
      </w:r>
    </w:p>
    <w:p w:rsidR="007A32D3" w:rsidRPr="002C75B8" w:rsidRDefault="007A32D3" w:rsidP="007A32D3">
      <w:pPr>
        <w:ind w:left="0" w:firstLine="0"/>
        <w:rPr>
          <w:bCs/>
          <w:sz w:val="22"/>
          <w:lang w:val="en-US"/>
        </w:rPr>
      </w:pPr>
      <w:r w:rsidRPr="002C75B8">
        <w:rPr>
          <w:bCs/>
          <w:sz w:val="22"/>
          <w:lang w:val="en-US"/>
        </w:rPr>
        <w:t>Population living under the national poverty line: no data</w:t>
      </w:r>
    </w:p>
    <w:p w:rsidR="007A32D3" w:rsidRPr="002C75B8" w:rsidRDefault="007A32D3" w:rsidP="007A32D3">
      <w:pPr>
        <w:ind w:left="0" w:firstLine="0"/>
        <w:rPr>
          <w:bCs/>
          <w:sz w:val="22"/>
          <w:lang w:val="en-US"/>
        </w:rPr>
      </w:pPr>
      <w:r w:rsidRPr="002C75B8">
        <w:rPr>
          <w:bCs/>
          <w:sz w:val="22"/>
          <w:lang w:val="en-US"/>
        </w:rPr>
        <w:t xml:space="preserve">Income status: Lower middle income economy </w:t>
      </w:r>
    </w:p>
    <w:p w:rsidR="007A32D3" w:rsidRPr="002C75B8" w:rsidRDefault="007A32D3" w:rsidP="007A32D3">
      <w:pPr>
        <w:ind w:left="0" w:firstLine="0"/>
        <w:rPr>
          <w:bCs/>
          <w:sz w:val="22"/>
          <w:lang w:val="en-US"/>
        </w:rPr>
      </w:pPr>
      <w:r w:rsidRPr="002C75B8">
        <w:rPr>
          <w:bCs/>
          <w:sz w:val="22"/>
          <w:lang w:val="en-US"/>
        </w:rPr>
        <w:t>Ranking: Medium human development (ranking 10</w:t>
      </w:r>
      <w:r>
        <w:rPr>
          <w:bCs/>
          <w:sz w:val="22"/>
          <w:lang w:val="en-US"/>
        </w:rPr>
        <w:t>2</w:t>
      </w:r>
      <w:r w:rsidRPr="002C75B8">
        <w:rPr>
          <w:bCs/>
          <w:sz w:val="22"/>
          <w:lang w:val="en-US"/>
        </w:rPr>
        <w:t>)</w:t>
      </w:r>
    </w:p>
    <w:p w:rsidR="007A32D3" w:rsidRPr="002C75B8" w:rsidRDefault="007A32D3" w:rsidP="007A32D3">
      <w:pPr>
        <w:ind w:left="0" w:firstLine="0"/>
        <w:rPr>
          <w:bCs/>
          <w:sz w:val="22"/>
          <w:lang w:val="en-US"/>
        </w:rPr>
      </w:pPr>
      <w:r w:rsidRPr="002C75B8">
        <w:rPr>
          <w:bCs/>
          <w:sz w:val="22"/>
          <w:lang w:val="en-US"/>
        </w:rPr>
        <w:t xml:space="preserve">Per capita total expenditure on health at average exchange rate (US dollar): </w:t>
      </w:r>
      <w:r>
        <w:rPr>
          <w:bCs/>
          <w:sz w:val="22"/>
          <w:lang w:val="en-US"/>
        </w:rPr>
        <w:t>77</w:t>
      </w:r>
    </w:p>
    <w:p w:rsidR="007A32D3" w:rsidRDefault="007A32D3" w:rsidP="007A32D3">
      <w:pPr>
        <w:ind w:left="0" w:firstLine="0"/>
        <w:rPr>
          <w:bCs/>
          <w:sz w:val="22"/>
          <w:lang w:val="en-US"/>
        </w:rPr>
      </w:pPr>
      <w:r w:rsidRPr="002C75B8">
        <w:rPr>
          <w:bCs/>
          <w:sz w:val="22"/>
          <w:lang w:val="en-US"/>
        </w:rPr>
        <w:t>Life expectancy at birth (years): 6</w:t>
      </w:r>
      <w:r>
        <w:rPr>
          <w:bCs/>
          <w:sz w:val="22"/>
          <w:lang w:val="en-US"/>
        </w:rPr>
        <w:t>5</w:t>
      </w:r>
    </w:p>
    <w:p w:rsidR="007A32D3" w:rsidRPr="002C75B8" w:rsidRDefault="007A32D3" w:rsidP="007A32D3">
      <w:pPr>
        <w:ind w:left="0" w:firstLine="0"/>
        <w:rPr>
          <w:bCs/>
          <w:sz w:val="22"/>
          <w:lang w:val="en-US"/>
        </w:rPr>
      </w:pPr>
      <w:r>
        <w:rPr>
          <w:bCs/>
          <w:sz w:val="22"/>
          <w:lang w:val="en-US"/>
        </w:rPr>
        <w:t>Healthy life expectancy at birth (years): 54</w:t>
      </w:r>
    </w:p>
    <w:p w:rsidR="007A32D3" w:rsidRDefault="007A32D3" w:rsidP="007A32D3">
      <w:pPr>
        <w:ind w:left="0" w:firstLine="0"/>
        <w:rPr>
          <w:bCs/>
          <w:sz w:val="22"/>
          <w:lang w:val="en-US"/>
        </w:rPr>
      </w:pPr>
    </w:p>
    <w:p w:rsidR="007A32D3" w:rsidRPr="002C75B8" w:rsidRDefault="007A32D3" w:rsidP="007A32D3">
      <w:pPr>
        <w:ind w:left="0" w:firstLine="0"/>
        <w:rPr>
          <w:bCs/>
          <w:sz w:val="22"/>
          <w:lang w:val="en-US"/>
        </w:rPr>
      </w:pPr>
    </w:p>
    <w:p w:rsidR="007A32D3" w:rsidRPr="002C75B8" w:rsidRDefault="007A32D3" w:rsidP="007A32D3">
      <w:pPr>
        <w:spacing w:line="480" w:lineRule="auto"/>
        <w:ind w:left="0" w:firstLine="0"/>
        <w:rPr>
          <w:sz w:val="22"/>
          <w:lang w:val="en-GB"/>
        </w:rPr>
      </w:pPr>
      <w:r w:rsidRPr="002C75B8">
        <w:rPr>
          <w:b/>
          <w:sz w:val="22"/>
          <w:lang w:val="en-US"/>
        </w:rPr>
        <w:t xml:space="preserve">BACKGROUND INFORMATION </w:t>
      </w:r>
    </w:p>
    <w:p w:rsidR="007A32D3" w:rsidRPr="006B40EA" w:rsidRDefault="007A32D3" w:rsidP="007A32D3">
      <w:pPr>
        <w:ind w:left="0" w:firstLine="0"/>
        <w:rPr>
          <w:color w:val="000000"/>
          <w:sz w:val="22"/>
          <w:lang w:val="en-US"/>
        </w:rPr>
      </w:pPr>
      <w:r w:rsidRPr="002C75B8">
        <w:rPr>
          <w:sz w:val="22"/>
          <w:lang w:val="en-US"/>
        </w:rPr>
        <w:t>Over the last 9 years (2000-2009), 1</w:t>
      </w:r>
      <w:r>
        <w:rPr>
          <w:sz w:val="22"/>
          <w:lang w:val="en-US"/>
        </w:rPr>
        <w:t>,</w:t>
      </w:r>
      <w:r w:rsidRPr="002C75B8">
        <w:rPr>
          <w:sz w:val="22"/>
          <w:lang w:val="en-US"/>
        </w:rPr>
        <w:t xml:space="preserve">562 cases of CL have been reported, mostly in the </w:t>
      </w:r>
      <w:r>
        <w:rPr>
          <w:sz w:val="22"/>
          <w:lang w:val="en-US"/>
        </w:rPr>
        <w:t>s</w:t>
      </w:r>
      <w:r w:rsidRPr="002C75B8">
        <w:rPr>
          <w:sz w:val="22"/>
          <w:lang w:val="en-US"/>
        </w:rPr>
        <w:t xml:space="preserve">outhern and </w:t>
      </w:r>
      <w:r>
        <w:rPr>
          <w:sz w:val="22"/>
          <w:lang w:val="en-US"/>
        </w:rPr>
        <w:t>e</w:t>
      </w:r>
      <w:r w:rsidRPr="002C75B8">
        <w:rPr>
          <w:sz w:val="22"/>
          <w:lang w:val="en-US"/>
        </w:rPr>
        <w:t xml:space="preserve">astern parts of the country, bordering </w:t>
      </w:r>
      <w:smartTag w:uri="urn:schemas-microsoft-com:office:smarttags" w:element="country-region">
        <w:r w:rsidRPr="002C75B8">
          <w:rPr>
            <w:sz w:val="22"/>
            <w:lang w:val="en-US"/>
          </w:rPr>
          <w:t>Iran</w:t>
        </w:r>
      </w:smartTag>
      <w:r w:rsidRPr="002C75B8">
        <w:rPr>
          <w:sz w:val="22"/>
          <w:lang w:val="en-US"/>
        </w:rPr>
        <w:t xml:space="preserve"> and </w:t>
      </w:r>
      <w:smartTag w:uri="urn:schemas-microsoft-com:office:smarttags" w:element="country-region">
        <w:smartTag w:uri="urn:schemas-microsoft-com:office:smarttags" w:element="place">
          <w:r w:rsidRPr="002C75B8">
            <w:rPr>
              <w:sz w:val="22"/>
              <w:lang w:val="en-US"/>
            </w:rPr>
            <w:t>Afghanistan</w:t>
          </w:r>
        </w:smartTag>
      </w:smartTag>
      <w:r w:rsidRPr="002C75B8">
        <w:rPr>
          <w:sz w:val="22"/>
          <w:lang w:val="en-US"/>
        </w:rPr>
        <w:t>. 34% of these cases w</w:t>
      </w:r>
      <w:r>
        <w:rPr>
          <w:sz w:val="22"/>
          <w:lang w:val="en-US"/>
        </w:rPr>
        <w:t>ere</w:t>
      </w:r>
      <w:r w:rsidRPr="002C75B8">
        <w:rPr>
          <w:sz w:val="22"/>
          <w:lang w:val="en-US"/>
        </w:rPr>
        <w:t xml:space="preserve"> found in children </w:t>
      </w:r>
      <w:proofErr w:type="gramStart"/>
      <w:r w:rsidRPr="002C75B8">
        <w:rPr>
          <w:sz w:val="22"/>
          <w:lang w:val="en-US"/>
        </w:rPr>
        <w:t>under</w:t>
      </w:r>
      <w:proofErr w:type="gramEnd"/>
      <w:r w:rsidRPr="002C75B8">
        <w:rPr>
          <w:sz w:val="22"/>
          <w:lang w:val="en-US"/>
        </w:rPr>
        <w:t xml:space="preserve"> 14 years</w:t>
      </w:r>
      <w:r>
        <w:rPr>
          <w:sz w:val="22"/>
          <w:lang w:val="en-US"/>
        </w:rPr>
        <w:t xml:space="preserve"> of age</w:t>
      </w:r>
      <w:r w:rsidRPr="002C75B8">
        <w:rPr>
          <w:sz w:val="22"/>
          <w:lang w:val="en-US"/>
        </w:rPr>
        <w:t>. Most patients are male</w:t>
      </w:r>
      <w:r>
        <w:rPr>
          <w:sz w:val="22"/>
          <w:lang w:val="en-US"/>
        </w:rPr>
        <w:t>,</w:t>
      </w:r>
      <w:r w:rsidRPr="002C75B8">
        <w:rPr>
          <w:sz w:val="22"/>
          <w:lang w:val="en-US"/>
        </w:rPr>
        <w:t xml:space="preserve"> field workers and school </w:t>
      </w:r>
      <w:r w:rsidRPr="002C75B8">
        <w:rPr>
          <w:color w:val="000000"/>
          <w:sz w:val="22"/>
          <w:lang w:val="en-US"/>
        </w:rPr>
        <w:t xml:space="preserve">children </w:t>
      </w:r>
      <w:r w:rsidRPr="006B40EA">
        <w:rPr>
          <w:color w:val="000000"/>
          <w:sz w:val="22"/>
          <w:lang w:val="en-US"/>
        </w:rPr>
        <w:t>(</w:t>
      </w:r>
      <w:r>
        <w:rPr>
          <w:bCs/>
          <w:color w:val="000000"/>
          <w:sz w:val="22"/>
          <w:lang w:val="en-US"/>
        </w:rPr>
        <w:t>WHO</w:t>
      </w:r>
      <w:r w:rsidRPr="002C75B8">
        <w:rPr>
          <w:color w:val="000000"/>
          <w:sz w:val="22"/>
          <w:lang w:val="en-GB"/>
        </w:rPr>
        <w:t xml:space="preserve"> </w:t>
      </w:r>
      <w:r>
        <w:rPr>
          <w:color w:val="000000"/>
          <w:sz w:val="22"/>
          <w:lang w:val="en-GB"/>
        </w:rPr>
        <w:t xml:space="preserve">internal </w:t>
      </w:r>
      <w:r w:rsidRPr="002C75B8">
        <w:rPr>
          <w:color w:val="000000"/>
          <w:sz w:val="22"/>
          <w:lang w:val="en-GB"/>
        </w:rPr>
        <w:t>repor</w:t>
      </w:r>
      <w:r w:rsidRPr="006B40EA">
        <w:rPr>
          <w:color w:val="000000"/>
          <w:sz w:val="22"/>
          <w:lang w:val="en-GB"/>
        </w:rPr>
        <w:t>t</w:t>
      </w:r>
      <w:r>
        <w:rPr>
          <w:color w:val="000000"/>
          <w:sz w:val="22"/>
          <w:lang w:val="en-GB"/>
        </w:rPr>
        <w:t>,</w:t>
      </w:r>
      <w:r w:rsidRPr="006B40EA">
        <w:rPr>
          <w:bCs/>
          <w:color w:val="000000"/>
          <w:sz w:val="22"/>
          <w:lang w:val="en-GB"/>
        </w:rPr>
        <w:t xml:space="preserve"> 2009). </w:t>
      </w:r>
      <w:r w:rsidRPr="006B40EA">
        <w:rPr>
          <w:color w:val="000000"/>
          <w:sz w:val="22"/>
          <w:lang w:val="en-US"/>
        </w:rPr>
        <w:t>Underreporting may happen</w:t>
      </w:r>
      <w:r>
        <w:rPr>
          <w:color w:val="000000"/>
          <w:sz w:val="22"/>
          <w:lang w:val="en-US"/>
        </w:rPr>
        <w:t>,</w:t>
      </w:r>
      <w:r w:rsidRPr="006B40EA">
        <w:rPr>
          <w:color w:val="000000"/>
          <w:sz w:val="22"/>
          <w:lang w:val="en-US"/>
        </w:rPr>
        <w:t xml:space="preserve"> as no active case detection is done. </w:t>
      </w:r>
    </w:p>
    <w:p w:rsidR="007A32D3" w:rsidRPr="006B40EA" w:rsidRDefault="007A32D3" w:rsidP="007A32D3">
      <w:pPr>
        <w:ind w:left="0" w:firstLine="0"/>
        <w:rPr>
          <w:color w:val="000000"/>
          <w:sz w:val="22"/>
          <w:lang w:val="en-US"/>
        </w:rPr>
      </w:pPr>
    </w:p>
    <w:p w:rsidR="007A32D3" w:rsidRPr="002C75B8" w:rsidRDefault="007A32D3" w:rsidP="007A32D3">
      <w:pPr>
        <w:ind w:left="0" w:firstLine="0"/>
        <w:rPr>
          <w:sz w:val="22"/>
          <w:lang w:val="en-US"/>
        </w:rPr>
      </w:pPr>
      <w:r w:rsidRPr="006B40EA">
        <w:rPr>
          <w:color w:val="000000"/>
          <w:sz w:val="22"/>
          <w:lang w:val="en-US"/>
        </w:rPr>
        <w:t>VL is not reported</w:t>
      </w:r>
      <w:r>
        <w:rPr>
          <w:color w:val="000000"/>
          <w:sz w:val="22"/>
          <w:lang w:val="en-US"/>
        </w:rPr>
        <w:t>,</w:t>
      </w:r>
      <w:r w:rsidRPr="006B40EA">
        <w:rPr>
          <w:color w:val="000000"/>
          <w:sz w:val="22"/>
          <w:lang w:val="en-US"/>
        </w:rPr>
        <w:t xml:space="preserve"> but is likely to be prevalent. The last VL case was notified in 2000. 79 VL cases were reported in the period of 1981-1987 (</w:t>
      </w:r>
      <w:r w:rsidRPr="006B40EA">
        <w:rPr>
          <w:bCs/>
          <w:color w:val="000000"/>
          <w:sz w:val="22"/>
          <w:lang w:val="en-US"/>
        </w:rPr>
        <w:t>WHO</w:t>
      </w:r>
      <w:r w:rsidRPr="006B40EA">
        <w:rPr>
          <w:color w:val="000000"/>
          <w:sz w:val="22"/>
          <w:lang w:val="en-GB"/>
        </w:rPr>
        <w:t xml:space="preserve"> internal report</w:t>
      </w:r>
      <w:r>
        <w:rPr>
          <w:color w:val="000000"/>
          <w:sz w:val="22"/>
          <w:lang w:val="en-GB"/>
        </w:rPr>
        <w:t>,</w:t>
      </w:r>
      <w:r w:rsidRPr="006B40EA">
        <w:rPr>
          <w:bCs/>
          <w:color w:val="000000"/>
          <w:sz w:val="22"/>
          <w:lang w:val="en-GB"/>
        </w:rPr>
        <w:t xml:space="preserve"> 2009).</w:t>
      </w:r>
      <w:r>
        <w:rPr>
          <w:bCs/>
          <w:color w:val="FF0000"/>
          <w:sz w:val="22"/>
          <w:lang w:val="en-GB"/>
        </w:rPr>
        <w:t xml:space="preserve"> </w:t>
      </w:r>
      <w:proofErr w:type="spellStart"/>
      <w:r w:rsidRPr="002C75B8">
        <w:rPr>
          <w:sz w:val="22"/>
          <w:lang w:val="en-US"/>
        </w:rPr>
        <w:t>Sero</w:t>
      </w:r>
      <w:proofErr w:type="spellEnd"/>
      <w:r w:rsidRPr="002C75B8">
        <w:rPr>
          <w:sz w:val="22"/>
          <w:lang w:val="en-US"/>
        </w:rPr>
        <w:t xml:space="preserve">-epidemiological studies of children in this period found antibodies in 10-11% </w:t>
      </w:r>
      <w:r>
        <w:rPr>
          <w:sz w:val="22"/>
          <w:lang w:val="en-US"/>
        </w:rPr>
        <w:t>[1]</w:t>
      </w:r>
      <w:r w:rsidRPr="002C75B8">
        <w:rPr>
          <w:sz w:val="22"/>
          <w:lang w:val="en-US"/>
        </w:rPr>
        <w:t xml:space="preserve">. </w:t>
      </w:r>
    </w:p>
    <w:p w:rsidR="007A32D3" w:rsidRPr="002C75B8" w:rsidRDefault="007A32D3" w:rsidP="007A32D3">
      <w:pPr>
        <w:ind w:left="0" w:firstLine="0"/>
        <w:rPr>
          <w:sz w:val="22"/>
          <w:lang w:val="en-US"/>
        </w:rPr>
      </w:pPr>
    </w:p>
    <w:p w:rsidR="007A32D3" w:rsidRPr="002C75B8" w:rsidRDefault="007A32D3" w:rsidP="007A32D3">
      <w:pPr>
        <w:ind w:left="0" w:firstLine="0"/>
        <w:rPr>
          <w:sz w:val="22"/>
          <w:lang w:val="en-US"/>
        </w:rPr>
      </w:pPr>
      <w:r w:rsidRPr="002C75B8">
        <w:rPr>
          <w:sz w:val="22"/>
          <w:lang w:val="en-US"/>
        </w:rPr>
        <w:t>No HIV/</w:t>
      </w:r>
      <w:r w:rsidRPr="002C75B8">
        <w:rPr>
          <w:i/>
          <w:iCs/>
          <w:sz w:val="22"/>
          <w:lang w:val="en-US"/>
        </w:rPr>
        <w:t>Leishmania</w:t>
      </w:r>
      <w:r w:rsidRPr="002C75B8">
        <w:rPr>
          <w:sz w:val="22"/>
          <w:lang w:val="en-US"/>
        </w:rPr>
        <w:t xml:space="preserve"> co</w:t>
      </w:r>
      <w:r>
        <w:rPr>
          <w:sz w:val="22"/>
          <w:lang w:val="en-US"/>
        </w:rPr>
        <w:t>-</w:t>
      </w:r>
      <w:r w:rsidRPr="002C75B8">
        <w:rPr>
          <w:sz w:val="22"/>
          <w:lang w:val="en-US"/>
        </w:rPr>
        <w:t>infection has been reported.</w:t>
      </w:r>
    </w:p>
    <w:p w:rsidR="007A32D3" w:rsidRPr="00360B68" w:rsidRDefault="007A32D3" w:rsidP="007A32D3">
      <w:pPr>
        <w:ind w:left="0" w:firstLine="0"/>
        <w:rPr>
          <w:sz w:val="22"/>
          <w:lang w:val="en-GB"/>
        </w:rPr>
      </w:pPr>
    </w:p>
    <w:p w:rsidR="007A32D3" w:rsidRDefault="007A32D3" w:rsidP="007A32D3">
      <w:pPr>
        <w:ind w:left="0" w:firstLine="0"/>
        <w:rPr>
          <w:sz w:val="22"/>
          <w:lang w:val="en-GB"/>
        </w:rPr>
      </w:pPr>
    </w:p>
    <w:p w:rsidR="007A32D3" w:rsidRPr="002C75B8" w:rsidRDefault="007A32D3" w:rsidP="007A32D3">
      <w:pPr>
        <w:ind w:left="0" w:firstLine="0"/>
        <w:rPr>
          <w:b/>
          <w:bCs/>
          <w:sz w:val="22"/>
        </w:rPr>
      </w:pPr>
      <w:r w:rsidRPr="002C75B8">
        <w:rPr>
          <w:b/>
          <w:bCs/>
          <w:sz w:val="22"/>
        </w:rPr>
        <w:t>PARASITOLOGICAL INFORMATION</w:t>
      </w:r>
    </w:p>
    <w:p w:rsidR="007A32D3" w:rsidRPr="002C75B8" w:rsidRDefault="007A32D3" w:rsidP="007A32D3">
      <w:pPr>
        <w:ind w:left="0" w:firstLine="0"/>
        <w:rPr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10"/>
        <w:gridCol w:w="1758"/>
        <w:gridCol w:w="2863"/>
        <w:gridCol w:w="2311"/>
      </w:tblGrid>
      <w:tr w:rsidR="007A32D3" w:rsidRPr="002C75B8" w:rsidTr="00A7768B">
        <w:trPr>
          <w:jc w:val="center"/>
        </w:trPr>
        <w:tc>
          <w:tcPr>
            <w:tcW w:w="2310" w:type="dxa"/>
            <w:vAlign w:val="center"/>
          </w:tcPr>
          <w:p w:rsidR="007A32D3" w:rsidRPr="002C75B8" w:rsidRDefault="007A32D3" w:rsidP="00A7768B">
            <w:pPr>
              <w:ind w:left="0" w:firstLine="0"/>
              <w:jc w:val="center"/>
              <w:rPr>
                <w:sz w:val="22"/>
              </w:rPr>
            </w:pPr>
            <w:r w:rsidRPr="002C75B8">
              <w:rPr>
                <w:b/>
                <w:bCs/>
                <w:i/>
                <w:iCs/>
                <w:sz w:val="22"/>
                <w:lang w:val="en-US"/>
              </w:rPr>
              <w:t xml:space="preserve">Leishmania </w:t>
            </w:r>
            <w:r w:rsidRPr="002C75B8">
              <w:rPr>
                <w:b/>
                <w:bCs/>
                <w:sz w:val="22"/>
                <w:lang w:val="en-US"/>
              </w:rPr>
              <w:t>species</w:t>
            </w:r>
          </w:p>
        </w:tc>
        <w:tc>
          <w:tcPr>
            <w:tcW w:w="1758" w:type="dxa"/>
            <w:vAlign w:val="center"/>
          </w:tcPr>
          <w:p w:rsidR="007A32D3" w:rsidRPr="002C75B8" w:rsidRDefault="007A32D3" w:rsidP="00A7768B">
            <w:pPr>
              <w:ind w:left="0" w:firstLine="0"/>
              <w:jc w:val="center"/>
              <w:rPr>
                <w:sz w:val="22"/>
              </w:rPr>
            </w:pPr>
            <w:r w:rsidRPr="002C75B8">
              <w:rPr>
                <w:b/>
                <w:bCs/>
                <w:sz w:val="22"/>
                <w:lang w:val="en-US"/>
              </w:rPr>
              <w:t>Clinical form</w:t>
            </w:r>
          </w:p>
        </w:tc>
        <w:tc>
          <w:tcPr>
            <w:tcW w:w="2863" w:type="dxa"/>
            <w:vAlign w:val="center"/>
          </w:tcPr>
          <w:p w:rsidR="007A32D3" w:rsidRPr="002C75B8" w:rsidRDefault="007A32D3" w:rsidP="00A7768B">
            <w:pPr>
              <w:ind w:left="0" w:firstLine="0"/>
              <w:jc w:val="center"/>
              <w:rPr>
                <w:sz w:val="22"/>
              </w:rPr>
            </w:pPr>
            <w:r w:rsidRPr="002C75B8">
              <w:rPr>
                <w:b/>
                <w:bCs/>
                <w:sz w:val="22"/>
                <w:lang w:val="en-US"/>
              </w:rPr>
              <w:t>Vector species</w:t>
            </w:r>
          </w:p>
        </w:tc>
        <w:tc>
          <w:tcPr>
            <w:tcW w:w="2311" w:type="dxa"/>
            <w:vAlign w:val="center"/>
          </w:tcPr>
          <w:p w:rsidR="007A32D3" w:rsidRPr="002C75B8" w:rsidRDefault="007A32D3" w:rsidP="00A7768B">
            <w:pPr>
              <w:ind w:left="0" w:firstLine="0"/>
              <w:jc w:val="center"/>
              <w:rPr>
                <w:sz w:val="22"/>
              </w:rPr>
            </w:pPr>
            <w:proofErr w:type="spellStart"/>
            <w:r w:rsidRPr="002C75B8">
              <w:rPr>
                <w:b/>
                <w:bCs/>
                <w:sz w:val="22"/>
              </w:rPr>
              <w:t>Reservoirs</w:t>
            </w:r>
            <w:proofErr w:type="spellEnd"/>
          </w:p>
        </w:tc>
      </w:tr>
      <w:tr w:rsidR="007A32D3" w:rsidRPr="002C75B8" w:rsidTr="00A7768B">
        <w:trPr>
          <w:jc w:val="center"/>
        </w:trPr>
        <w:tc>
          <w:tcPr>
            <w:tcW w:w="2310" w:type="dxa"/>
            <w:vAlign w:val="center"/>
          </w:tcPr>
          <w:p w:rsidR="007A32D3" w:rsidRPr="002C75B8" w:rsidRDefault="007A32D3" w:rsidP="00A7768B">
            <w:pPr>
              <w:pStyle w:val="NormalWeb"/>
              <w:spacing w:before="0" w:beforeAutospacing="0" w:after="0" w:afterAutospacing="0" w:line="275" w:lineRule="atLeast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C75B8">
              <w:rPr>
                <w:rFonts w:ascii="Arial" w:hAnsi="Arial" w:cs="Arial"/>
                <w:i/>
                <w:iCs/>
                <w:color w:val="000000"/>
                <w:kern w:val="24"/>
                <w:sz w:val="22"/>
                <w:szCs w:val="22"/>
              </w:rPr>
              <w:t>L. major</w:t>
            </w:r>
          </w:p>
        </w:tc>
        <w:tc>
          <w:tcPr>
            <w:tcW w:w="1758" w:type="dxa"/>
            <w:vAlign w:val="center"/>
          </w:tcPr>
          <w:p w:rsidR="007A32D3" w:rsidRPr="002C75B8" w:rsidRDefault="007A32D3" w:rsidP="00A7768B">
            <w:pPr>
              <w:pStyle w:val="NormalWeb"/>
              <w:spacing w:before="0" w:beforeAutospacing="0" w:after="0" w:afterAutospacing="0" w:line="275" w:lineRule="atLeast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C75B8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ZCL</w:t>
            </w:r>
          </w:p>
        </w:tc>
        <w:tc>
          <w:tcPr>
            <w:tcW w:w="2863" w:type="dxa"/>
            <w:vAlign w:val="center"/>
          </w:tcPr>
          <w:p w:rsidR="007A32D3" w:rsidRPr="002C75B8" w:rsidRDefault="007A32D3" w:rsidP="00A7768B">
            <w:pPr>
              <w:pStyle w:val="NormalWeb"/>
              <w:spacing w:before="0" w:beforeAutospacing="0" w:after="0" w:afterAutospacing="0" w:line="275" w:lineRule="atLeast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C75B8">
              <w:rPr>
                <w:rFonts w:ascii="Arial" w:hAnsi="Arial" w:cs="Arial"/>
                <w:i/>
                <w:iCs/>
                <w:color w:val="000000"/>
                <w:kern w:val="24"/>
                <w:sz w:val="22"/>
                <w:szCs w:val="22"/>
              </w:rPr>
              <w:t xml:space="preserve">P. </w:t>
            </w:r>
            <w:proofErr w:type="spellStart"/>
            <w:r w:rsidRPr="002C75B8">
              <w:rPr>
                <w:rFonts w:ascii="Arial" w:hAnsi="Arial" w:cs="Arial"/>
                <w:i/>
                <w:iCs/>
                <w:color w:val="000000"/>
                <w:kern w:val="24"/>
                <w:sz w:val="22"/>
                <w:szCs w:val="22"/>
              </w:rPr>
              <w:t>papatasi</w:t>
            </w:r>
            <w:proofErr w:type="spellEnd"/>
          </w:p>
        </w:tc>
        <w:tc>
          <w:tcPr>
            <w:tcW w:w="2311" w:type="dxa"/>
            <w:vAlign w:val="center"/>
          </w:tcPr>
          <w:p w:rsidR="007A32D3" w:rsidRPr="002C75B8" w:rsidRDefault="007A32D3" w:rsidP="00A7768B">
            <w:pPr>
              <w:pStyle w:val="NormalWeb"/>
              <w:spacing w:before="0" w:beforeAutospacing="0" w:after="0" w:afterAutospacing="0" w:line="275" w:lineRule="atLeast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24"/>
                <w:sz w:val="22"/>
                <w:szCs w:val="22"/>
              </w:rPr>
              <w:t>Rhombomys</w:t>
            </w:r>
            <w:proofErr w:type="spellEnd"/>
            <w:r w:rsidRPr="002C75B8">
              <w:rPr>
                <w:rFonts w:ascii="Arial" w:hAnsi="Arial" w:cs="Arial"/>
                <w:i/>
                <w:iCs/>
                <w:color w:val="000000"/>
                <w:kern w:val="24"/>
                <w:sz w:val="22"/>
                <w:szCs w:val="22"/>
              </w:rPr>
              <w:t xml:space="preserve"> </w:t>
            </w:r>
            <w:proofErr w:type="spellStart"/>
            <w:r w:rsidRPr="002C75B8">
              <w:rPr>
                <w:rFonts w:ascii="Arial" w:hAnsi="Arial" w:cs="Arial"/>
                <w:i/>
                <w:iCs/>
                <w:color w:val="000000"/>
                <w:kern w:val="24"/>
                <w:sz w:val="22"/>
                <w:szCs w:val="22"/>
              </w:rPr>
              <w:t>opimus</w:t>
            </w:r>
            <w:proofErr w:type="spellEnd"/>
          </w:p>
        </w:tc>
      </w:tr>
      <w:tr w:rsidR="007A32D3" w:rsidRPr="002C75B8" w:rsidTr="00A7768B">
        <w:trPr>
          <w:jc w:val="center"/>
        </w:trPr>
        <w:tc>
          <w:tcPr>
            <w:tcW w:w="2310" w:type="dxa"/>
            <w:vAlign w:val="center"/>
          </w:tcPr>
          <w:p w:rsidR="007A32D3" w:rsidRPr="002C75B8" w:rsidRDefault="007A32D3" w:rsidP="00A7768B">
            <w:pPr>
              <w:pStyle w:val="NormalWeb"/>
              <w:spacing w:before="0" w:beforeAutospacing="0" w:after="0" w:afterAutospacing="0" w:line="313" w:lineRule="atLeast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C75B8">
              <w:rPr>
                <w:rFonts w:ascii="Arial" w:hAnsi="Arial" w:cs="Arial"/>
                <w:i/>
                <w:iCs/>
                <w:color w:val="000000"/>
                <w:kern w:val="24"/>
                <w:sz w:val="22"/>
                <w:szCs w:val="22"/>
              </w:rPr>
              <w:t>L. tropica</w:t>
            </w:r>
          </w:p>
        </w:tc>
        <w:tc>
          <w:tcPr>
            <w:tcW w:w="1758" w:type="dxa"/>
            <w:vAlign w:val="center"/>
          </w:tcPr>
          <w:p w:rsidR="007A32D3" w:rsidRPr="002C75B8" w:rsidRDefault="007A32D3" w:rsidP="00A7768B">
            <w:pPr>
              <w:pStyle w:val="NormalWeb"/>
              <w:spacing w:before="0" w:beforeAutospacing="0" w:after="0" w:afterAutospacing="0" w:line="313" w:lineRule="atLeast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C75B8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CL</w:t>
            </w:r>
          </w:p>
        </w:tc>
        <w:tc>
          <w:tcPr>
            <w:tcW w:w="2863" w:type="dxa"/>
            <w:vAlign w:val="center"/>
          </w:tcPr>
          <w:p w:rsidR="007A32D3" w:rsidRPr="002C75B8" w:rsidRDefault="007A32D3" w:rsidP="00A7768B">
            <w:pPr>
              <w:pStyle w:val="NormalWeb"/>
              <w:spacing w:before="0" w:beforeAutospacing="0" w:after="0" w:afterAutospacing="0" w:line="313" w:lineRule="atLeast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C75B8">
              <w:rPr>
                <w:rFonts w:ascii="Arial" w:hAnsi="Arial" w:cs="Arial"/>
                <w:i/>
                <w:iCs/>
                <w:color w:val="000000"/>
                <w:kern w:val="24"/>
                <w:sz w:val="22"/>
                <w:szCs w:val="22"/>
              </w:rPr>
              <w:t xml:space="preserve">P. </w:t>
            </w:r>
            <w:proofErr w:type="spellStart"/>
            <w:r w:rsidRPr="002C75B8">
              <w:rPr>
                <w:rFonts w:ascii="Arial" w:hAnsi="Arial" w:cs="Arial"/>
                <w:i/>
                <w:iCs/>
                <w:color w:val="000000"/>
                <w:kern w:val="24"/>
                <w:sz w:val="22"/>
                <w:szCs w:val="22"/>
              </w:rPr>
              <w:t>sergenti</w:t>
            </w:r>
            <w:proofErr w:type="spellEnd"/>
          </w:p>
        </w:tc>
        <w:tc>
          <w:tcPr>
            <w:tcW w:w="2311" w:type="dxa"/>
            <w:vAlign w:val="center"/>
          </w:tcPr>
          <w:p w:rsidR="007A32D3" w:rsidRPr="002C75B8" w:rsidRDefault="007A32D3" w:rsidP="00A7768B">
            <w:pPr>
              <w:pStyle w:val="NormalWeb"/>
              <w:spacing w:before="0" w:beforeAutospacing="0" w:after="0" w:afterAutospacing="0" w:line="313" w:lineRule="atLeast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32D3" w:rsidRPr="002C75B8" w:rsidTr="00A7768B">
        <w:trPr>
          <w:jc w:val="center"/>
        </w:trPr>
        <w:tc>
          <w:tcPr>
            <w:tcW w:w="2310" w:type="dxa"/>
            <w:vAlign w:val="center"/>
          </w:tcPr>
          <w:p w:rsidR="007A32D3" w:rsidRPr="002C75B8" w:rsidRDefault="007A32D3" w:rsidP="00A7768B">
            <w:pPr>
              <w:pStyle w:val="NormalWeb"/>
              <w:spacing w:before="0" w:beforeAutospacing="0" w:after="0" w:afterAutospacing="0" w:line="313" w:lineRule="atLeast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C75B8">
              <w:rPr>
                <w:rFonts w:ascii="Arial" w:hAnsi="Arial" w:cs="Arial"/>
                <w:i/>
                <w:iCs/>
                <w:color w:val="000000"/>
                <w:kern w:val="24"/>
                <w:sz w:val="22"/>
                <w:szCs w:val="22"/>
              </w:rPr>
              <w:t>L. infantum</w:t>
            </w:r>
          </w:p>
        </w:tc>
        <w:tc>
          <w:tcPr>
            <w:tcW w:w="1758" w:type="dxa"/>
            <w:vAlign w:val="center"/>
          </w:tcPr>
          <w:p w:rsidR="007A32D3" w:rsidRPr="002C75B8" w:rsidRDefault="007A32D3" w:rsidP="00A7768B">
            <w:pPr>
              <w:pStyle w:val="NormalWeb"/>
              <w:spacing w:before="0" w:beforeAutospacing="0" w:after="0" w:afterAutospacing="0" w:line="313" w:lineRule="atLeast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C75B8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ZVL</w:t>
            </w:r>
          </w:p>
        </w:tc>
        <w:tc>
          <w:tcPr>
            <w:tcW w:w="2863" w:type="dxa"/>
            <w:vAlign w:val="center"/>
          </w:tcPr>
          <w:p w:rsidR="007A32D3" w:rsidRPr="002C75B8" w:rsidRDefault="007A32D3" w:rsidP="00A7768B">
            <w:pPr>
              <w:pStyle w:val="NormalWeb"/>
              <w:spacing w:before="0" w:beforeAutospacing="0" w:after="0" w:afterAutospacing="0" w:line="313" w:lineRule="atLeast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C75B8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Unknown</w:t>
            </w:r>
          </w:p>
        </w:tc>
        <w:tc>
          <w:tcPr>
            <w:tcW w:w="2311" w:type="dxa"/>
            <w:vAlign w:val="center"/>
          </w:tcPr>
          <w:p w:rsidR="007A32D3" w:rsidRPr="00360B68" w:rsidRDefault="007A32D3" w:rsidP="00A7768B">
            <w:pPr>
              <w:pStyle w:val="NormalWeb"/>
              <w:spacing w:before="0" w:beforeAutospacing="0" w:after="0" w:afterAutospacing="0" w:line="313" w:lineRule="atLeast"/>
              <w:jc w:val="center"/>
              <w:textAlignment w:val="baseline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360B68">
              <w:rPr>
                <w:rFonts w:ascii="Arial" w:hAnsi="Arial" w:cs="Arial"/>
                <w:i/>
                <w:iCs/>
                <w:color w:val="000000"/>
                <w:kern w:val="24"/>
                <w:sz w:val="22"/>
                <w:szCs w:val="22"/>
              </w:rPr>
              <w:t>Canis</w:t>
            </w:r>
            <w:proofErr w:type="spellEnd"/>
            <w:r w:rsidRPr="00360B68">
              <w:rPr>
                <w:rFonts w:ascii="Arial" w:hAnsi="Arial" w:cs="Arial"/>
                <w:i/>
                <w:iCs/>
                <w:color w:val="000000"/>
                <w:kern w:val="24"/>
                <w:sz w:val="22"/>
                <w:szCs w:val="22"/>
              </w:rPr>
              <w:t xml:space="preserve"> </w:t>
            </w:r>
            <w:proofErr w:type="spellStart"/>
            <w:r w:rsidRPr="00360B68">
              <w:rPr>
                <w:rFonts w:ascii="Arial" w:hAnsi="Arial" w:cs="Arial"/>
                <w:i/>
                <w:iCs/>
                <w:color w:val="000000"/>
                <w:kern w:val="24"/>
                <w:sz w:val="22"/>
                <w:szCs w:val="22"/>
              </w:rPr>
              <w:t>familiaris</w:t>
            </w:r>
            <w:proofErr w:type="spellEnd"/>
          </w:p>
        </w:tc>
      </w:tr>
    </w:tbl>
    <w:p w:rsidR="007A32D3" w:rsidRDefault="007A32D3" w:rsidP="007A32D3">
      <w:pPr>
        <w:ind w:left="0" w:firstLine="0"/>
        <w:rPr>
          <w:b/>
          <w:bCs/>
          <w:sz w:val="22"/>
          <w:lang w:val="en-GB"/>
        </w:rPr>
      </w:pPr>
    </w:p>
    <w:p w:rsidR="007A32D3" w:rsidRPr="00360B68" w:rsidRDefault="007A32D3" w:rsidP="007A32D3">
      <w:pPr>
        <w:ind w:left="0" w:firstLine="0"/>
        <w:rPr>
          <w:b/>
          <w:bCs/>
          <w:sz w:val="22"/>
          <w:lang w:val="en-GB"/>
        </w:rPr>
      </w:pPr>
      <w:r w:rsidRPr="00360B68">
        <w:rPr>
          <w:b/>
          <w:bCs/>
          <w:sz w:val="22"/>
          <w:lang w:val="en-GB"/>
        </w:rPr>
        <w:lastRenderedPageBreak/>
        <w:t>MAPS AND TRENDS</w:t>
      </w:r>
    </w:p>
    <w:p w:rsidR="007A32D3" w:rsidRPr="00360B68" w:rsidRDefault="007A32D3" w:rsidP="007A32D3">
      <w:pPr>
        <w:ind w:left="0" w:firstLine="0"/>
        <w:rPr>
          <w:b/>
          <w:bCs/>
          <w:sz w:val="22"/>
          <w:lang w:val="en-GB"/>
        </w:rPr>
      </w:pPr>
    </w:p>
    <w:p w:rsidR="007A32D3" w:rsidRPr="00360B68" w:rsidRDefault="007A32D3" w:rsidP="007A32D3">
      <w:pPr>
        <w:ind w:left="0" w:firstLine="0"/>
        <w:rPr>
          <w:b/>
          <w:bCs/>
          <w:sz w:val="22"/>
          <w:lang w:val="en-GB"/>
        </w:rPr>
      </w:pPr>
      <w:r w:rsidRPr="00360B68">
        <w:rPr>
          <w:b/>
          <w:bCs/>
          <w:sz w:val="22"/>
          <w:lang w:val="en-GB"/>
        </w:rPr>
        <w:t>Cutaneous leishmaniasis</w:t>
      </w:r>
    </w:p>
    <w:p w:rsidR="007A32D3" w:rsidRPr="00360B68" w:rsidRDefault="007A32D3" w:rsidP="007A32D3">
      <w:pPr>
        <w:ind w:left="0" w:firstLine="0"/>
        <w:rPr>
          <w:b/>
          <w:bCs/>
          <w:sz w:val="22"/>
          <w:lang w:val="en-GB"/>
        </w:rPr>
      </w:pPr>
      <w:r>
        <w:rPr>
          <w:b/>
          <w:bCs/>
          <w:noProof/>
          <w:sz w:val="22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-297180</wp:posOffset>
            </wp:positionH>
            <wp:positionV relativeFrom="paragraph">
              <wp:posOffset>143510</wp:posOffset>
            </wp:positionV>
            <wp:extent cx="2988310" cy="2112645"/>
            <wp:effectExtent l="19050" t="0" r="2540" b="0"/>
            <wp:wrapNone/>
            <wp:docPr id="3" name="Picture 3" descr="TMCLmo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MCLmod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310" cy="2112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2"/>
          <w:lang w:val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2674620</wp:posOffset>
            </wp:positionH>
            <wp:positionV relativeFrom="paragraph">
              <wp:posOffset>29210</wp:posOffset>
            </wp:positionV>
            <wp:extent cx="3020060" cy="2135505"/>
            <wp:effectExtent l="19050" t="0" r="8890" b="0"/>
            <wp:wrapNone/>
            <wp:docPr id="4" name="Picture 4" descr="TMCLIRm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MCLIRmo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060" cy="213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A32D3" w:rsidRPr="00360B68" w:rsidRDefault="007A32D3" w:rsidP="007A32D3">
      <w:pPr>
        <w:ind w:left="0" w:firstLine="0"/>
        <w:rPr>
          <w:b/>
          <w:bCs/>
          <w:sz w:val="22"/>
          <w:lang w:val="en-GB"/>
        </w:rPr>
      </w:pPr>
    </w:p>
    <w:p w:rsidR="007A32D3" w:rsidRPr="00360B68" w:rsidRDefault="007A32D3" w:rsidP="007A32D3">
      <w:pPr>
        <w:ind w:left="0" w:firstLine="0"/>
        <w:rPr>
          <w:b/>
          <w:bCs/>
          <w:sz w:val="22"/>
          <w:lang w:val="en-GB"/>
        </w:rPr>
      </w:pPr>
    </w:p>
    <w:p w:rsidR="007A32D3" w:rsidRDefault="007A32D3" w:rsidP="007A32D3">
      <w:pPr>
        <w:ind w:left="0" w:firstLine="0"/>
        <w:rPr>
          <w:b/>
          <w:bCs/>
          <w:sz w:val="22"/>
          <w:lang w:val="en-GB"/>
        </w:rPr>
      </w:pPr>
    </w:p>
    <w:p w:rsidR="007A32D3" w:rsidRDefault="007A32D3" w:rsidP="007A32D3">
      <w:pPr>
        <w:ind w:left="0" w:firstLine="0"/>
        <w:rPr>
          <w:b/>
          <w:bCs/>
          <w:sz w:val="22"/>
          <w:lang w:val="en-GB"/>
        </w:rPr>
      </w:pPr>
    </w:p>
    <w:p w:rsidR="007A32D3" w:rsidRDefault="007A32D3" w:rsidP="007A32D3">
      <w:pPr>
        <w:ind w:left="0" w:firstLine="0"/>
        <w:rPr>
          <w:b/>
          <w:bCs/>
          <w:sz w:val="22"/>
          <w:lang w:val="en-GB"/>
        </w:rPr>
      </w:pPr>
    </w:p>
    <w:p w:rsidR="007A32D3" w:rsidRDefault="007A32D3" w:rsidP="007A32D3">
      <w:pPr>
        <w:ind w:left="0" w:firstLine="0"/>
        <w:rPr>
          <w:b/>
          <w:bCs/>
          <w:sz w:val="22"/>
          <w:lang w:val="en-GB"/>
        </w:rPr>
      </w:pPr>
    </w:p>
    <w:p w:rsidR="007A32D3" w:rsidRPr="00360B68" w:rsidRDefault="007A32D3" w:rsidP="007A32D3">
      <w:pPr>
        <w:ind w:left="0" w:firstLine="0"/>
        <w:rPr>
          <w:b/>
          <w:bCs/>
          <w:sz w:val="22"/>
          <w:lang w:val="en-GB"/>
        </w:rPr>
      </w:pPr>
    </w:p>
    <w:p w:rsidR="007A32D3" w:rsidRPr="00360B68" w:rsidRDefault="007A32D3" w:rsidP="007A32D3">
      <w:pPr>
        <w:ind w:left="0" w:firstLine="0"/>
        <w:rPr>
          <w:b/>
          <w:bCs/>
          <w:sz w:val="22"/>
          <w:lang w:val="en-GB"/>
        </w:rPr>
      </w:pPr>
    </w:p>
    <w:p w:rsidR="007A32D3" w:rsidRPr="00360B68" w:rsidRDefault="007A32D3" w:rsidP="007A32D3">
      <w:pPr>
        <w:ind w:left="0" w:firstLine="0"/>
        <w:rPr>
          <w:b/>
          <w:bCs/>
          <w:sz w:val="22"/>
          <w:lang w:val="en-GB"/>
        </w:rPr>
      </w:pPr>
    </w:p>
    <w:p w:rsidR="007A32D3" w:rsidRPr="00360B68" w:rsidRDefault="007A32D3" w:rsidP="007A32D3">
      <w:pPr>
        <w:ind w:left="0" w:firstLine="0"/>
        <w:rPr>
          <w:b/>
          <w:bCs/>
          <w:sz w:val="22"/>
          <w:lang w:val="en-GB"/>
        </w:rPr>
      </w:pPr>
    </w:p>
    <w:p w:rsidR="007A32D3" w:rsidRPr="00360B68" w:rsidRDefault="007A32D3" w:rsidP="007A32D3">
      <w:pPr>
        <w:ind w:left="0" w:firstLine="0"/>
        <w:rPr>
          <w:b/>
          <w:bCs/>
          <w:sz w:val="22"/>
          <w:lang w:val="en-GB"/>
        </w:rPr>
      </w:pPr>
    </w:p>
    <w:p w:rsidR="007A32D3" w:rsidRPr="00360B68" w:rsidRDefault="007A32D3" w:rsidP="007A32D3">
      <w:pPr>
        <w:ind w:left="0" w:firstLine="0"/>
        <w:rPr>
          <w:b/>
          <w:bCs/>
          <w:sz w:val="22"/>
          <w:lang w:val="en-GB"/>
        </w:rPr>
      </w:pPr>
    </w:p>
    <w:p w:rsidR="007A32D3" w:rsidRPr="00360B68" w:rsidRDefault="007A32D3" w:rsidP="007A32D3">
      <w:pPr>
        <w:ind w:left="0" w:firstLine="0"/>
        <w:rPr>
          <w:b/>
          <w:bCs/>
          <w:sz w:val="22"/>
          <w:lang w:val="en-GB"/>
        </w:rPr>
      </w:pPr>
    </w:p>
    <w:p w:rsidR="007A32D3" w:rsidRPr="00360B68" w:rsidRDefault="007A32D3" w:rsidP="007A32D3">
      <w:pPr>
        <w:ind w:left="0" w:firstLine="0"/>
        <w:rPr>
          <w:b/>
          <w:bCs/>
          <w:sz w:val="22"/>
          <w:lang w:val="en-GB"/>
        </w:rPr>
      </w:pPr>
      <w:r w:rsidRPr="00360B68">
        <w:rPr>
          <w:b/>
          <w:bCs/>
          <w:sz w:val="22"/>
          <w:lang w:val="en-GB"/>
        </w:rPr>
        <w:t>Cutaneous leishmaniasis trend</w:t>
      </w:r>
    </w:p>
    <w:p w:rsidR="007A32D3" w:rsidRPr="00360B68" w:rsidRDefault="007A32D3" w:rsidP="007A32D3">
      <w:pPr>
        <w:ind w:left="0" w:firstLine="0"/>
        <w:rPr>
          <w:rFonts w:eastAsia="Times New Roman"/>
          <w:sz w:val="22"/>
          <w:lang w:val="en-GB" w:eastAsia="es-ES"/>
        </w:rPr>
      </w:pPr>
      <w:r>
        <w:rPr>
          <w:b/>
          <w:bCs/>
          <w:noProof/>
          <w:sz w:val="22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-622935</wp:posOffset>
            </wp:positionH>
            <wp:positionV relativeFrom="paragraph">
              <wp:posOffset>94615</wp:posOffset>
            </wp:positionV>
            <wp:extent cx="6743700" cy="2393315"/>
            <wp:effectExtent l="0" t="0" r="0" b="0"/>
            <wp:wrapNone/>
            <wp:docPr id="2" name="Objec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7A32D3" w:rsidRPr="00360B68" w:rsidRDefault="007A32D3" w:rsidP="007A32D3">
      <w:pPr>
        <w:ind w:left="0" w:firstLine="0"/>
        <w:rPr>
          <w:rFonts w:eastAsia="Times New Roman"/>
          <w:sz w:val="22"/>
          <w:lang w:val="en-GB" w:eastAsia="es-ES"/>
        </w:rPr>
      </w:pPr>
    </w:p>
    <w:p w:rsidR="007A32D3" w:rsidRPr="00360B68" w:rsidRDefault="007A32D3" w:rsidP="007A32D3">
      <w:pPr>
        <w:ind w:left="0" w:firstLine="0"/>
        <w:rPr>
          <w:rFonts w:eastAsia="Times New Roman"/>
          <w:sz w:val="22"/>
          <w:lang w:val="en-GB" w:eastAsia="es-ES"/>
        </w:rPr>
      </w:pPr>
    </w:p>
    <w:p w:rsidR="007A32D3" w:rsidRPr="00360B68" w:rsidRDefault="007A32D3" w:rsidP="007A32D3">
      <w:pPr>
        <w:ind w:left="0" w:firstLine="0"/>
        <w:rPr>
          <w:rFonts w:eastAsia="Times New Roman"/>
          <w:sz w:val="22"/>
          <w:lang w:val="en-GB" w:eastAsia="es-ES"/>
        </w:rPr>
      </w:pPr>
    </w:p>
    <w:p w:rsidR="007A32D3" w:rsidRPr="00360B68" w:rsidRDefault="007A32D3" w:rsidP="007A32D3">
      <w:pPr>
        <w:ind w:left="0" w:firstLine="0"/>
        <w:rPr>
          <w:rFonts w:eastAsia="Times New Roman"/>
          <w:sz w:val="22"/>
          <w:lang w:val="en-GB" w:eastAsia="es-ES"/>
        </w:rPr>
      </w:pPr>
    </w:p>
    <w:p w:rsidR="007A32D3" w:rsidRPr="00360B68" w:rsidRDefault="007A32D3" w:rsidP="007A32D3">
      <w:pPr>
        <w:ind w:left="0" w:firstLine="0"/>
        <w:rPr>
          <w:rFonts w:eastAsia="Times New Roman"/>
          <w:sz w:val="22"/>
          <w:lang w:val="en-GB" w:eastAsia="es-ES"/>
        </w:rPr>
      </w:pPr>
    </w:p>
    <w:p w:rsidR="007A32D3" w:rsidRPr="00360B68" w:rsidRDefault="007A32D3" w:rsidP="007A32D3">
      <w:pPr>
        <w:ind w:left="0" w:firstLine="0"/>
        <w:rPr>
          <w:rFonts w:eastAsia="Times New Roman"/>
          <w:sz w:val="22"/>
          <w:lang w:val="en-GB" w:eastAsia="es-ES"/>
        </w:rPr>
      </w:pPr>
    </w:p>
    <w:p w:rsidR="007A32D3" w:rsidRPr="00360B68" w:rsidRDefault="007A32D3" w:rsidP="007A32D3">
      <w:pPr>
        <w:ind w:left="0" w:firstLine="0"/>
        <w:rPr>
          <w:rFonts w:eastAsia="Times New Roman"/>
          <w:sz w:val="22"/>
          <w:lang w:val="en-GB" w:eastAsia="es-ES"/>
        </w:rPr>
      </w:pPr>
    </w:p>
    <w:p w:rsidR="007A32D3" w:rsidRPr="00360B68" w:rsidRDefault="007A32D3" w:rsidP="007A32D3">
      <w:pPr>
        <w:ind w:left="0" w:firstLine="0"/>
        <w:rPr>
          <w:rFonts w:eastAsia="Times New Roman"/>
          <w:sz w:val="22"/>
          <w:lang w:val="en-GB" w:eastAsia="es-ES"/>
        </w:rPr>
      </w:pPr>
    </w:p>
    <w:p w:rsidR="007A32D3" w:rsidRPr="00360B68" w:rsidRDefault="007A32D3" w:rsidP="007A32D3">
      <w:pPr>
        <w:ind w:left="0" w:firstLine="0"/>
        <w:rPr>
          <w:rFonts w:eastAsia="Times New Roman"/>
          <w:sz w:val="22"/>
          <w:lang w:val="en-GB" w:eastAsia="es-ES"/>
        </w:rPr>
      </w:pPr>
    </w:p>
    <w:p w:rsidR="007A32D3" w:rsidRPr="00360B68" w:rsidRDefault="007A32D3" w:rsidP="007A32D3">
      <w:pPr>
        <w:ind w:left="0" w:firstLine="0"/>
        <w:rPr>
          <w:rFonts w:eastAsia="Times New Roman"/>
          <w:sz w:val="22"/>
          <w:lang w:val="en-GB" w:eastAsia="es-ES"/>
        </w:rPr>
      </w:pPr>
    </w:p>
    <w:p w:rsidR="007A32D3" w:rsidRPr="00360B68" w:rsidRDefault="007A32D3" w:rsidP="007A32D3">
      <w:pPr>
        <w:ind w:left="0" w:firstLine="0"/>
        <w:rPr>
          <w:rFonts w:eastAsia="Times New Roman"/>
          <w:sz w:val="22"/>
          <w:lang w:val="en-GB" w:eastAsia="es-ES"/>
        </w:rPr>
      </w:pPr>
    </w:p>
    <w:p w:rsidR="007A32D3" w:rsidRPr="00360B68" w:rsidRDefault="007A32D3" w:rsidP="007A32D3">
      <w:pPr>
        <w:ind w:left="0" w:firstLine="0"/>
        <w:rPr>
          <w:rFonts w:eastAsia="Times New Roman"/>
          <w:sz w:val="22"/>
          <w:lang w:val="en-GB" w:eastAsia="es-ES"/>
        </w:rPr>
      </w:pPr>
    </w:p>
    <w:p w:rsidR="007A32D3" w:rsidRPr="00360B68" w:rsidRDefault="007A32D3" w:rsidP="007A32D3">
      <w:pPr>
        <w:ind w:left="0" w:firstLine="0"/>
        <w:rPr>
          <w:rFonts w:eastAsia="Times New Roman"/>
          <w:sz w:val="22"/>
          <w:lang w:val="en-GB" w:eastAsia="es-ES"/>
        </w:rPr>
      </w:pPr>
    </w:p>
    <w:p w:rsidR="007A32D3" w:rsidRPr="00360B68" w:rsidRDefault="007A32D3" w:rsidP="007A32D3">
      <w:pPr>
        <w:ind w:left="0" w:firstLine="0"/>
        <w:rPr>
          <w:rFonts w:eastAsia="Times New Roman"/>
          <w:sz w:val="22"/>
          <w:lang w:val="en-GB" w:eastAsia="es-ES"/>
        </w:rPr>
      </w:pPr>
    </w:p>
    <w:p w:rsidR="007A32D3" w:rsidRPr="00360B68" w:rsidRDefault="007A32D3" w:rsidP="007A32D3">
      <w:pPr>
        <w:ind w:left="0" w:firstLine="0"/>
        <w:rPr>
          <w:rFonts w:eastAsia="Times New Roman"/>
          <w:sz w:val="22"/>
          <w:lang w:val="en-GB" w:eastAsia="es-ES"/>
        </w:rPr>
      </w:pPr>
    </w:p>
    <w:p w:rsidR="007A32D3" w:rsidRPr="00360B68" w:rsidRDefault="007A32D3" w:rsidP="007A32D3">
      <w:pPr>
        <w:ind w:left="0" w:firstLine="0"/>
        <w:rPr>
          <w:rFonts w:eastAsia="Times New Roman"/>
          <w:sz w:val="22"/>
          <w:lang w:val="en-GB" w:eastAsia="es-ES"/>
        </w:rPr>
      </w:pPr>
    </w:p>
    <w:p w:rsidR="007A32D3" w:rsidRPr="00360B68" w:rsidRDefault="007A32D3" w:rsidP="007A32D3">
      <w:pPr>
        <w:ind w:left="0" w:firstLine="0"/>
        <w:rPr>
          <w:rFonts w:eastAsia="Times New Roman"/>
          <w:b/>
          <w:bCs/>
          <w:sz w:val="22"/>
          <w:lang w:val="en-GB" w:eastAsia="es-ES"/>
        </w:rPr>
      </w:pPr>
      <w:r w:rsidRPr="00360B68">
        <w:rPr>
          <w:rFonts w:eastAsia="Times New Roman"/>
          <w:b/>
          <w:bCs/>
          <w:sz w:val="22"/>
          <w:lang w:val="en-GB" w:eastAsia="es-ES"/>
        </w:rPr>
        <w:t>CONTROL</w:t>
      </w:r>
    </w:p>
    <w:p w:rsidR="007A32D3" w:rsidRPr="00360B68" w:rsidRDefault="007A32D3" w:rsidP="007A32D3">
      <w:pPr>
        <w:ind w:left="0" w:firstLine="0"/>
        <w:rPr>
          <w:rFonts w:eastAsia="Times New Roman"/>
          <w:sz w:val="22"/>
          <w:lang w:val="en-GB" w:eastAsia="es-ES"/>
        </w:rPr>
      </w:pPr>
    </w:p>
    <w:p w:rsidR="007A32D3" w:rsidRPr="002C75B8" w:rsidRDefault="007A32D3" w:rsidP="007A32D3">
      <w:pPr>
        <w:ind w:left="0" w:firstLine="0"/>
        <w:rPr>
          <w:rFonts w:eastAsia="Times New Roman"/>
          <w:sz w:val="22"/>
          <w:lang w:val="en-US" w:eastAsia="es-ES"/>
        </w:rPr>
      </w:pPr>
      <w:r w:rsidRPr="002C75B8">
        <w:rPr>
          <w:rFonts w:eastAsia="Times New Roman"/>
          <w:sz w:val="22"/>
          <w:lang w:val="en-US" w:eastAsia="es-ES"/>
        </w:rPr>
        <w:t xml:space="preserve">The notification of leishmaniasis is not mandatory in the country and there is no national </w:t>
      </w:r>
      <w:r>
        <w:rPr>
          <w:rFonts w:eastAsia="Times New Roman"/>
          <w:sz w:val="22"/>
          <w:lang w:val="en-US" w:eastAsia="es-ES"/>
        </w:rPr>
        <w:t>l</w:t>
      </w:r>
      <w:r w:rsidRPr="002C75B8">
        <w:rPr>
          <w:rFonts w:eastAsia="Times New Roman"/>
          <w:sz w:val="22"/>
          <w:lang w:val="en-US" w:eastAsia="es-ES"/>
        </w:rPr>
        <w:t xml:space="preserve">eishmaniasis control program, but awareness and training of health personnel in the ZCL foci </w:t>
      </w:r>
      <w:r>
        <w:rPr>
          <w:rFonts w:eastAsia="Times New Roman"/>
          <w:sz w:val="22"/>
          <w:lang w:val="en-US" w:eastAsia="es-ES"/>
        </w:rPr>
        <w:t>are</w:t>
      </w:r>
      <w:r w:rsidRPr="002C75B8">
        <w:rPr>
          <w:rFonts w:eastAsia="Times New Roman"/>
          <w:sz w:val="22"/>
          <w:lang w:val="en-US" w:eastAsia="es-ES"/>
        </w:rPr>
        <w:t xml:space="preserve"> maintained. There is no leishmaniasis vector control program</w:t>
      </w:r>
      <w:r>
        <w:rPr>
          <w:rFonts w:eastAsia="Times New Roman"/>
          <w:sz w:val="22"/>
          <w:lang w:val="en-US" w:eastAsia="es-ES"/>
        </w:rPr>
        <w:t>,</w:t>
      </w:r>
      <w:r w:rsidRPr="002C75B8">
        <w:rPr>
          <w:rFonts w:eastAsia="Times New Roman"/>
          <w:sz w:val="22"/>
          <w:lang w:val="en-US" w:eastAsia="es-ES"/>
        </w:rPr>
        <w:t xml:space="preserve"> but indoor insecticide spraying is done and bednets are distributed for the malaria control program. There is no leishmaniasis reservoir control program</w:t>
      </w:r>
      <w:r>
        <w:rPr>
          <w:rFonts w:eastAsia="Times New Roman"/>
          <w:sz w:val="22"/>
          <w:lang w:val="en-US" w:eastAsia="es-ES"/>
        </w:rPr>
        <w:t>,</w:t>
      </w:r>
      <w:r w:rsidRPr="002C75B8">
        <w:rPr>
          <w:rFonts w:eastAsia="Times New Roman"/>
          <w:sz w:val="22"/>
          <w:lang w:val="en-US" w:eastAsia="es-ES"/>
        </w:rPr>
        <w:t xml:space="preserve"> but rodent</w:t>
      </w:r>
      <w:r>
        <w:rPr>
          <w:rFonts w:eastAsia="Times New Roman"/>
          <w:sz w:val="22"/>
          <w:lang w:val="en-US" w:eastAsia="es-ES"/>
        </w:rPr>
        <w:t xml:space="preserve"> control</w:t>
      </w:r>
      <w:r w:rsidRPr="002C75B8">
        <w:rPr>
          <w:rFonts w:eastAsia="Times New Roman"/>
          <w:sz w:val="22"/>
          <w:lang w:val="en-US" w:eastAsia="es-ES"/>
        </w:rPr>
        <w:t xml:space="preserve"> in urban and </w:t>
      </w:r>
      <w:proofErr w:type="spellStart"/>
      <w:r w:rsidRPr="002C75B8">
        <w:rPr>
          <w:rFonts w:eastAsia="Times New Roman"/>
          <w:sz w:val="22"/>
          <w:lang w:val="en-US" w:eastAsia="es-ES"/>
        </w:rPr>
        <w:t>periurban</w:t>
      </w:r>
      <w:proofErr w:type="spellEnd"/>
      <w:r w:rsidRPr="002C75B8">
        <w:rPr>
          <w:rFonts w:eastAsia="Times New Roman"/>
          <w:sz w:val="22"/>
          <w:lang w:val="en-US" w:eastAsia="es-ES"/>
        </w:rPr>
        <w:t xml:space="preserve"> areas</w:t>
      </w:r>
      <w:r>
        <w:rPr>
          <w:rFonts w:eastAsia="Times New Roman"/>
          <w:sz w:val="22"/>
          <w:lang w:val="en-US" w:eastAsia="es-ES"/>
        </w:rPr>
        <w:t>,</w:t>
      </w:r>
      <w:r w:rsidRPr="002C75B8">
        <w:rPr>
          <w:rFonts w:eastAsia="Times New Roman"/>
          <w:sz w:val="22"/>
          <w:lang w:val="en-US" w:eastAsia="es-ES"/>
        </w:rPr>
        <w:t xml:space="preserve"> by </w:t>
      </w:r>
      <w:r>
        <w:rPr>
          <w:rFonts w:eastAsia="Times New Roman"/>
          <w:sz w:val="22"/>
          <w:lang w:val="en-US" w:eastAsia="es-ES"/>
        </w:rPr>
        <w:t xml:space="preserve">poison and </w:t>
      </w:r>
      <w:r w:rsidRPr="002C75B8">
        <w:rPr>
          <w:rFonts w:eastAsia="Times New Roman"/>
          <w:sz w:val="22"/>
          <w:lang w:val="en-US" w:eastAsia="es-ES"/>
        </w:rPr>
        <w:t>destruction of holes</w:t>
      </w:r>
      <w:r>
        <w:rPr>
          <w:rFonts w:eastAsia="Times New Roman"/>
          <w:sz w:val="22"/>
          <w:lang w:val="en-US" w:eastAsia="es-ES"/>
        </w:rPr>
        <w:t>,</w:t>
      </w:r>
      <w:r w:rsidRPr="002C75B8">
        <w:rPr>
          <w:rFonts w:eastAsia="Times New Roman"/>
          <w:sz w:val="22"/>
          <w:lang w:val="en-US" w:eastAsia="es-ES"/>
        </w:rPr>
        <w:t xml:space="preserve"> takes place</w:t>
      </w:r>
      <w:r>
        <w:rPr>
          <w:rFonts w:eastAsia="Times New Roman"/>
          <w:sz w:val="22"/>
          <w:lang w:val="en-US" w:eastAsia="es-ES"/>
        </w:rPr>
        <w:t xml:space="preserve"> </w:t>
      </w:r>
      <w:r w:rsidRPr="002C75B8">
        <w:rPr>
          <w:rFonts w:eastAsia="Times New Roman"/>
          <w:sz w:val="22"/>
          <w:lang w:val="en-US" w:eastAsia="es-ES"/>
        </w:rPr>
        <w:t xml:space="preserve">in ZCL foci. </w:t>
      </w:r>
    </w:p>
    <w:p w:rsidR="007A32D3" w:rsidRPr="002C75B8" w:rsidRDefault="007A32D3" w:rsidP="007A32D3">
      <w:pPr>
        <w:ind w:left="0" w:firstLine="0"/>
        <w:rPr>
          <w:rFonts w:eastAsia="Times New Roman"/>
          <w:sz w:val="22"/>
          <w:lang w:val="en-US" w:eastAsia="es-ES"/>
        </w:rPr>
      </w:pPr>
    </w:p>
    <w:p w:rsidR="007A32D3" w:rsidRDefault="007A32D3" w:rsidP="007A32D3">
      <w:pPr>
        <w:ind w:left="0" w:firstLine="0"/>
        <w:rPr>
          <w:rFonts w:eastAsia="Times New Roman"/>
          <w:sz w:val="22"/>
          <w:lang w:val="en-US" w:eastAsia="es-ES"/>
        </w:rPr>
      </w:pPr>
    </w:p>
    <w:p w:rsidR="007A32D3" w:rsidRPr="002C75B8" w:rsidRDefault="007A32D3" w:rsidP="007A32D3">
      <w:pPr>
        <w:spacing w:line="360" w:lineRule="auto"/>
        <w:ind w:left="0" w:firstLine="0"/>
        <w:rPr>
          <w:b/>
          <w:sz w:val="22"/>
          <w:lang w:val="en-US"/>
        </w:rPr>
      </w:pPr>
      <w:r w:rsidRPr="002C75B8">
        <w:rPr>
          <w:b/>
          <w:sz w:val="22"/>
          <w:lang w:val="en-US"/>
        </w:rPr>
        <w:t xml:space="preserve">DIAGNOSIS, TREATMENT </w:t>
      </w:r>
    </w:p>
    <w:p w:rsidR="007A32D3" w:rsidRPr="002C75B8" w:rsidRDefault="007A32D3" w:rsidP="007A32D3">
      <w:pPr>
        <w:ind w:left="0" w:firstLine="0"/>
        <w:rPr>
          <w:sz w:val="22"/>
          <w:lang w:val="en-US"/>
        </w:rPr>
      </w:pPr>
      <w:r w:rsidRPr="002C75B8">
        <w:rPr>
          <w:b/>
          <w:bCs/>
          <w:sz w:val="22"/>
          <w:lang w:val="en-US"/>
        </w:rPr>
        <w:t>Diagnosis</w:t>
      </w:r>
    </w:p>
    <w:p w:rsidR="007A32D3" w:rsidRPr="00562689" w:rsidRDefault="007A32D3" w:rsidP="007A32D3">
      <w:pPr>
        <w:ind w:left="0" w:firstLine="0"/>
        <w:rPr>
          <w:sz w:val="22"/>
          <w:lang w:val="en-US"/>
        </w:rPr>
      </w:pPr>
      <w:r w:rsidRPr="00562689">
        <w:rPr>
          <w:bCs/>
          <w:sz w:val="22"/>
          <w:lang w:val="en-US"/>
        </w:rPr>
        <w:t>CL:</w:t>
      </w:r>
      <w:r w:rsidRPr="00562689">
        <w:rPr>
          <w:sz w:val="22"/>
          <w:lang w:val="en-US"/>
        </w:rPr>
        <w:t xml:space="preserve"> on clinical grounds and sometimes confirmation with microscopic examination of skin lesion sample.</w:t>
      </w:r>
    </w:p>
    <w:p w:rsidR="007A32D3" w:rsidRDefault="007A32D3" w:rsidP="007A32D3">
      <w:pPr>
        <w:ind w:left="0" w:firstLine="0"/>
        <w:rPr>
          <w:sz w:val="22"/>
          <w:lang w:val="en-US"/>
        </w:rPr>
      </w:pPr>
      <w:r w:rsidRPr="00562689">
        <w:rPr>
          <w:bCs/>
          <w:sz w:val="22"/>
          <w:lang w:val="en-US"/>
        </w:rPr>
        <w:t>VL</w:t>
      </w:r>
      <w:r w:rsidRPr="00562689">
        <w:rPr>
          <w:sz w:val="22"/>
          <w:lang w:val="en-US"/>
        </w:rPr>
        <w:t>: confirmation</w:t>
      </w:r>
      <w:r w:rsidRPr="002C75B8">
        <w:rPr>
          <w:sz w:val="22"/>
          <w:lang w:val="en-US"/>
        </w:rPr>
        <w:t xml:space="preserve"> by microscopic examination of bone marrow aspirate</w:t>
      </w:r>
      <w:r>
        <w:rPr>
          <w:sz w:val="22"/>
          <w:lang w:val="en-US"/>
        </w:rPr>
        <w:t>.</w:t>
      </w:r>
      <w:r w:rsidRPr="002C75B8">
        <w:rPr>
          <w:sz w:val="22"/>
          <w:lang w:val="en-US"/>
        </w:rPr>
        <w:t xml:space="preserve"> </w:t>
      </w:r>
    </w:p>
    <w:p w:rsidR="007A32D3" w:rsidRPr="002C75B8" w:rsidRDefault="007A32D3" w:rsidP="007A32D3">
      <w:pPr>
        <w:ind w:left="0" w:firstLine="0"/>
        <w:rPr>
          <w:sz w:val="22"/>
          <w:lang w:val="en-US"/>
        </w:rPr>
      </w:pPr>
      <w:r w:rsidRPr="002C75B8">
        <w:rPr>
          <w:b/>
          <w:bCs/>
          <w:sz w:val="22"/>
          <w:lang w:val="en-US"/>
        </w:rPr>
        <w:lastRenderedPageBreak/>
        <w:t>Treatment</w:t>
      </w:r>
      <w:r w:rsidRPr="002C75B8">
        <w:rPr>
          <w:sz w:val="22"/>
          <w:lang w:val="en-US"/>
        </w:rPr>
        <w:t xml:space="preserve"> </w:t>
      </w:r>
    </w:p>
    <w:p w:rsidR="007A32D3" w:rsidRDefault="007A32D3" w:rsidP="007A32D3">
      <w:pPr>
        <w:ind w:left="0" w:firstLine="0"/>
        <w:rPr>
          <w:sz w:val="22"/>
          <w:lang w:val="en-US"/>
        </w:rPr>
      </w:pPr>
      <w:r>
        <w:rPr>
          <w:sz w:val="22"/>
          <w:lang w:val="en-US"/>
        </w:rPr>
        <w:t>CL: t</w:t>
      </w:r>
      <w:r w:rsidRPr="002C75B8">
        <w:rPr>
          <w:sz w:val="22"/>
          <w:lang w:val="en-US"/>
        </w:rPr>
        <w:t>akes place mostly at local level</w:t>
      </w:r>
      <w:r>
        <w:rPr>
          <w:sz w:val="22"/>
          <w:lang w:val="en-US"/>
        </w:rPr>
        <w:t>,</w:t>
      </w:r>
      <w:r w:rsidRPr="002C75B8">
        <w:rPr>
          <w:sz w:val="22"/>
          <w:lang w:val="en-US"/>
        </w:rPr>
        <w:t xml:space="preserve"> with nonspecific methods (antibiotics, traditional medicine</w:t>
      </w:r>
      <w:r>
        <w:rPr>
          <w:sz w:val="22"/>
          <w:lang w:val="en-US"/>
        </w:rPr>
        <w:t>,</w:t>
      </w:r>
      <w:r w:rsidRPr="002C75B8">
        <w:rPr>
          <w:sz w:val="22"/>
          <w:lang w:val="en-US"/>
        </w:rPr>
        <w:t xml:space="preserve"> etc.). In complicated cases</w:t>
      </w:r>
      <w:r>
        <w:rPr>
          <w:sz w:val="22"/>
          <w:lang w:val="en-US"/>
        </w:rPr>
        <w:t>: antimonials.</w:t>
      </w:r>
    </w:p>
    <w:p w:rsidR="007A32D3" w:rsidRPr="002C75B8" w:rsidRDefault="007A32D3" w:rsidP="007A32D3">
      <w:pPr>
        <w:ind w:left="0" w:firstLine="0"/>
        <w:rPr>
          <w:sz w:val="22"/>
          <w:lang w:val="en-US"/>
        </w:rPr>
      </w:pPr>
      <w:r w:rsidRPr="002C75B8">
        <w:rPr>
          <w:sz w:val="22"/>
          <w:lang w:val="en-US"/>
        </w:rPr>
        <w:t xml:space="preserve">VL: </w:t>
      </w:r>
      <w:r>
        <w:rPr>
          <w:sz w:val="22"/>
          <w:lang w:val="en-US"/>
        </w:rPr>
        <w:t>a</w:t>
      </w:r>
      <w:r w:rsidRPr="002C75B8">
        <w:rPr>
          <w:sz w:val="22"/>
          <w:lang w:val="en-US"/>
        </w:rPr>
        <w:t xml:space="preserve">ntimonials. There are no National Guidelines for treatment. </w:t>
      </w:r>
    </w:p>
    <w:p w:rsidR="007A32D3" w:rsidRPr="002C75B8" w:rsidRDefault="007A32D3" w:rsidP="007A32D3">
      <w:pPr>
        <w:ind w:left="0" w:firstLine="0"/>
        <w:rPr>
          <w:sz w:val="22"/>
          <w:lang w:val="en-US"/>
        </w:rPr>
      </w:pPr>
    </w:p>
    <w:p w:rsidR="007A32D3" w:rsidRPr="002C75B8" w:rsidRDefault="007A32D3" w:rsidP="007A32D3">
      <w:pPr>
        <w:ind w:left="0" w:firstLine="0"/>
        <w:rPr>
          <w:sz w:val="22"/>
          <w:lang w:val="en-GB"/>
        </w:rPr>
      </w:pPr>
    </w:p>
    <w:p w:rsidR="007A32D3" w:rsidRPr="002C75B8" w:rsidRDefault="007A32D3" w:rsidP="007A32D3">
      <w:pPr>
        <w:spacing w:line="360" w:lineRule="auto"/>
        <w:ind w:left="0" w:firstLine="0"/>
        <w:rPr>
          <w:sz w:val="22"/>
          <w:lang w:val="en-US"/>
        </w:rPr>
      </w:pPr>
      <w:r w:rsidRPr="002C75B8">
        <w:rPr>
          <w:b/>
          <w:bCs/>
          <w:sz w:val="22"/>
          <w:lang w:val="en-US"/>
        </w:rPr>
        <w:t xml:space="preserve">ACCESS TO CARE </w:t>
      </w:r>
    </w:p>
    <w:p w:rsidR="007A32D3" w:rsidRPr="002C75B8" w:rsidRDefault="007A32D3" w:rsidP="007A32D3">
      <w:pPr>
        <w:ind w:left="0" w:firstLine="0"/>
        <w:rPr>
          <w:sz w:val="22"/>
          <w:lang w:val="en-US"/>
        </w:rPr>
      </w:pPr>
      <w:r w:rsidRPr="002C75B8">
        <w:rPr>
          <w:sz w:val="22"/>
          <w:lang w:val="en-US"/>
        </w:rPr>
        <w:t>Diagnostics and treatment of CL is possible at local level in the endemic zones. However</w:t>
      </w:r>
      <w:r>
        <w:rPr>
          <w:sz w:val="22"/>
          <w:lang w:val="en-US"/>
        </w:rPr>
        <w:t>,</w:t>
      </w:r>
      <w:r w:rsidRPr="002C75B8">
        <w:rPr>
          <w:sz w:val="22"/>
          <w:lang w:val="en-US"/>
        </w:rPr>
        <w:t xml:space="preserve"> there are few trained lab technicians and some patients have to go to the regional centers and Ashgabat city for diagnosis and treatment.</w:t>
      </w:r>
    </w:p>
    <w:p w:rsidR="007A32D3" w:rsidRPr="002C75B8" w:rsidRDefault="007A32D3" w:rsidP="007A32D3">
      <w:pPr>
        <w:ind w:left="0" w:firstLine="0"/>
        <w:rPr>
          <w:sz w:val="22"/>
          <w:lang w:val="en-GB"/>
        </w:rPr>
      </w:pPr>
    </w:p>
    <w:p w:rsidR="007A32D3" w:rsidRPr="002C75B8" w:rsidRDefault="007A32D3" w:rsidP="007A32D3">
      <w:pPr>
        <w:ind w:left="0" w:firstLine="0"/>
        <w:rPr>
          <w:sz w:val="22"/>
          <w:lang w:val="en-GB"/>
        </w:rPr>
      </w:pPr>
    </w:p>
    <w:p w:rsidR="007A32D3" w:rsidRPr="002C75B8" w:rsidRDefault="007A32D3" w:rsidP="007A32D3">
      <w:pPr>
        <w:ind w:left="0" w:firstLine="0"/>
        <w:rPr>
          <w:sz w:val="22"/>
          <w:lang w:val="en-GB"/>
        </w:rPr>
      </w:pPr>
      <w:r w:rsidRPr="002C75B8">
        <w:rPr>
          <w:b/>
          <w:sz w:val="22"/>
          <w:lang w:val="en-GB"/>
        </w:rPr>
        <w:t>ACCESS TO DRUGS</w:t>
      </w:r>
      <w:r w:rsidRPr="002C75B8">
        <w:rPr>
          <w:sz w:val="22"/>
          <w:lang w:val="en-GB"/>
        </w:rPr>
        <w:t xml:space="preserve"> </w:t>
      </w:r>
    </w:p>
    <w:p w:rsidR="007A32D3" w:rsidRPr="002C75B8" w:rsidRDefault="007A32D3" w:rsidP="007A32D3">
      <w:pPr>
        <w:ind w:left="0" w:firstLine="0"/>
        <w:rPr>
          <w:sz w:val="22"/>
          <w:lang w:val="en-GB"/>
        </w:rPr>
      </w:pPr>
    </w:p>
    <w:p w:rsidR="007A32D3" w:rsidRPr="002C75B8" w:rsidRDefault="007A32D3" w:rsidP="007A32D3">
      <w:pPr>
        <w:ind w:left="0" w:firstLine="0"/>
        <w:rPr>
          <w:sz w:val="22"/>
          <w:lang w:val="en-US"/>
        </w:rPr>
      </w:pPr>
      <w:r w:rsidRPr="002C75B8">
        <w:rPr>
          <w:sz w:val="22"/>
          <w:lang w:val="en-US"/>
        </w:rPr>
        <w:t xml:space="preserve">No antimonials are registered in </w:t>
      </w:r>
      <w:smartTag w:uri="urn:schemas-microsoft-com:office:smarttags" w:element="place">
        <w:smartTag w:uri="urn:schemas-microsoft-com:office:smarttags" w:element="country-region">
          <w:r w:rsidRPr="002C75B8">
            <w:rPr>
              <w:sz w:val="22"/>
              <w:lang w:val="en-US"/>
            </w:rPr>
            <w:t>Turkmenistan</w:t>
          </w:r>
        </w:smartTag>
      </w:smartTag>
      <w:r w:rsidRPr="002C75B8">
        <w:rPr>
          <w:sz w:val="22"/>
          <w:lang w:val="en-US"/>
        </w:rPr>
        <w:t xml:space="preserve">. Antimonials must be obtained unofficially by patients themselves. </w:t>
      </w:r>
      <w:r w:rsidRPr="002C75B8">
        <w:rPr>
          <w:sz w:val="22"/>
          <w:lang w:val="en-GB"/>
        </w:rPr>
        <w:t xml:space="preserve"> </w:t>
      </w:r>
      <w:r w:rsidRPr="002C75B8">
        <w:rPr>
          <w:sz w:val="22"/>
          <w:lang w:val="en-US"/>
        </w:rPr>
        <w:t xml:space="preserve"> </w:t>
      </w:r>
    </w:p>
    <w:p w:rsidR="007A32D3" w:rsidRPr="002C75B8" w:rsidRDefault="007A32D3" w:rsidP="007A32D3">
      <w:pPr>
        <w:ind w:left="0" w:firstLine="0"/>
        <w:rPr>
          <w:sz w:val="22"/>
          <w:lang w:val="en-US"/>
        </w:rPr>
      </w:pPr>
    </w:p>
    <w:p w:rsidR="007A32D3" w:rsidRPr="002C75B8" w:rsidRDefault="007A32D3" w:rsidP="007A32D3">
      <w:pPr>
        <w:ind w:left="0" w:firstLine="0"/>
        <w:rPr>
          <w:sz w:val="22"/>
          <w:lang w:val="en-GB"/>
        </w:rPr>
      </w:pPr>
      <w:r w:rsidRPr="002C75B8">
        <w:rPr>
          <w:sz w:val="22"/>
          <w:lang w:val="en-GB"/>
        </w:rPr>
        <w:t xml:space="preserve"> </w:t>
      </w:r>
    </w:p>
    <w:p w:rsidR="007A32D3" w:rsidRPr="002C75B8" w:rsidRDefault="007A32D3" w:rsidP="007A32D3">
      <w:pPr>
        <w:spacing w:line="360" w:lineRule="auto"/>
        <w:ind w:left="0" w:firstLine="0"/>
        <w:rPr>
          <w:b/>
          <w:sz w:val="22"/>
          <w:lang w:val="en-US"/>
        </w:rPr>
      </w:pPr>
      <w:r w:rsidRPr="002C75B8">
        <w:rPr>
          <w:b/>
          <w:sz w:val="22"/>
          <w:lang w:val="en-US"/>
        </w:rPr>
        <w:t>SOURCES OF INFORMATION</w:t>
      </w:r>
    </w:p>
    <w:p w:rsidR="007A32D3" w:rsidRDefault="007A32D3" w:rsidP="007A32D3">
      <w:pPr>
        <w:numPr>
          <w:ilvl w:val="0"/>
          <w:numId w:val="5"/>
        </w:numPr>
        <w:contextualSpacing/>
        <w:textAlignment w:val="baseline"/>
        <w:rPr>
          <w:rFonts w:eastAsia="+mn-ea"/>
          <w:color w:val="000000"/>
          <w:kern w:val="24"/>
          <w:sz w:val="22"/>
          <w:lang w:val="en-US" w:eastAsia="es-ES"/>
        </w:rPr>
      </w:pPr>
      <w:r>
        <w:rPr>
          <w:bCs/>
          <w:color w:val="000000"/>
          <w:sz w:val="22"/>
          <w:lang w:val="en-US"/>
        </w:rPr>
        <w:t xml:space="preserve">Drs </w:t>
      </w:r>
      <w:proofErr w:type="spellStart"/>
      <w:r w:rsidRPr="002C75B8">
        <w:rPr>
          <w:bCs/>
          <w:color w:val="000000"/>
          <w:sz w:val="22"/>
          <w:lang w:val="en-US"/>
        </w:rPr>
        <w:t>Shavkat</w:t>
      </w:r>
      <w:proofErr w:type="spellEnd"/>
      <w:r w:rsidRPr="002C75B8">
        <w:rPr>
          <w:bCs/>
          <w:color w:val="000000"/>
          <w:sz w:val="22"/>
          <w:lang w:val="en-US"/>
        </w:rPr>
        <w:t xml:space="preserve"> </w:t>
      </w:r>
      <w:proofErr w:type="spellStart"/>
      <w:r w:rsidRPr="002C75B8">
        <w:rPr>
          <w:bCs/>
          <w:color w:val="000000"/>
          <w:sz w:val="22"/>
          <w:lang w:val="en-US"/>
        </w:rPr>
        <w:t>Razakov</w:t>
      </w:r>
      <w:proofErr w:type="spellEnd"/>
      <w:r w:rsidRPr="002C75B8">
        <w:rPr>
          <w:bCs/>
          <w:color w:val="000000"/>
          <w:sz w:val="22"/>
          <w:lang w:val="en-US"/>
        </w:rPr>
        <w:t xml:space="preserve"> and </w:t>
      </w:r>
      <w:proofErr w:type="spellStart"/>
      <w:r w:rsidRPr="002C75B8">
        <w:rPr>
          <w:bCs/>
          <w:color w:val="000000"/>
          <w:sz w:val="22"/>
          <w:lang w:val="en-US"/>
        </w:rPr>
        <w:t>Dmitriy</w:t>
      </w:r>
      <w:proofErr w:type="spellEnd"/>
      <w:r w:rsidRPr="002C75B8">
        <w:rPr>
          <w:bCs/>
          <w:color w:val="000000"/>
          <w:sz w:val="22"/>
          <w:lang w:val="en-US"/>
        </w:rPr>
        <w:t xml:space="preserve"> </w:t>
      </w:r>
      <w:proofErr w:type="spellStart"/>
      <w:r w:rsidRPr="002C75B8">
        <w:rPr>
          <w:bCs/>
          <w:color w:val="000000"/>
          <w:sz w:val="22"/>
          <w:lang w:val="en-US"/>
        </w:rPr>
        <w:t>Kovalenko</w:t>
      </w:r>
      <w:proofErr w:type="spellEnd"/>
      <w:r w:rsidRPr="002C75B8">
        <w:rPr>
          <w:bCs/>
          <w:color w:val="000000"/>
          <w:sz w:val="22"/>
          <w:lang w:val="en-US"/>
        </w:rPr>
        <w:t>.</w:t>
      </w:r>
      <w:r w:rsidRPr="002C75B8">
        <w:rPr>
          <w:b/>
          <w:bCs/>
          <w:color w:val="000000"/>
          <w:sz w:val="22"/>
          <w:lang w:val="en-US"/>
        </w:rPr>
        <w:t xml:space="preserve"> </w:t>
      </w:r>
      <w:r w:rsidRPr="002C75B8">
        <w:rPr>
          <w:color w:val="000000"/>
          <w:sz w:val="22"/>
          <w:lang w:val="en-GB"/>
        </w:rPr>
        <w:t xml:space="preserve">Leishmaniasis in </w:t>
      </w:r>
      <w:smartTag w:uri="urn:schemas-microsoft-com:office:smarttags" w:element="place">
        <w:smartTag w:uri="urn:schemas-microsoft-com:office:smarttags" w:element="country-region">
          <w:r w:rsidRPr="002C75B8">
            <w:rPr>
              <w:color w:val="000000"/>
              <w:sz w:val="22"/>
              <w:lang w:val="en-GB"/>
            </w:rPr>
            <w:t>T</w:t>
          </w:r>
          <w:proofErr w:type="spellStart"/>
          <w:r w:rsidRPr="002C75B8">
            <w:rPr>
              <w:color w:val="000000"/>
              <w:sz w:val="22"/>
              <w:lang w:val="en-US"/>
            </w:rPr>
            <w:t>urkmenistan</w:t>
          </w:r>
        </w:smartTag>
      </w:smartTag>
      <w:proofErr w:type="spellEnd"/>
      <w:r w:rsidRPr="002C75B8">
        <w:rPr>
          <w:color w:val="000000"/>
          <w:sz w:val="22"/>
          <w:lang w:val="en-US"/>
        </w:rPr>
        <w:t xml:space="preserve">. </w:t>
      </w:r>
      <w:r w:rsidRPr="002D7A89">
        <w:rPr>
          <w:i/>
          <w:iCs/>
          <w:color w:val="000000"/>
          <w:sz w:val="22"/>
          <w:lang w:val="en-GB"/>
        </w:rPr>
        <w:t xml:space="preserve">Rapid assessment for leishmaniasis control. </w:t>
      </w:r>
      <w:r w:rsidRPr="002D7A89">
        <w:rPr>
          <w:bCs/>
          <w:i/>
          <w:iCs/>
          <w:color w:val="000000"/>
          <w:sz w:val="22"/>
          <w:lang w:val="en-US"/>
        </w:rPr>
        <w:t>WHO</w:t>
      </w:r>
      <w:r w:rsidRPr="002D7A89">
        <w:rPr>
          <w:i/>
          <w:iCs/>
          <w:color w:val="000000"/>
          <w:sz w:val="22"/>
          <w:lang w:val="en-GB"/>
        </w:rPr>
        <w:t xml:space="preserve"> internal report. </w:t>
      </w:r>
      <w:r w:rsidRPr="002D7A89">
        <w:rPr>
          <w:bCs/>
          <w:i/>
          <w:iCs/>
          <w:color w:val="000000"/>
          <w:sz w:val="22"/>
          <w:lang w:val="en-GB"/>
        </w:rPr>
        <w:t>May 2009</w:t>
      </w:r>
      <w:r w:rsidRPr="002C75B8">
        <w:rPr>
          <w:bCs/>
          <w:color w:val="000000"/>
          <w:sz w:val="22"/>
          <w:lang w:val="en-GB"/>
        </w:rPr>
        <w:t>.</w:t>
      </w:r>
      <w:r w:rsidRPr="00360B68">
        <w:rPr>
          <w:rFonts w:eastAsia="+mn-ea"/>
          <w:color w:val="000000"/>
          <w:kern w:val="24"/>
          <w:sz w:val="22"/>
          <w:lang w:val="en-US" w:eastAsia="es-ES"/>
        </w:rPr>
        <w:t xml:space="preserve"> </w:t>
      </w:r>
    </w:p>
    <w:p w:rsidR="007A32D3" w:rsidRDefault="007A32D3" w:rsidP="007A32D3">
      <w:pPr>
        <w:ind w:left="0" w:firstLine="0"/>
        <w:rPr>
          <w:bCs/>
          <w:color w:val="000000"/>
          <w:sz w:val="22"/>
          <w:lang w:val="en-GB"/>
        </w:rPr>
      </w:pPr>
    </w:p>
    <w:p w:rsidR="007A32D3" w:rsidRDefault="007A32D3" w:rsidP="007A32D3">
      <w:pPr>
        <w:ind w:left="0" w:firstLine="0"/>
        <w:rPr>
          <w:color w:val="000000"/>
          <w:sz w:val="22"/>
          <w:lang w:val="en-GB"/>
        </w:rPr>
      </w:pPr>
    </w:p>
    <w:p w:rsidR="007A32D3" w:rsidRPr="002C75B8" w:rsidRDefault="007A32D3" w:rsidP="007A32D3">
      <w:pPr>
        <w:ind w:left="0" w:firstLine="0"/>
        <w:rPr>
          <w:color w:val="000000"/>
          <w:sz w:val="22"/>
          <w:lang w:val="en-GB"/>
        </w:rPr>
      </w:pPr>
    </w:p>
    <w:p w:rsidR="007A32D3" w:rsidRPr="002C75B8" w:rsidRDefault="007A32D3" w:rsidP="007A32D3">
      <w:pPr>
        <w:ind w:left="0" w:firstLine="0"/>
        <w:rPr>
          <w:b/>
          <w:color w:val="000000"/>
          <w:sz w:val="22"/>
          <w:lang w:val="en-US"/>
        </w:rPr>
      </w:pPr>
      <w:r w:rsidRPr="006B40EA">
        <w:rPr>
          <w:color w:val="000000"/>
          <w:sz w:val="22"/>
          <w:lang w:val="en-GB"/>
        </w:rPr>
        <w:t xml:space="preserve">1. </w:t>
      </w:r>
      <w:proofErr w:type="spellStart"/>
      <w:r w:rsidRPr="006B40EA">
        <w:rPr>
          <w:color w:val="000000"/>
          <w:sz w:val="22"/>
          <w:lang w:val="en-GB"/>
        </w:rPr>
        <w:t>Mizgi</w:t>
      </w:r>
      <w:r w:rsidRPr="00360B68">
        <w:rPr>
          <w:color w:val="000000"/>
          <w:sz w:val="22"/>
          <w:lang w:val="es-ES"/>
        </w:rPr>
        <w:t>reva</w:t>
      </w:r>
      <w:proofErr w:type="spellEnd"/>
      <w:r w:rsidRPr="00360B68">
        <w:rPr>
          <w:color w:val="000000"/>
          <w:sz w:val="22"/>
          <w:lang w:val="es-ES"/>
        </w:rPr>
        <w:t xml:space="preserve"> MF, </w:t>
      </w:r>
      <w:proofErr w:type="spellStart"/>
      <w:r w:rsidRPr="00360B68">
        <w:rPr>
          <w:color w:val="000000"/>
          <w:sz w:val="22"/>
          <w:lang w:val="es-ES"/>
        </w:rPr>
        <w:t>Ponirovsky</w:t>
      </w:r>
      <w:proofErr w:type="spellEnd"/>
      <w:r w:rsidRPr="00360B68">
        <w:rPr>
          <w:color w:val="000000"/>
          <w:sz w:val="22"/>
          <w:lang w:val="es-ES"/>
        </w:rPr>
        <w:t xml:space="preserve"> EN, </w:t>
      </w:r>
      <w:proofErr w:type="spellStart"/>
      <w:r w:rsidRPr="00360B68">
        <w:rPr>
          <w:color w:val="000000"/>
          <w:sz w:val="22"/>
          <w:lang w:val="es-ES"/>
        </w:rPr>
        <w:t>Sabitov</w:t>
      </w:r>
      <w:proofErr w:type="spellEnd"/>
      <w:r w:rsidRPr="00360B68">
        <w:rPr>
          <w:color w:val="000000"/>
          <w:sz w:val="22"/>
          <w:lang w:val="es-ES"/>
        </w:rPr>
        <w:t xml:space="preserve"> EA</w:t>
      </w:r>
      <w:r>
        <w:rPr>
          <w:color w:val="000000"/>
          <w:sz w:val="22"/>
          <w:lang w:val="es-ES"/>
        </w:rPr>
        <w:t xml:space="preserve"> (1984)</w:t>
      </w:r>
      <w:r w:rsidRPr="00360B68">
        <w:rPr>
          <w:color w:val="000000"/>
          <w:sz w:val="22"/>
          <w:lang w:val="es-ES"/>
        </w:rPr>
        <w:t xml:space="preserve">. </w:t>
      </w:r>
      <w:proofErr w:type="gramStart"/>
      <w:r w:rsidRPr="002C75B8">
        <w:rPr>
          <w:color w:val="000000"/>
          <w:sz w:val="22"/>
          <w:lang w:val="en-US"/>
        </w:rPr>
        <w:t xml:space="preserve">The Application of </w:t>
      </w:r>
      <w:proofErr w:type="spellStart"/>
      <w:r w:rsidRPr="002C75B8">
        <w:rPr>
          <w:color w:val="000000"/>
          <w:sz w:val="22"/>
          <w:lang w:val="en-US"/>
        </w:rPr>
        <w:t>Immunofluorescent</w:t>
      </w:r>
      <w:proofErr w:type="spellEnd"/>
      <w:r w:rsidRPr="002C75B8">
        <w:rPr>
          <w:color w:val="000000"/>
          <w:sz w:val="22"/>
          <w:lang w:val="en-US"/>
        </w:rPr>
        <w:t xml:space="preserve"> Reaction in Visceral Leishmaniasis Diagnostics in </w:t>
      </w:r>
      <w:proofErr w:type="spellStart"/>
      <w:smartTag w:uri="urn:schemas-microsoft-com:office:smarttags" w:element="place">
        <w:smartTag w:uri="urn:schemas-microsoft-com:office:smarttags" w:element="PlaceName">
          <w:r w:rsidRPr="002C75B8">
            <w:rPr>
              <w:color w:val="000000"/>
              <w:sz w:val="22"/>
              <w:lang w:val="en-US"/>
            </w:rPr>
            <w:t>Turkmenian</w:t>
          </w:r>
        </w:smartTag>
        <w:proofErr w:type="spellEnd"/>
        <w:r w:rsidRPr="002C75B8">
          <w:rPr>
            <w:color w:val="000000"/>
            <w:sz w:val="22"/>
            <w:lang w:val="en-US"/>
          </w:rPr>
          <w:t xml:space="preserve"> </w:t>
        </w:r>
        <w:smartTag w:uri="urn:schemas-microsoft-com:office:smarttags" w:element="PlaceName">
          <w:r w:rsidRPr="002C75B8">
            <w:rPr>
              <w:color w:val="000000"/>
              <w:sz w:val="22"/>
              <w:lang w:val="en-US"/>
            </w:rPr>
            <w:t>Soviet</w:t>
          </w:r>
        </w:smartTag>
        <w:r w:rsidRPr="002C75B8">
          <w:rPr>
            <w:color w:val="000000"/>
            <w:sz w:val="22"/>
            <w:lang w:val="en-US"/>
          </w:rPr>
          <w:t xml:space="preserve"> </w:t>
        </w:r>
        <w:smartTag w:uri="urn:schemas-microsoft-com:office:smarttags" w:element="PlaceName">
          <w:r w:rsidRPr="002C75B8">
            <w:rPr>
              <w:color w:val="000000"/>
              <w:sz w:val="22"/>
              <w:lang w:val="en-US"/>
            </w:rPr>
            <w:t>Socialist</w:t>
          </w:r>
        </w:smartTag>
        <w:r w:rsidRPr="002C75B8">
          <w:rPr>
            <w:color w:val="000000"/>
            <w:sz w:val="22"/>
            <w:lang w:val="en-US"/>
          </w:rPr>
          <w:t xml:space="preserve"> </w:t>
        </w:r>
        <w:smartTag w:uri="urn:schemas-microsoft-com:office:smarttags" w:element="PlaceType">
          <w:r w:rsidRPr="002C75B8">
            <w:rPr>
              <w:color w:val="000000"/>
              <w:sz w:val="22"/>
              <w:lang w:val="en-US"/>
            </w:rPr>
            <w:t>Republic</w:t>
          </w:r>
        </w:smartTag>
      </w:smartTag>
      <w:r>
        <w:rPr>
          <w:color w:val="000000"/>
          <w:sz w:val="22"/>
          <w:lang w:val="en-US"/>
        </w:rPr>
        <w:t>.</w:t>
      </w:r>
      <w:proofErr w:type="gramEnd"/>
      <w:r>
        <w:rPr>
          <w:color w:val="000000"/>
          <w:sz w:val="22"/>
          <w:lang w:val="en-US"/>
        </w:rPr>
        <w:t xml:space="preserve"> Medical </w:t>
      </w:r>
      <w:proofErr w:type="spellStart"/>
      <w:r>
        <w:rPr>
          <w:color w:val="000000"/>
          <w:sz w:val="22"/>
          <w:lang w:val="en-US"/>
        </w:rPr>
        <w:t>Parasitology</w:t>
      </w:r>
      <w:proofErr w:type="spellEnd"/>
      <w:r>
        <w:rPr>
          <w:color w:val="000000"/>
          <w:sz w:val="22"/>
          <w:lang w:val="en-US"/>
        </w:rPr>
        <w:t xml:space="preserve"> and P</w:t>
      </w:r>
      <w:r w:rsidRPr="002C75B8">
        <w:rPr>
          <w:color w:val="000000"/>
          <w:sz w:val="22"/>
          <w:lang w:val="en-US"/>
        </w:rPr>
        <w:t xml:space="preserve">arasitic </w:t>
      </w:r>
      <w:r>
        <w:rPr>
          <w:color w:val="000000"/>
          <w:sz w:val="22"/>
          <w:lang w:val="en-US"/>
        </w:rPr>
        <w:t>D</w:t>
      </w:r>
      <w:r w:rsidRPr="002C75B8">
        <w:rPr>
          <w:color w:val="000000"/>
          <w:sz w:val="22"/>
          <w:lang w:val="en-US"/>
        </w:rPr>
        <w:t>iseases</w:t>
      </w:r>
      <w:r>
        <w:rPr>
          <w:color w:val="000000"/>
          <w:sz w:val="22"/>
          <w:lang w:val="en-US"/>
        </w:rPr>
        <w:t xml:space="preserve"> </w:t>
      </w:r>
      <w:r w:rsidRPr="002C75B8">
        <w:rPr>
          <w:color w:val="000000"/>
          <w:sz w:val="22"/>
          <w:lang w:val="en-US"/>
        </w:rPr>
        <w:t>3</w:t>
      </w:r>
      <w:r>
        <w:rPr>
          <w:color w:val="000000"/>
          <w:sz w:val="22"/>
          <w:lang w:val="en-US"/>
        </w:rPr>
        <w:t>:</w:t>
      </w:r>
      <w:r w:rsidRPr="002C75B8">
        <w:rPr>
          <w:color w:val="000000"/>
          <w:sz w:val="22"/>
          <w:lang w:val="en-US"/>
        </w:rPr>
        <w:t>78-81.</w:t>
      </w:r>
    </w:p>
    <w:p w:rsidR="007A32D3" w:rsidRPr="002C75B8" w:rsidRDefault="007A32D3" w:rsidP="007A32D3">
      <w:pPr>
        <w:spacing w:line="360" w:lineRule="auto"/>
        <w:ind w:left="0" w:firstLine="0"/>
        <w:rPr>
          <w:b/>
          <w:color w:val="000000"/>
          <w:sz w:val="22"/>
          <w:lang w:val="en-US"/>
        </w:rPr>
      </w:pPr>
    </w:p>
    <w:p w:rsidR="007A32D3" w:rsidRPr="002C75B8" w:rsidRDefault="007A32D3" w:rsidP="007A32D3">
      <w:pPr>
        <w:ind w:left="0" w:firstLine="0"/>
        <w:rPr>
          <w:sz w:val="22"/>
          <w:lang w:val="en-GB"/>
        </w:rPr>
      </w:pPr>
    </w:p>
    <w:p w:rsidR="007A32D3" w:rsidRPr="002C75B8" w:rsidRDefault="007A32D3" w:rsidP="007A32D3">
      <w:pPr>
        <w:ind w:left="0" w:firstLine="0"/>
        <w:contextualSpacing/>
        <w:textAlignment w:val="baseline"/>
        <w:rPr>
          <w:rFonts w:eastAsia="Times New Roman"/>
          <w:sz w:val="22"/>
          <w:lang w:val="en-GB" w:eastAsia="es-ES"/>
        </w:rPr>
      </w:pPr>
    </w:p>
    <w:p w:rsidR="007A32D3" w:rsidRPr="002C75B8" w:rsidRDefault="007A32D3" w:rsidP="007A32D3">
      <w:pPr>
        <w:spacing w:line="360" w:lineRule="auto"/>
        <w:ind w:left="0" w:firstLine="0"/>
        <w:rPr>
          <w:b/>
          <w:sz w:val="22"/>
          <w:u w:val="single"/>
          <w:lang w:val="en-US"/>
        </w:rPr>
      </w:pPr>
    </w:p>
    <w:p w:rsidR="002F7C1A" w:rsidRDefault="002F7C1A"/>
    <w:sectPr w:rsidR="002F7C1A" w:rsidSect="002F7C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74C4C"/>
    <w:multiLevelType w:val="hybridMultilevel"/>
    <w:tmpl w:val="17D829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4731912"/>
    <w:multiLevelType w:val="multilevel"/>
    <w:tmpl w:val="9F3EB04A"/>
    <w:lvl w:ilvl="0">
      <w:start w:val="1"/>
      <w:numFmt w:val="decimal"/>
      <w:pStyle w:val="Heading1"/>
      <w:isLgl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olor w:val="000000"/>
        <w:sz w:val="32"/>
        <w:szCs w:val="32"/>
        <w:u w:color="000000"/>
      </w:rPr>
    </w:lvl>
    <w:lvl w:ilvl="1">
      <w:start w:val="1"/>
      <w:numFmt w:val="decimal"/>
      <w:pStyle w:val="Heading2"/>
      <w:isLgl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olor w:val="000000"/>
        <w:sz w:val="28"/>
        <w:szCs w:val="28"/>
      </w:rPr>
    </w:lvl>
    <w:lvl w:ilvl="2">
      <w:start w:val="1"/>
      <w:numFmt w:val="decimal"/>
      <w:pStyle w:val="Heading3"/>
      <w:isLgl/>
      <w:lvlText w:val="%1.%2.%3."/>
      <w:lvlJc w:val="left"/>
      <w:pPr>
        <w:tabs>
          <w:tab w:val="num" w:pos="0"/>
        </w:tabs>
        <w:ind w:left="1134" w:hanging="1134"/>
      </w:pPr>
      <w:rPr>
        <w:rFonts w:ascii="Arial" w:hAnsi="Arial" w:hint="default"/>
        <w:b w:val="0"/>
        <w:i/>
        <w:color w:val="000000"/>
        <w:sz w:val="27"/>
        <w:szCs w:val="27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000000"/>
        <w:sz w:val="26"/>
        <w:szCs w:val="26"/>
      </w:rPr>
    </w:lvl>
    <w:lvl w:ilvl="4">
      <w:start w:val="1"/>
      <w:numFmt w:val="decimal"/>
      <w:lvlText w:val="%1.%2.%3.%4.%5."/>
      <w:lvlJc w:val="left"/>
      <w:pPr>
        <w:tabs>
          <w:tab w:val="num" w:pos="1402"/>
        </w:tabs>
        <w:ind w:left="1402" w:hanging="1402"/>
      </w:pPr>
      <w:rPr>
        <w:rFonts w:ascii="Arial" w:hAnsi="Arial" w:hint="default"/>
        <w:b/>
        <w:i w:val="0"/>
        <w:color w:val="00000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olor w:val="00000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A32D3"/>
    <w:rsid w:val="000028F1"/>
    <w:rsid w:val="00010242"/>
    <w:rsid w:val="00046B72"/>
    <w:rsid w:val="00052A25"/>
    <w:rsid w:val="0005677D"/>
    <w:rsid w:val="000578BC"/>
    <w:rsid w:val="000848FF"/>
    <w:rsid w:val="000B48D7"/>
    <w:rsid w:val="000E5115"/>
    <w:rsid w:val="000F0175"/>
    <w:rsid w:val="000F1E62"/>
    <w:rsid w:val="001168B6"/>
    <w:rsid w:val="00134E9F"/>
    <w:rsid w:val="00141FD2"/>
    <w:rsid w:val="0016660D"/>
    <w:rsid w:val="00194CED"/>
    <w:rsid w:val="001B2C47"/>
    <w:rsid w:val="001E4D96"/>
    <w:rsid w:val="002000DA"/>
    <w:rsid w:val="00215613"/>
    <w:rsid w:val="00220DFD"/>
    <w:rsid w:val="0024005B"/>
    <w:rsid w:val="00245DB8"/>
    <w:rsid w:val="00252F0C"/>
    <w:rsid w:val="00270F6A"/>
    <w:rsid w:val="00272C75"/>
    <w:rsid w:val="00272E09"/>
    <w:rsid w:val="0027629F"/>
    <w:rsid w:val="00280D78"/>
    <w:rsid w:val="002C258B"/>
    <w:rsid w:val="002F4248"/>
    <w:rsid w:val="002F6463"/>
    <w:rsid w:val="002F7C1A"/>
    <w:rsid w:val="00315ECC"/>
    <w:rsid w:val="003229A6"/>
    <w:rsid w:val="003310F3"/>
    <w:rsid w:val="00333A3A"/>
    <w:rsid w:val="0034701D"/>
    <w:rsid w:val="0036003C"/>
    <w:rsid w:val="00363320"/>
    <w:rsid w:val="00374366"/>
    <w:rsid w:val="003A44B4"/>
    <w:rsid w:val="003B3568"/>
    <w:rsid w:val="003B73ED"/>
    <w:rsid w:val="003D1FFD"/>
    <w:rsid w:val="003E1DA2"/>
    <w:rsid w:val="003F1346"/>
    <w:rsid w:val="00412019"/>
    <w:rsid w:val="00412575"/>
    <w:rsid w:val="00420168"/>
    <w:rsid w:val="004264FD"/>
    <w:rsid w:val="00491E29"/>
    <w:rsid w:val="004A37D9"/>
    <w:rsid w:val="004A5A5B"/>
    <w:rsid w:val="004C53F0"/>
    <w:rsid w:val="004D15B3"/>
    <w:rsid w:val="005100AA"/>
    <w:rsid w:val="00570157"/>
    <w:rsid w:val="0057148C"/>
    <w:rsid w:val="005724D3"/>
    <w:rsid w:val="00581469"/>
    <w:rsid w:val="00593992"/>
    <w:rsid w:val="005C6498"/>
    <w:rsid w:val="005F2E6A"/>
    <w:rsid w:val="005F4AD0"/>
    <w:rsid w:val="0062498A"/>
    <w:rsid w:val="00626A99"/>
    <w:rsid w:val="006272A7"/>
    <w:rsid w:val="00641A14"/>
    <w:rsid w:val="00653580"/>
    <w:rsid w:val="00661504"/>
    <w:rsid w:val="00690048"/>
    <w:rsid w:val="006C198E"/>
    <w:rsid w:val="006E008C"/>
    <w:rsid w:val="006E2CDF"/>
    <w:rsid w:val="006E718B"/>
    <w:rsid w:val="0071174C"/>
    <w:rsid w:val="00740C76"/>
    <w:rsid w:val="0075377D"/>
    <w:rsid w:val="007A32D3"/>
    <w:rsid w:val="007A78DF"/>
    <w:rsid w:val="007C7FD3"/>
    <w:rsid w:val="007D3253"/>
    <w:rsid w:val="007E18CB"/>
    <w:rsid w:val="007E4A87"/>
    <w:rsid w:val="008006B5"/>
    <w:rsid w:val="008016D2"/>
    <w:rsid w:val="00832051"/>
    <w:rsid w:val="00837717"/>
    <w:rsid w:val="008403F6"/>
    <w:rsid w:val="00847BE4"/>
    <w:rsid w:val="00851DE1"/>
    <w:rsid w:val="0086504E"/>
    <w:rsid w:val="00895527"/>
    <w:rsid w:val="00896966"/>
    <w:rsid w:val="008B250E"/>
    <w:rsid w:val="008D3496"/>
    <w:rsid w:val="008F2D26"/>
    <w:rsid w:val="009511C6"/>
    <w:rsid w:val="009B22FB"/>
    <w:rsid w:val="009C14CB"/>
    <w:rsid w:val="009C200B"/>
    <w:rsid w:val="009C319F"/>
    <w:rsid w:val="009C624C"/>
    <w:rsid w:val="009D1B5E"/>
    <w:rsid w:val="009F64EB"/>
    <w:rsid w:val="009F775A"/>
    <w:rsid w:val="00A45DA3"/>
    <w:rsid w:val="00A5035E"/>
    <w:rsid w:val="00A5411A"/>
    <w:rsid w:val="00A541A7"/>
    <w:rsid w:val="00A629D5"/>
    <w:rsid w:val="00A85111"/>
    <w:rsid w:val="00AD2F5D"/>
    <w:rsid w:val="00B15964"/>
    <w:rsid w:val="00B16204"/>
    <w:rsid w:val="00B433DC"/>
    <w:rsid w:val="00B476C3"/>
    <w:rsid w:val="00B96E52"/>
    <w:rsid w:val="00BA6E8F"/>
    <w:rsid w:val="00BB2383"/>
    <w:rsid w:val="00BE00C5"/>
    <w:rsid w:val="00C12906"/>
    <w:rsid w:val="00C1518C"/>
    <w:rsid w:val="00C236BD"/>
    <w:rsid w:val="00C244F5"/>
    <w:rsid w:val="00C264F2"/>
    <w:rsid w:val="00C47B72"/>
    <w:rsid w:val="00C7126E"/>
    <w:rsid w:val="00C75CF6"/>
    <w:rsid w:val="00C87D01"/>
    <w:rsid w:val="00C91A71"/>
    <w:rsid w:val="00C91B08"/>
    <w:rsid w:val="00CA637B"/>
    <w:rsid w:val="00CA71FE"/>
    <w:rsid w:val="00CF5DD0"/>
    <w:rsid w:val="00D05103"/>
    <w:rsid w:val="00D17D57"/>
    <w:rsid w:val="00D36E3A"/>
    <w:rsid w:val="00D5084A"/>
    <w:rsid w:val="00D513BD"/>
    <w:rsid w:val="00D541EC"/>
    <w:rsid w:val="00D6288C"/>
    <w:rsid w:val="00D83F8A"/>
    <w:rsid w:val="00D92869"/>
    <w:rsid w:val="00D95254"/>
    <w:rsid w:val="00DA0AB5"/>
    <w:rsid w:val="00DA14E3"/>
    <w:rsid w:val="00DB6D7C"/>
    <w:rsid w:val="00DD1ADE"/>
    <w:rsid w:val="00DF5A78"/>
    <w:rsid w:val="00DF6C46"/>
    <w:rsid w:val="00E147C3"/>
    <w:rsid w:val="00E17729"/>
    <w:rsid w:val="00E21063"/>
    <w:rsid w:val="00E370A8"/>
    <w:rsid w:val="00E474BF"/>
    <w:rsid w:val="00E47A87"/>
    <w:rsid w:val="00E65F1E"/>
    <w:rsid w:val="00E7082F"/>
    <w:rsid w:val="00E828CE"/>
    <w:rsid w:val="00E87373"/>
    <w:rsid w:val="00EB1F13"/>
    <w:rsid w:val="00EF27B3"/>
    <w:rsid w:val="00F03A91"/>
    <w:rsid w:val="00F14B40"/>
    <w:rsid w:val="00F16575"/>
    <w:rsid w:val="00F25542"/>
    <w:rsid w:val="00F87752"/>
    <w:rsid w:val="00F94E78"/>
    <w:rsid w:val="00FB0CFB"/>
    <w:rsid w:val="00FB6AA1"/>
    <w:rsid w:val="00FC58EE"/>
    <w:rsid w:val="00FD22F3"/>
    <w:rsid w:val="00FD59CB"/>
    <w:rsid w:val="00FE1BC6"/>
    <w:rsid w:val="00FE26F4"/>
    <w:rsid w:val="00FE575B"/>
    <w:rsid w:val="00FE79B4"/>
    <w:rsid w:val="00FF1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2D3"/>
    <w:pPr>
      <w:spacing w:after="0" w:line="240" w:lineRule="auto"/>
      <w:ind w:left="720" w:hanging="720"/>
      <w:jc w:val="both"/>
    </w:pPr>
    <w:rPr>
      <w:rFonts w:ascii="Arial" w:eastAsia="Calibri" w:hAnsi="Arial" w:cs="Arial"/>
      <w:sz w:val="24"/>
      <w:lang w:val="es-CO"/>
    </w:rPr>
  </w:style>
  <w:style w:type="paragraph" w:styleId="Heading1">
    <w:name w:val="heading 1"/>
    <w:next w:val="Normal"/>
    <w:link w:val="Heading1Char"/>
    <w:qFormat/>
    <w:rsid w:val="00F14B40"/>
    <w:pPr>
      <w:keepNext/>
      <w:numPr>
        <w:numId w:val="4"/>
      </w:numPr>
      <w:spacing w:before="480" w:after="24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de-AT" w:eastAsia="de-AT"/>
    </w:rPr>
  </w:style>
  <w:style w:type="paragraph" w:styleId="Heading2">
    <w:name w:val="heading 2"/>
    <w:next w:val="Normal"/>
    <w:link w:val="Heading2Char"/>
    <w:qFormat/>
    <w:rsid w:val="00F14B40"/>
    <w:pPr>
      <w:keepNext/>
      <w:numPr>
        <w:ilvl w:val="1"/>
        <w:numId w:val="4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Cs/>
      <w:sz w:val="28"/>
      <w:szCs w:val="28"/>
      <w:lang w:val="de-AT" w:eastAsia="de-AT"/>
    </w:rPr>
  </w:style>
  <w:style w:type="paragraph" w:styleId="Heading3">
    <w:name w:val="heading 3"/>
    <w:next w:val="Normal"/>
    <w:link w:val="Heading3Char"/>
    <w:qFormat/>
    <w:rsid w:val="00F14B40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Arial" w:eastAsia="Times New Roman" w:hAnsi="Arial" w:cs="Arial"/>
      <w:bCs/>
      <w:i/>
      <w:sz w:val="27"/>
      <w:szCs w:val="26"/>
      <w:lang w:val="de-AT" w:eastAsia="de-AT"/>
    </w:rPr>
  </w:style>
  <w:style w:type="paragraph" w:styleId="Heading4">
    <w:name w:val="heading 4"/>
    <w:next w:val="Normal"/>
    <w:link w:val="Heading4Char"/>
    <w:qFormat/>
    <w:rsid w:val="00F14B40"/>
    <w:pPr>
      <w:keepNext/>
      <w:numPr>
        <w:ilvl w:val="3"/>
        <w:numId w:val="4"/>
      </w:numPr>
      <w:spacing w:before="240" w:after="120" w:line="240" w:lineRule="auto"/>
      <w:outlineLvl w:val="3"/>
    </w:pPr>
    <w:rPr>
      <w:rFonts w:ascii="Arial" w:eastAsia="Times New Roman" w:hAnsi="Arial" w:cs="Times New Roman"/>
      <w:bCs/>
      <w:sz w:val="26"/>
      <w:szCs w:val="28"/>
      <w:lang w:val="de-AT" w:eastAsia="de-AT"/>
    </w:rPr>
  </w:style>
  <w:style w:type="paragraph" w:styleId="Heading5">
    <w:name w:val="heading 5"/>
    <w:basedOn w:val="Normal"/>
    <w:next w:val="Normal"/>
    <w:link w:val="Heading5Char"/>
    <w:qFormat/>
    <w:rsid w:val="00F14B40"/>
    <w:pPr>
      <w:spacing w:before="200"/>
      <w:ind w:left="1008" w:hanging="1008"/>
      <w:outlineLvl w:val="4"/>
    </w:pPr>
    <w:rPr>
      <w:rFonts w:ascii="Cambria" w:eastAsia="Times New Roman" w:hAnsi="Cambria" w:cs="Times New Roman"/>
      <w:b/>
      <w:bCs/>
      <w:color w:val="7F7F7F"/>
      <w:lang w:bidi="en-US"/>
    </w:rPr>
  </w:style>
  <w:style w:type="paragraph" w:styleId="Heading6">
    <w:name w:val="heading 6"/>
    <w:basedOn w:val="Normal"/>
    <w:next w:val="Normal"/>
    <w:link w:val="Heading6Char"/>
    <w:qFormat/>
    <w:rsid w:val="00F14B40"/>
    <w:pPr>
      <w:spacing w:line="271" w:lineRule="auto"/>
      <w:ind w:left="1152" w:hanging="1152"/>
      <w:outlineLvl w:val="5"/>
    </w:pPr>
    <w:rPr>
      <w:rFonts w:ascii="Cambria" w:eastAsia="Times New Roman" w:hAnsi="Cambria" w:cs="Times New Roman"/>
      <w:b/>
      <w:bCs/>
      <w:i/>
      <w:iCs/>
      <w:color w:val="7F7F7F"/>
      <w:lang w:bidi="en-US"/>
    </w:rPr>
  </w:style>
  <w:style w:type="paragraph" w:styleId="Heading7">
    <w:name w:val="heading 7"/>
    <w:basedOn w:val="Normal"/>
    <w:next w:val="Normal"/>
    <w:link w:val="Heading7Char"/>
    <w:qFormat/>
    <w:rsid w:val="00F14B40"/>
    <w:pPr>
      <w:ind w:left="1296" w:hanging="1296"/>
      <w:outlineLvl w:val="6"/>
    </w:pPr>
    <w:rPr>
      <w:rFonts w:ascii="Cambria" w:eastAsia="Times New Roman" w:hAnsi="Cambria" w:cs="Times New Roman"/>
      <w:i/>
      <w:iCs/>
      <w:lang w:bidi="en-US"/>
    </w:rPr>
  </w:style>
  <w:style w:type="paragraph" w:styleId="Heading8">
    <w:name w:val="heading 8"/>
    <w:basedOn w:val="Normal"/>
    <w:next w:val="Normal"/>
    <w:link w:val="Heading8Char"/>
    <w:qFormat/>
    <w:rsid w:val="00F14B40"/>
    <w:pPr>
      <w:ind w:left="1440" w:hanging="1440"/>
      <w:outlineLvl w:val="7"/>
    </w:pPr>
    <w:rPr>
      <w:rFonts w:ascii="Cambria" w:eastAsia="Times New Roman" w:hAnsi="Cambria" w:cs="Times New Roman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qFormat/>
    <w:rsid w:val="00F14B40"/>
    <w:pPr>
      <w:ind w:left="1584" w:hanging="1584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14B40"/>
    <w:rPr>
      <w:rFonts w:ascii="Arial" w:eastAsia="Times New Roman" w:hAnsi="Arial" w:cs="Arial"/>
      <w:b/>
      <w:bCs/>
      <w:kern w:val="32"/>
      <w:sz w:val="32"/>
      <w:szCs w:val="32"/>
      <w:lang w:val="de-AT" w:eastAsia="de-AT"/>
    </w:rPr>
  </w:style>
  <w:style w:type="character" w:customStyle="1" w:styleId="Heading2Char">
    <w:name w:val="Heading 2 Char"/>
    <w:basedOn w:val="DefaultParagraphFont"/>
    <w:link w:val="Heading2"/>
    <w:rsid w:val="00F14B40"/>
    <w:rPr>
      <w:rFonts w:ascii="Arial" w:eastAsia="Times New Roman" w:hAnsi="Arial" w:cs="Arial"/>
      <w:b/>
      <w:bCs/>
      <w:iCs/>
      <w:sz w:val="28"/>
      <w:szCs w:val="28"/>
      <w:lang w:val="de-AT" w:eastAsia="de-AT"/>
    </w:rPr>
  </w:style>
  <w:style w:type="character" w:customStyle="1" w:styleId="Heading3Char">
    <w:name w:val="Heading 3 Char"/>
    <w:basedOn w:val="DefaultParagraphFont"/>
    <w:link w:val="Heading3"/>
    <w:rsid w:val="00F14B40"/>
    <w:rPr>
      <w:rFonts w:ascii="Arial" w:eastAsia="Times New Roman" w:hAnsi="Arial" w:cs="Arial"/>
      <w:bCs/>
      <w:i/>
      <w:sz w:val="27"/>
      <w:szCs w:val="26"/>
      <w:lang w:val="de-AT" w:eastAsia="de-AT"/>
    </w:rPr>
  </w:style>
  <w:style w:type="character" w:customStyle="1" w:styleId="Heading4Char">
    <w:name w:val="Heading 4 Char"/>
    <w:basedOn w:val="DefaultParagraphFont"/>
    <w:link w:val="Heading4"/>
    <w:rsid w:val="00F14B40"/>
    <w:rPr>
      <w:rFonts w:ascii="Arial" w:eastAsia="Times New Roman" w:hAnsi="Arial" w:cs="Times New Roman"/>
      <w:bCs/>
      <w:sz w:val="26"/>
      <w:szCs w:val="28"/>
      <w:lang w:val="de-AT" w:eastAsia="de-AT"/>
    </w:rPr>
  </w:style>
  <w:style w:type="character" w:customStyle="1" w:styleId="Heading5Char">
    <w:name w:val="Heading 5 Char"/>
    <w:basedOn w:val="DefaultParagraphFont"/>
    <w:link w:val="Heading5"/>
    <w:rsid w:val="00F14B40"/>
    <w:rPr>
      <w:rFonts w:ascii="Cambria" w:eastAsia="Times New Roman" w:hAnsi="Cambria" w:cs="Times New Roman"/>
      <w:b/>
      <w:bCs/>
      <w:color w:val="7F7F7F"/>
      <w:lang w:bidi="en-US"/>
    </w:rPr>
  </w:style>
  <w:style w:type="character" w:customStyle="1" w:styleId="Heading6Char">
    <w:name w:val="Heading 6 Char"/>
    <w:basedOn w:val="DefaultParagraphFont"/>
    <w:link w:val="Heading6"/>
    <w:rsid w:val="00F14B40"/>
    <w:rPr>
      <w:rFonts w:ascii="Cambria" w:eastAsia="Times New Roman" w:hAnsi="Cambria" w:cs="Times New Roman"/>
      <w:b/>
      <w:bCs/>
      <w:i/>
      <w:iCs/>
      <w:color w:val="7F7F7F"/>
      <w:lang w:bidi="en-US"/>
    </w:rPr>
  </w:style>
  <w:style w:type="character" w:customStyle="1" w:styleId="Heading7Char">
    <w:name w:val="Heading 7 Char"/>
    <w:basedOn w:val="DefaultParagraphFont"/>
    <w:link w:val="Heading7"/>
    <w:rsid w:val="00F14B40"/>
    <w:rPr>
      <w:rFonts w:ascii="Cambria" w:eastAsia="Times New Roman" w:hAnsi="Cambria" w:cs="Times New Roman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rsid w:val="00F14B40"/>
    <w:rPr>
      <w:rFonts w:ascii="Cambria" w:eastAsia="Times New Roman" w:hAnsi="Cambria" w:cs="Times New Roman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rsid w:val="00F14B40"/>
    <w:rPr>
      <w:rFonts w:ascii="Cambria" w:eastAsia="Times New Roman" w:hAnsi="Cambria" w:cs="Times New Roman"/>
      <w:i/>
      <w:iCs/>
      <w:spacing w:val="5"/>
      <w:sz w:val="20"/>
      <w:szCs w:val="20"/>
      <w:lang w:bidi="en-US"/>
    </w:rPr>
  </w:style>
  <w:style w:type="paragraph" w:styleId="ListParagraph">
    <w:name w:val="List Paragraph"/>
    <w:basedOn w:val="Normal"/>
    <w:uiPriority w:val="34"/>
    <w:qFormat/>
    <w:rsid w:val="00F14B40"/>
    <w:pPr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14B40"/>
    <w:pPr>
      <w:keepLines/>
      <w:numPr>
        <w:numId w:val="0"/>
      </w:numPr>
      <w:spacing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/>
    </w:rPr>
  </w:style>
  <w:style w:type="paragraph" w:styleId="NormalWeb">
    <w:name w:val="Normal (Web)"/>
    <w:basedOn w:val="Normal"/>
    <w:unhideWhenUsed/>
    <w:rsid w:val="007A32D3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2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2D3"/>
    <w:rPr>
      <w:rFonts w:ascii="Tahoma" w:eastAsia="Calibri" w:hAnsi="Tahoma" w:cs="Tahoma"/>
      <w:sz w:val="16"/>
      <w:szCs w:val="16"/>
      <w:lang w:val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otX val="25"/>
      <c:hPercent val="33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noFill/>
        <a:ln w="25400">
          <a:noFill/>
        </a:ln>
      </c:spPr>
    </c:sideWall>
    <c:backWall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8.1661891117478555E-2"/>
          <c:y val="5.3941908713692921E-2"/>
          <c:w val="0.90401146131805155"/>
          <c:h val="0.73443983402489676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cases</c:v>
                </c:pt>
              </c:strCache>
            </c:strRef>
          </c:tx>
          <c:spPr>
            <a:solidFill>
              <a:srgbClr val="4F81BD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Sheet1!$B$1:$P$1</c:f>
              <c:numCache>
                <c:formatCode>General</c:formatCode>
                <c:ptCount val="15"/>
                <c:pt idx="0">
                  <c:v>1986</c:v>
                </c:pt>
                <c:pt idx="1">
                  <c:v>1987</c:v>
                </c:pt>
                <c:pt idx="2">
                  <c:v>1988</c:v>
                </c:pt>
                <c:pt idx="3">
                  <c:v>1989</c:v>
                </c:pt>
                <c:pt idx="4">
                  <c:v>1990</c:v>
                </c:pt>
                <c:pt idx="6">
                  <c:v>2000</c:v>
                </c:pt>
                <c:pt idx="7">
                  <c:v>2001</c:v>
                </c:pt>
                <c:pt idx="8">
                  <c:v>2002</c:v>
                </c:pt>
                <c:pt idx="9">
                  <c:v>2003</c:v>
                </c:pt>
                <c:pt idx="10">
                  <c:v>2004</c:v>
                </c:pt>
                <c:pt idx="11">
                  <c:v>2005</c:v>
                </c:pt>
                <c:pt idx="12">
                  <c:v>2006</c:v>
                </c:pt>
                <c:pt idx="13">
                  <c:v>2007</c:v>
                </c:pt>
                <c:pt idx="14">
                  <c:v>2008</c:v>
                </c:pt>
              </c:numCache>
            </c:numRef>
          </c:cat>
          <c:val>
            <c:numRef>
              <c:f>Sheet1!$B$2:$P$2</c:f>
              <c:numCache>
                <c:formatCode>General</c:formatCode>
                <c:ptCount val="15"/>
                <c:pt idx="0">
                  <c:v>1671</c:v>
                </c:pt>
                <c:pt idx="1">
                  <c:v>2564</c:v>
                </c:pt>
                <c:pt idx="2">
                  <c:v>3362</c:v>
                </c:pt>
                <c:pt idx="3">
                  <c:v>2225</c:v>
                </c:pt>
                <c:pt idx="4">
                  <c:v>1796</c:v>
                </c:pt>
                <c:pt idx="6">
                  <c:v>263</c:v>
                </c:pt>
                <c:pt idx="7">
                  <c:v>316</c:v>
                </c:pt>
                <c:pt idx="8">
                  <c:v>209</c:v>
                </c:pt>
                <c:pt idx="9">
                  <c:v>281</c:v>
                </c:pt>
                <c:pt idx="10">
                  <c:v>161</c:v>
                </c:pt>
                <c:pt idx="11">
                  <c:v>73</c:v>
                </c:pt>
                <c:pt idx="12">
                  <c:v>69</c:v>
                </c:pt>
                <c:pt idx="13">
                  <c:v>101</c:v>
                </c:pt>
                <c:pt idx="14">
                  <c:v>89</c:v>
                </c:pt>
              </c:numCache>
            </c:numRef>
          </c:val>
        </c:ser>
        <c:gapDepth val="0"/>
        <c:shape val="box"/>
        <c:axId val="524879360"/>
        <c:axId val="524880896"/>
        <c:axId val="0"/>
      </c:bar3DChart>
      <c:catAx>
        <c:axId val="524879360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524880896"/>
        <c:crosses val="autoZero"/>
        <c:auto val="1"/>
        <c:lblAlgn val="ctr"/>
        <c:lblOffset val="100"/>
        <c:tickLblSkip val="1"/>
        <c:tickMarkSkip val="1"/>
      </c:catAx>
      <c:valAx>
        <c:axId val="524880896"/>
        <c:scaling>
          <c:orientation val="minMax"/>
        </c:scaling>
        <c:axPos val="l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52487936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ln w="3175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</c:dTable>
      <c:spPr>
        <a:noFill/>
        <a:ln w="25399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485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2012-04-02T18:50:00Z</dcterms:created>
  <dcterms:modified xsi:type="dcterms:W3CDTF">2012-04-02T18:51:00Z</dcterms:modified>
</cp:coreProperties>
</file>