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F4" w:rsidRDefault="00F208F4" w:rsidP="00F208F4">
      <w:pPr>
        <w:autoSpaceDE w:val="0"/>
        <w:autoSpaceDN w:val="0"/>
        <w:adjustRightInd w:val="0"/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TUNISIA</w:t>
          </w:r>
        </w:smartTag>
      </w:smartTag>
    </w:p>
    <w:p w:rsidR="00F208F4" w:rsidRPr="002C75B8" w:rsidRDefault="00F208F4" w:rsidP="00F208F4">
      <w:pPr>
        <w:autoSpaceDE w:val="0"/>
        <w:autoSpaceDN w:val="0"/>
        <w:adjustRightInd w:val="0"/>
        <w:ind w:left="0" w:firstLine="0"/>
        <w:rPr>
          <w:bCs/>
          <w:sz w:val="22"/>
          <w:u w:val="single"/>
          <w:lang w:val="en-US"/>
        </w:rPr>
      </w:pPr>
    </w:p>
    <w:p w:rsidR="00F208F4" w:rsidRPr="002C75B8" w:rsidRDefault="00F208F4" w:rsidP="00F208F4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971800" cy="19919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F4" w:rsidRPr="002C75B8" w:rsidRDefault="00F208F4" w:rsidP="00F208F4">
      <w:pPr>
        <w:spacing w:line="480" w:lineRule="auto"/>
        <w:ind w:left="0" w:firstLine="0"/>
        <w:rPr>
          <w:bCs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Total Population: 10</w:t>
      </w:r>
      <w:r>
        <w:rPr>
          <w:bCs/>
          <w:sz w:val="22"/>
          <w:lang w:val="en-US"/>
        </w:rPr>
        <w:t>,549,100</w:t>
      </w:r>
      <w:r w:rsidRPr="002C75B8">
        <w:rPr>
          <w:bCs/>
          <w:sz w:val="22"/>
          <w:lang w:val="en-US"/>
        </w:rPr>
        <w:t xml:space="preserve"> 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 2</w:t>
      </w:r>
      <w:r>
        <w:rPr>
          <w:bCs/>
          <w:sz w:val="22"/>
          <w:lang w:val="en-US"/>
        </w:rPr>
        <w:t>3</w:t>
      </w:r>
      <w:r w:rsidRPr="002C75B8">
        <w:rPr>
          <w:bCs/>
          <w:sz w:val="22"/>
          <w:lang w:val="en-US"/>
        </w:rPr>
        <w:t xml:space="preserve">% 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Rural population: 33% 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>25 a day: 2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>6%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Population living under the national poverty line: </w:t>
      </w:r>
      <w:r>
        <w:rPr>
          <w:bCs/>
          <w:sz w:val="22"/>
          <w:lang w:val="en-US"/>
        </w:rPr>
        <w:t>no data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Income status: </w:t>
      </w:r>
      <w:r>
        <w:rPr>
          <w:bCs/>
          <w:sz w:val="22"/>
          <w:lang w:val="en-US"/>
        </w:rPr>
        <w:t>Upp</w:t>
      </w:r>
      <w:r w:rsidRPr="002C75B8">
        <w:rPr>
          <w:bCs/>
          <w:sz w:val="22"/>
          <w:lang w:val="en-US"/>
        </w:rPr>
        <w:t xml:space="preserve">er middle income economy 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Ranking: </w:t>
      </w:r>
      <w:r>
        <w:rPr>
          <w:bCs/>
          <w:sz w:val="22"/>
          <w:lang w:val="en-US"/>
        </w:rPr>
        <w:t>High</w:t>
      </w:r>
      <w:r w:rsidRPr="002C75B8">
        <w:rPr>
          <w:bCs/>
          <w:sz w:val="22"/>
          <w:lang w:val="en-US"/>
        </w:rPr>
        <w:t xml:space="preserve"> human development (ranking 9</w:t>
      </w:r>
      <w:r>
        <w:rPr>
          <w:bCs/>
          <w:sz w:val="22"/>
          <w:lang w:val="en-US"/>
        </w:rPr>
        <w:t>4</w:t>
      </w:r>
      <w:r w:rsidRPr="002C75B8">
        <w:rPr>
          <w:bCs/>
          <w:sz w:val="22"/>
          <w:lang w:val="en-US"/>
        </w:rPr>
        <w:t>)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Per capita total expenditure on health at average exchange rate (US dollar): </w:t>
      </w:r>
      <w:r>
        <w:rPr>
          <w:bCs/>
          <w:sz w:val="22"/>
          <w:lang w:val="en-US"/>
        </w:rPr>
        <w:t>24</w:t>
      </w:r>
      <w:r w:rsidRPr="002C75B8">
        <w:rPr>
          <w:bCs/>
          <w:sz w:val="22"/>
          <w:lang w:val="en-US"/>
        </w:rPr>
        <w:t xml:space="preserve">0 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Life expectancy at birth (years): 7</w:t>
      </w:r>
      <w:r>
        <w:rPr>
          <w:bCs/>
          <w:sz w:val="22"/>
          <w:lang w:val="en-US"/>
        </w:rPr>
        <w:t>4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62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F208F4" w:rsidRPr="002C75B8" w:rsidRDefault="00F208F4" w:rsidP="00F208F4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US"/>
        </w:rPr>
        <w:t xml:space="preserve"> </w:t>
      </w:r>
    </w:p>
    <w:p w:rsidR="00F208F4" w:rsidRPr="002C75B8" w:rsidRDefault="00F208F4" w:rsidP="00F208F4">
      <w:pPr>
        <w:ind w:left="0" w:firstLine="0"/>
        <w:rPr>
          <w:color w:val="FF0000"/>
          <w:sz w:val="22"/>
          <w:lang w:val="en-US"/>
        </w:rPr>
      </w:pPr>
      <w:r w:rsidRPr="002C75B8">
        <w:rPr>
          <w:sz w:val="22"/>
          <w:lang w:val="en-US"/>
        </w:rPr>
        <w:t xml:space="preserve">VL </w:t>
      </w:r>
      <w:r>
        <w:rPr>
          <w:sz w:val="22"/>
          <w:lang w:val="en-US"/>
        </w:rPr>
        <w:t>was</w:t>
      </w:r>
      <w:r w:rsidRPr="002C75B8">
        <w:rPr>
          <w:sz w:val="22"/>
          <w:lang w:val="en-US"/>
        </w:rPr>
        <w:t xml:space="preserve"> ende</w:t>
      </w:r>
      <w:r>
        <w:rPr>
          <w:sz w:val="22"/>
          <w:lang w:val="en-US"/>
        </w:rPr>
        <w:t xml:space="preserve">mic in the north of the country, but the number </w:t>
      </w:r>
      <w:r w:rsidRPr="002C75B8">
        <w:rPr>
          <w:sz w:val="22"/>
          <w:lang w:val="en-US"/>
        </w:rPr>
        <w:t xml:space="preserve">of cases decreased </w:t>
      </w:r>
      <w:r>
        <w:rPr>
          <w:sz w:val="22"/>
          <w:lang w:val="en-US"/>
        </w:rPr>
        <w:t xml:space="preserve">importantly </w:t>
      </w:r>
      <w:r w:rsidRPr="002C75B8">
        <w:rPr>
          <w:sz w:val="22"/>
          <w:lang w:val="en-US"/>
        </w:rPr>
        <w:t xml:space="preserve">during the </w:t>
      </w:r>
      <w:proofErr w:type="spellStart"/>
      <w:r w:rsidRPr="002C75B8">
        <w:rPr>
          <w:sz w:val="22"/>
          <w:lang w:val="en-US"/>
        </w:rPr>
        <w:t>antimalarial</w:t>
      </w:r>
      <w:proofErr w:type="spellEnd"/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(DDT) </w:t>
      </w:r>
      <w:r w:rsidRPr="002C75B8">
        <w:rPr>
          <w:sz w:val="22"/>
          <w:lang w:val="en-US"/>
        </w:rPr>
        <w:t xml:space="preserve">spraying campaign </w:t>
      </w:r>
      <w:r>
        <w:rPr>
          <w:sz w:val="22"/>
          <w:lang w:val="en-US"/>
        </w:rPr>
        <w:t xml:space="preserve">in the 70s </w:t>
      </w:r>
      <w:r w:rsidRPr="002C75B8">
        <w:rPr>
          <w:sz w:val="22"/>
          <w:lang w:val="en-US"/>
        </w:rPr>
        <w:t xml:space="preserve">(1968-1974). </w:t>
      </w:r>
      <w:r w:rsidRPr="00B92B7C">
        <w:rPr>
          <w:color w:val="000000"/>
          <w:sz w:val="22"/>
          <w:lang w:val="en-US"/>
        </w:rPr>
        <w:t xml:space="preserve">Currently, cases are </w:t>
      </w:r>
      <w:r>
        <w:rPr>
          <w:color w:val="000000"/>
          <w:sz w:val="22"/>
          <w:lang w:val="en-US"/>
        </w:rPr>
        <w:t>however on the increase;</w:t>
      </w:r>
      <w:r w:rsidRPr="00B92B7C">
        <w:rPr>
          <w:color w:val="000000"/>
          <w:sz w:val="22"/>
          <w:lang w:val="en-US"/>
        </w:rPr>
        <w:t xml:space="preserve"> </w:t>
      </w:r>
      <w:proofErr w:type="gramStart"/>
      <w:r w:rsidRPr="00B92B7C">
        <w:rPr>
          <w:color w:val="000000"/>
          <w:sz w:val="22"/>
          <w:lang w:val="en-US"/>
        </w:rPr>
        <w:t>around 100 cases/year</w:t>
      </w:r>
      <w:proofErr w:type="gramEnd"/>
      <w:r w:rsidRPr="00B92B7C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en-US"/>
        </w:rPr>
        <w:t xml:space="preserve">were </w:t>
      </w:r>
      <w:r w:rsidRPr="00B92B7C">
        <w:rPr>
          <w:color w:val="000000"/>
          <w:sz w:val="22"/>
          <w:lang w:val="en-US"/>
        </w:rPr>
        <w:t xml:space="preserve">reported between 1996-2006, probably linked to </w:t>
      </w:r>
      <w:r>
        <w:rPr>
          <w:color w:val="000000"/>
          <w:sz w:val="22"/>
          <w:lang w:val="en-US"/>
        </w:rPr>
        <w:t>irrigation</w:t>
      </w:r>
      <w:r w:rsidRPr="00B92B7C">
        <w:rPr>
          <w:color w:val="000000"/>
          <w:sz w:val="22"/>
          <w:lang w:val="en-US"/>
        </w:rPr>
        <w:t xml:space="preserve"> development and </w:t>
      </w:r>
      <w:r>
        <w:rPr>
          <w:color w:val="000000"/>
          <w:sz w:val="22"/>
          <w:lang w:val="en-US"/>
        </w:rPr>
        <w:t xml:space="preserve">an </w:t>
      </w:r>
      <w:r w:rsidRPr="00B92B7C">
        <w:rPr>
          <w:color w:val="000000"/>
          <w:sz w:val="22"/>
          <w:lang w:val="en-US"/>
        </w:rPr>
        <w:t xml:space="preserve">agriculture </w:t>
      </w:r>
      <w:r>
        <w:rPr>
          <w:color w:val="000000"/>
          <w:sz w:val="22"/>
          <w:lang w:val="en-US"/>
        </w:rPr>
        <w:t xml:space="preserve">that is </w:t>
      </w:r>
      <w:r w:rsidRPr="00B92B7C">
        <w:rPr>
          <w:color w:val="000000"/>
          <w:sz w:val="22"/>
          <w:lang w:val="en-US"/>
        </w:rPr>
        <w:t xml:space="preserve">favorable to the multiplication of vector </w:t>
      </w:r>
      <w:proofErr w:type="spellStart"/>
      <w:r w:rsidRPr="00B92B7C">
        <w:rPr>
          <w:color w:val="000000"/>
          <w:sz w:val="22"/>
          <w:lang w:val="en-US"/>
        </w:rPr>
        <w:t>sandflies</w:t>
      </w:r>
      <w:proofErr w:type="spellEnd"/>
      <w:r w:rsidRPr="00B92B7C">
        <w:rPr>
          <w:color w:val="000000"/>
          <w:sz w:val="22"/>
          <w:lang w:val="en-US"/>
        </w:rPr>
        <w:t xml:space="preserve"> and dogs</w:t>
      </w:r>
      <w:r>
        <w:rPr>
          <w:color w:val="000000"/>
          <w:sz w:val="22"/>
          <w:lang w:val="en-US"/>
        </w:rPr>
        <w:t>,</w:t>
      </w:r>
      <w:r w:rsidRPr="00B92B7C">
        <w:rPr>
          <w:color w:val="000000"/>
          <w:sz w:val="22"/>
          <w:lang w:val="en-US"/>
        </w:rPr>
        <w:t xml:space="preserve"> reservoirs of </w:t>
      </w:r>
      <w:r w:rsidRPr="00EB53B3">
        <w:rPr>
          <w:i/>
          <w:color w:val="000000"/>
          <w:sz w:val="22"/>
          <w:lang w:val="en-US"/>
        </w:rPr>
        <w:t>L. infantum</w:t>
      </w:r>
      <w:r w:rsidRPr="00B92B7C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en-US"/>
        </w:rPr>
        <w:t>[1]</w:t>
      </w:r>
      <w:r w:rsidRPr="00B92B7C">
        <w:rPr>
          <w:rFonts w:eastAsia="Times New Roman"/>
          <w:bCs/>
          <w:color w:val="000000"/>
          <w:sz w:val="22"/>
          <w:lang w:val="en-US" w:eastAsia="es-ES"/>
        </w:rPr>
        <w:t>.</w:t>
      </w:r>
      <w:r>
        <w:rPr>
          <w:rFonts w:eastAsia="Times New Roman"/>
          <w:bCs/>
          <w:color w:val="000000"/>
          <w:sz w:val="22"/>
          <w:lang w:val="en-US" w:eastAsia="es-ES"/>
        </w:rPr>
        <w:t xml:space="preserve"> </w:t>
      </w:r>
      <w:r w:rsidRPr="002C75B8">
        <w:rPr>
          <w:sz w:val="22"/>
          <w:lang w:val="en-US"/>
        </w:rPr>
        <w:t>Patients are mostly children (80%) from 1 to 5 years old</w:t>
      </w:r>
      <w:r>
        <w:rPr>
          <w:sz w:val="22"/>
          <w:lang w:val="en-US"/>
        </w:rPr>
        <w:t xml:space="preserve"> [2]</w:t>
      </w:r>
      <w:r w:rsidRPr="002C75B8">
        <w:rPr>
          <w:sz w:val="22"/>
          <w:lang w:val="en-US"/>
        </w:rPr>
        <w:t>.</w:t>
      </w: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caused by </w:t>
      </w:r>
      <w:proofErr w:type="spellStart"/>
      <w:r w:rsidRPr="002C75B8">
        <w:rPr>
          <w:i/>
          <w:iCs/>
          <w:sz w:val="22"/>
          <w:lang w:val="en-US"/>
        </w:rPr>
        <w:t>L.major</w:t>
      </w:r>
      <w:proofErr w:type="spellEnd"/>
      <w:r w:rsidRPr="002C75B8">
        <w:rPr>
          <w:i/>
          <w:iCs/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is a major public health problem. It occurs mainly in central and southwestern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Tunisia</w:t>
          </w:r>
        </w:smartTag>
      </w:smartTag>
      <w:r w:rsidRPr="002C75B8">
        <w:rPr>
          <w:sz w:val="22"/>
          <w:lang w:val="en-US"/>
        </w:rPr>
        <w:t xml:space="preserve"> (semi-arid and arid areas) with thousands of cases</w:t>
      </w:r>
      <w:r>
        <w:rPr>
          <w:sz w:val="22"/>
          <w:lang w:val="en-US"/>
        </w:rPr>
        <w:t xml:space="preserve"> [3].</w:t>
      </w:r>
      <w:r w:rsidRPr="002C75B8">
        <w:rPr>
          <w:rStyle w:val="apple-style-span"/>
          <w:color w:val="E36C0A"/>
          <w:sz w:val="22"/>
          <w:lang w:val="en-GB"/>
        </w:rPr>
        <w:t xml:space="preserve"> </w:t>
      </w:r>
      <w:r w:rsidRPr="002C75B8">
        <w:rPr>
          <w:sz w:val="22"/>
          <w:lang w:val="en-US"/>
        </w:rPr>
        <w:t>There are foci with a permanent active transmission</w:t>
      </w:r>
      <w:r>
        <w:rPr>
          <w:sz w:val="22"/>
          <w:lang w:val="en-US"/>
        </w:rPr>
        <w:t>, so,</w:t>
      </w:r>
      <w:r w:rsidRPr="002C75B8">
        <w:rPr>
          <w:sz w:val="22"/>
          <w:lang w:val="en-US"/>
        </w:rPr>
        <w:t xml:space="preserve"> from time to time, outbreaks occur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related to new agricultural projects or large population movements (int</w:t>
      </w:r>
      <w:r>
        <w:rPr>
          <w:sz w:val="22"/>
          <w:lang w:val="en-US"/>
        </w:rPr>
        <w:t>roduction to a non-immune population) [4]</w:t>
      </w:r>
      <w:r w:rsidRPr="002C75B8">
        <w:rPr>
          <w:rFonts w:eastAsia="Times New Roman"/>
          <w:sz w:val="22"/>
          <w:lang w:val="en-US" w:eastAsia="es-ES"/>
        </w:rPr>
        <w:t>.</w:t>
      </w:r>
      <w:r w:rsidRPr="002C75B8">
        <w:rPr>
          <w:sz w:val="22"/>
          <w:lang w:val="en-US"/>
        </w:rPr>
        <w:t xml:space="preserve"> In some villages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up to 60% of the population is infected. </w:t>
      </w: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Less frequent, CL caused by </w:t>
      </w:r>
      <w:proofErr w:type="spellStart"/>
      <w:r w:rsidRPr="002C75B8">
        <w:rPr>
          <w:i/>
          <w:iCs/>
          <w:sz w:val="22"/>
          <w:lang w:val="en-US"/>
        </w:rPr>
        <w:t>L.tropica</w:t>
      </w:r>
      <w:proofErr w:type="spellEnd"/>
      <w:r w:rsidRPr="002C75B8">
        <w:rPr>
          <w:sz w:val="22"/>
          <w:lang w:val="en-US"/>
        </w:rPr>
        <w:t xml:space="preserve"> occurs mostly in southeastern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Tunisia</w:t>
          </w:r>
        </w:smartTag>
      </w:smartTag>
      <w:r w:rsidRPr="002C75B8">
        <w:rPr>
          <w:sz w:val="22"/>
          <w:lang w:val="en-US"/>
        </w:rPr>
        <w:t xml:space="preserve"> (in the </w:t>
      </w:r>
      <w:proofErr w:type="spellStart"/>
      <w:r w:rsidRPr="002C75B8">
        <w:rPr>
          <w:sz w:val="22"/>
          <w:lang w:val="en-US"/>
        </w:rPr>
        <w:t>Tataouine</w:t>
      </w:r>
      <w:proofErr w:type="spellEnd"/>
      <w:r w:rsidRPr="002C75B8">
        <w:rPr>
          <w:sz w:val="22"/>
          <w:lang w:val="en-US"/>
        </w:rPr>
        <w:t xml:space="preserve"> region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where a small focus was discovered in 1980). </w:t>
      </w:r>
    </w:p>
    <w:p w:rsidR="00F208F4" w:rsidRDefault="00F208F4" w:rsidP="00F208F4">
      <w:pPr>
        <w:ind w:left="0" w:firstLine="0"/>
        <w:rPr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Sporadic CL due to </w:t>
      </w:r>
      <w:r w:rsidRPr="002C75B8">
        <w:rPr>
          <w:i/>
          <w:iCs/>
          <w:sz w:val="22"/>
          <w:lang w:val="en-US"/>
        </w:rPr>
        <w:t>L. infantum</w:t>
      </w:r>
      <w:r w:rsidRPr="002C75B8">
        <w:rPr>
          <w:sz w:val="22"/>
          <w:lang w:val="en-US"/>
        </w:rPr>
        <w:t xml:space="preserve"> occurs in towns and villages in the north of the country. Sporadic CL due to</w:t>
      </w:r>
      <w:r w:rsidRPr="002C75B8">
        <w:rPr>
          <w:i/>
          <w:iCs/>
          <w:sz w:val="22"/>
          <w:lang w:val="en-US"/>
        </w:rPr>
        <w:t xml:space="preserve"> L. </w:t>
      </w:r>
      <w:proofErr w:type="spellStart"/>
      <w:r w:rsidRPr="002C75B8">
        <w:rPr>
          <w:i/>
          <w:iCs/>
          <w:sz w:val="22"/>
          <w:lang w:val="en-US"/>
        </w:rPr>
        <w:t>killicki</w:t>
      </w:r>
      <w:proofErr w:type="spellEnd"/>
      <w:r w:rsidRPr="002C75B8">
        <w:rPr>
          <w:i/>
          <w:iCs/>
          <w:sz w:val="22"/>
          <w:lang w:val="en-US"/>
        </w:rPr>
        <w:t xml:space="preserve"> </w:t>
      </w:r>
      <w:r w:rsidRPr="002C75B8">
        <w:rPr>
          <w:sz w:val="22"/>
          <w:lang w:val="en-US"/>
        </w:rPr>
        <w:t>occurs further south, sometimes in small outbreaks</w:t>
      </w:r>
      <w:r>
        <w:rPr>
          <w:sz w:val="22"/>
          <w:lang w:val="en-US"/>
        </w:rPr>
        <w:t xml:space="preserve"> [5]</w:t>
      </w:r>
      <w:r w:rsidRPr="002C75B8">
        <w:rPr>
          <w:bCs/>
          <w:color w:val="E36C0A"/>
          <w:sz w:val="22"/>
          <w:lang w:val="en-US"/>
        </w:rPr>
        <w:t>.</w:t>
      </w: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</w:p>
    <w:p w:rsidR="00F208F4" w:rsidRDefault="00F208F4" w:rsidP="00F208F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lastRenderedPageBreak/>
        <w:t>In 2005, over 15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000 cases of CL were reported. Since then, the incidence of both VL and CL has been decreasing to all time low numbers. Both VL and CL are probably underreported. </w:t>
      </w: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There are no cases of HIV/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 xml:space="preserve"> co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>infection reported.</w:t>
      </w: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F208F4" w:rsidRPr="002C75B8" w:rsidRDefault="00F208F4" w:rsidP="00F208F4">
      <w:pPr>
        <w:ind w:left="0" w:firstLine="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3060"/>
        <w:gridCol w:w="2466"/>
      </w:tblGrid>
      <w:tr w:rsidR="00F208F4" w:rsidRPr="002C75B8" w:rsidTr="00A7768B">
        <w:trPr>
          <w:jc w:val="center"/>
        </w:trPr>
        <w:tc>
          <w:tcPr>
            <w:tcW w:w="1728" w:type="dxa"/>
            <w:vAlign w:val="center"/>
          </w:tcPr>
          <w:p w:rsidR="00F208F4" w:rsidRPr="002C75B8" w:rsidRDefault="00F208F4" w:rsidP="00A7768B">
            <w:pPr>
              <w:ind w:left="0" w:firstLine="0"/>
              <w:jc w:val="center"/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800" w:type="dxa"/>
            <w:vAlign w:val="center"/>
          </w:tcPr>
          <w:p w:rsidR="00F208F4" w:rsidRPr="002C75B8" w:rsidRDefault="00F208F4" w:rsidP="00A7768B">
            <w:pPr>
              <w:ind w:left="0" w:firstLine="0"/>
              <w:jc w:val="center"/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060" w:type="dxa"/>
            <w:vAlign w:val="center"/>
          </w:tcPr>
          <w:p w:rsidR="00F208F4" w:rsidRPr="002C75B8" w:rsidRDefault="00F208F4" w:rsidP="00A7768B">
            <w:pPr>
              <w:ind w:left="0" w:firstLine="0"/>
              <w:jc w:val="center"/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466" w:type="dxa"/>
            <w:vAlign w:val="center"/>
          </w:tcPr>
          <w:p w:rsidR="00F208F4" w:rsidRPr="002C75B8" w:rsidRDefault="00F208F4" w:rsidP="00A7768B">
            <w:pPr>
              <w:ind w:left="0" w:firstLine="0"/>
              <w:jc w:val="center"/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F208F4" w:rsidRPr="002C75B8" w:rsidTr="00A7768B">
        <w:trPr>
          <w:jc w:val="center"/>
        </w:trPr>
        <w:tc>
          <w:tcPr>
            <w:tcW w:w="1728" w:type="dxa"/>
            <w:vAlign w:val="center"/>
          </w:tcPr>
          <w:p w:rsidR="00F208F4" w:rsidRPr="002C75B8" w:rsidRDefault="00F208F4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800" w:type="dxa"/>
            <w:vAlign w:val="center"/>
          </w:tcPr>
          <w:p w:rsidR="00F208F4" w:rsidRPr="002C75B8" w:rsidRDefault="00F208F4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ZVL, CL</w:t>
            </w:r>
          </w:p>
        </w:tc>
        <w:tc>
          <w:tcPr>
            <w:tcW w:w="3060" w:type="dxa"/>
            <w:vAlign w:val="center"/>
          </w:tcPr>
          <w:p w:rsidR="00F208F4" w:rsidRPr="005B3AA4" w:rsidRDefault="00F208F4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Cs w:val="22"/>
                <w:lang w:val="it-IT"/>
              </w:rPr>
            </w:pPr>
            <w:r w:rsidRPr="005B3AA4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  <w:lang w:val="it-IT"/>
              </w:rPr>
              <w:t>P. langeroni, P. pemiciosus,</w:t>
            </w:r>
          </w:p>
          <w:p w:rsidR="00F208F4" w:rsidRPr="002C75B8" w:rsidRDefault="00F208F4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Cs w:val="22"/>
                <w:lang w:val="pt-BR"/>
              </w:rPr>
            </w:pPr>
            <w:r w:rsidRPr="005B3AA4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  <w:lang w:val="it-IT"/>
              </w:rPr>
              <w:t xml:space="preserve">P. perfiliewi, </w:t>
            </w: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  <w:lang w:val="pt-BR"/>
              </w:rPr>
              <w:t>P. longicuspis</w:t>
            </w:r>
          </w:p>
        </w:tc>
        <w:tc>
          <w:tcPr>
            <w:tcW w:w="2466" w:type="dxa"/>
            <w:vAlign w:val="center"/>
          </w:tcPr>
          <w:p w:rsidR="00F208F4" w:rsidRPr="00D30891" w:rsidRDefault="00F208F4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i/>
                <w:iCs/>
                <w:szCs w:val="22"/>
              </w:rPr>
            </w:pPr>
            <w:proofErr w:type="spellStart"/>
            <w:r w:rsidRPr="00D30891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D30891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D30891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  <w:tr w:rsidR="00F208F4" w:rsidRPr="002C75B8" w:rsidTr="00A7768B">
        <w:trPr>
          <w:jc w:val="center"/>
        </w:trPr>
        <w:tc>
          <w:tcPr>
            <w:tcW w:w="1728" w:type="dxa"/>
            <w:vAlign w:val="center"/>
          </w:tcPr>
          <w:p w:rsidR="00F208F4" w:rsidRPr="002C75B8" w:rsidRDefault="00F208F4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</w:p>
        </w:tc>
        <w:tc>
          <w:tcPr>
            <w:tcW w:w="1800" w:type="dxa"/>
            <w:vAlign w:val="center"/>
          </w:tcPr>
          <w:p w:rsidR="00F208F4" w:rsidRPr="002C75B8" w:rsidRDefault="00F208F4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ZCL</w:t>
            </w:r>
          </w:p>
        </w:tc>
        <w:tc>
          <w:tcPr>
            <w:tcW w:w="3060" w:type="dxa"/>
            <w:vAlign w:val="center"/>
          </w:tcPr>
          <w:p w:rsidR="00F208F4" w:rsidRPr="002C75B8" w:rsidRDefault="00F208F4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papatasi</w:t>
            </w:r>
            <w:proofErr w:type="spellEnd"/>
          </w:p>
        </w:tc>
        <w:tc>
          <w:tcPr>
            <w:tcW w:w="2466" w:type="dxa"/>
            <w:vAlign w:val="center"/>
          </w:tcPr>
          <w:p w:rsidR="00F208F4" w:rsidRPr="002C75B8" w:rsidRDefault="00F208F4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Cs w:val="22"/>
              </w:rPr>
            </w:pP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Ps</w:t>
            </w:r>
            <w:r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ammomys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obesus</w:t>
            </w:r>
            <w:proofErr w:type="spellEnd"/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Meriones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spp.</w:t>
            </w:r>
          </w:p>
        </w:tc>
      </w:tr>
      <w:tr w:rsidR="00F208F4" w:rsidRPr="002C75B8" w:rsidTr="00A7768B">
        <w:trPr>
          <w:jc w:val="center"/>
        </w:trPr>
        <w:tc>
          <w:tcPr>
            <w:tcW w:w="1728" w:type="dxa"/>
            <w:vAlign w:val="center"/>
          </w:tcPr>
          <w:p w:rsidR="00F208F4" w:rsidRPr="002C75B8" w:rsidRDefault="00F208F4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L.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killicki</w:t>
            </w:r>
            <w:proofErr w:type="spellEnd"/>
          </w:p>
        </w:tc>
        <w:tc>
          <w:tcPr>
            <w:tcW w:w="1800" w:type="dxa"/>
            <w:vAlign w:val="center"/>
          </w:tcPr>
          <w:p w:rsidR="00F208F4" w:rsidRPr="002C75B8" w:rsidRDefault="00F208F4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CL</w:t>
            </w:r>
          </w:p>
        </w:tc>
        <w:tc>
          <w:tcPr>
            <w:tcW w:w="3060" w:type="dxa"/>
            <w:vAlign w:val="center"/>
          </w:tcPr>
          <w:p w:rsidR="00F208F4" w:rsidRPr="002C75B8" w:rsidRDefault="00F208F4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466" w:type="dxa"/>
            <w:vAlign w:val="center"/>
          </w:tcPr>
          <w:p w:rsidR="00F208F4" w:rsidRPr="002C75B8" w:rsidRDefault="00F208F4" w:rsidP="00A7768B">
            <w:pPr>
              <w:ind w:left="0" w:firstLine="0"/>
              <w:jc w:val="center"/>
            </w:pPr>
          </w:p>
        </w:tc>
      </w:tr>
    </w:tbl>
    <w:p w:rsidR="00F208F4" w:rsidRPr="002C75B8" w:rsidRDefault="00F208F4" w:rsidP="00F208F4">
      <w:pPr>
        <w:ind w:left="0" w:firstLine="0"/>
        <w:rPr>
          <w:b/>
          <w:bCs/>
          <w:sz w:val="22"/>
        </w:rPr>
      </w:pPr>
    </w:p>
    <w:p w:rsidR="00F208F4" w:rsidRDefault="00F208F4" w:rsidP="00F208F4">
      <w:pPr>
        <w:ind w:left="0" w:firstLine="0"/>
        <w:rPr>
          <w:b/>
          <w:bCs/>
          <w:sz w:val="22"/>
        </w:rPr>
      </w:pPr>
    </w:p>
    <w:p w:rsidR="00F208F4" w:rsidRDefault="00F208F4" w:rsidP="00F208F4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MAPS AND TRENDS</w:t>
      </w:r>
    </w:p>
    <w:p w:rsidR="00F208F4" w:rsidRDefault="00F208F4" w:rsidP="00F208F4">
      <w:pPr>
        <w:ind w:left="0" w:firstLine="0"/>
        <w:rPr>
          <w:b/>
          <w:bCs/>
          <w:sz w:val="22"/>
        </w:rPr>
      </w:pPr>
    </w:p>
    <w:p w:rsidR="00F208F4" w:rsidRDefault="00F208F4" w:rsidP="00F208F4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 xml:space="preserve">Visceral </w:t>
      </w:r>
      <w:proofErr w:type="spellStart"/>
      <w:r>
        <w:rPr>
          <w:b/>
          <w:bCs/>
          <w:sz w:val="22"/>
        </w:rPr>
        <w:t>leishmaniais</w:t>
      </w:r>
      <w:proofErr w:type="spellEnd"/>
    </w:p>
    <w:p w:rsidR="00F208F4" w:rsidRDefault="00F208F4" w:rsidP="00F208F4">
      <w:pPr>
        <w:ind w:left="0" w:firstLine="0"/>
        <w:rPr>
          <w:b/>
          <w:bCs/>
          <w:sz w:val="22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110490</wp:posOffset>
            </wp:positionV>
            <wp:extent cx="1778635" cy="2515235"/>
            <wp:effectExtent l="19050" t="0" r="0" b="0"/>
            <wp:wrapNone/>
            <wp:docPr id="6" name="Picture 6" descr="TN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VLIRm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110490</wp:posOffset>
            </wp:positionV>
            <wp:extent cx="1777365" cy="2515235"/>
            <wp:effectExtent l="19050" t="0" r="0" b="0"/>
            <wp:wrapNone/>
            <wp:docPr id="5" name="Picture 5" descr="TN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NVL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8F4" w:rsidRPr="002C75B8" w:rsidRDefault="00F208F4" w:rsidP="00F208F4">
      <w:pPr>
        <w:ind w:left="0" w:firstLine="0"/>
        <w:rPr>
          <w:b/>
          <w:bCs/>
          <w:sz w:val="22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b/>
          <w:bCs/>
          <w:sz w:val="22"/>
        </w:rPr>
      </w:pPr>
    </w:p>
    <w:p w:rsidR="00F208F4" w:rsidRDefault="00F208F4" w:rsidP="00F208F4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Cutaneous leishmaniasis</w:t>
      </w:r>
    </w:p>
    <w:p w:rsidR="00F208F4" w:rsidRPr="002C75B8" w:rsidRDefault="00F208F4" w:rsidP="00F208F4">
      <w:pPr>
        <w:ind w:left="0" w:firstLine="0"/>
        <w:rPr>
          <w:b/>
          <w:bCs/>
          <w:sz w:val="22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76835</wp:posOffset>
            </wp:positionV>
            <wp:extent cx="1745615" cy="2468245"/>
            <wp:effectExtent l="19050" t="0" r="6985" b="0"/>
            <wp:wrapNone/>
            <wp:docPr id="8" name="Picture 8" descr="TN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NCLIRm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46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123190</wp:posOffset>
            </wp:positionV>
            <wp:extent cx="1746885" cy="2468245"/>
            <wp:effectExtent l="19050" t="0" r="5715" b="0"/>
            <wp:wrapNone/>
            <wp:docPr id="7" name="Picture 7" descr="TN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NCLmod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46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Default="00F208F4" w:rsidP="00F208F4">
      <w:pPr>
        <w:ind w:left="0" w:firstLine="0"/>
        <w:rPr>
          <w:sz w:val="22"/>
          <w:lang w:val="es-ES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  <w:r w:rsidRPr="00FD5017">
        <w:rPr>
          <w:b/>
          <w:bCs/>
          <w:sz w:val="22"/>
          <w:lang w:val="en-GB"/>
        </w:rPr>
        <w:lastRenderedPageBreak/>
        <w:t>Visceral leishmaniasis trend</w:t>
      </w: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121920</wp:posOffset>
            </wp:positionV>
            <wp:extent cx="6745605" cy="2221865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  <w:r w:rsidRPr="00FD5017">
        <w:rPr>
          <w:b/>
          <w:bCs/>
          <w:sz w:val="22"/>
          <w:lang w:val="en-GB"/>
        </w:rPr>
        <w:t>Cutaneous leishmaniasis trend</w:t>
      </w: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  <w:r>
        <w:rPr>
          <w:rFonts w:eastAsia="Times New Roman"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57150</wp:posOffset>
            </wp:positionV>
            <wp:extent cx="6743700" cy="2400300"/>
            <wp:effectExtent l="0" t="0" r="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208F4" w:rsidRPr="00FD5017" w:rsidRDefault="00F208F4" w:rsidP="00F208F4">
      <w:pPr>
        <w:ind w:left="0" w:firstLine="0"/>
        <w:rPr>
          <w:b/>
          <w:bCs/>
          <w:sz w:val="22"/>
          <w:lang w:val="en-GB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FD5017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F208F4" w:rsidRPr="002C75B8" w:rsidRDefault="00F208F4" w:rsidP="00F208F4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2C75B8">
        <w:rPr>
          <w:rFonts w:eastAsia="Times New Roman"/>
          <w:b/>
          <w:bCs/>
          <w:sz w:val="22"/>
          <w:lang w:val="en-GB" w:eastAsia="es-ES"/>
        </w:rPr>
        <w:t>CONTROL</w:t>
      </w:r>
    </w:p>
    <w:p w:rsidR="00F208F4" w:rsidRDefault="00F208F4" w:rsidP="00F208F4">
      <w:pPr>
        <w:ind w:left="0" w:firstLine="0"/>
        <w:rPr>
          <w:rFonts w:eastAsia="Times New Roman"/>
          <w:sz w:val="22"/>
          <w:lang w:val="en-US" w:eastAsia="es-ES"/>
        </w:rPr>
      </w:pPr>
    </w:p>
    <w:p w:rsidR="00F208F4" w:rsidRPr="002C75B8" w:rsidRDefault="00F208F4" w:rsidP="00F208F4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>The notification of CL and VL is mandatory. Leishmaniasis control is included in the national health program. Case detection is passive. There is no vector control program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but there is a reservoir control program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with </w:t>
      </w:r>
      <w:r>
        <w:rPr>
          <w:rFonts w:eastAsia="Times New Roman"/>
          <w:sz w:val="22"/>
          <w:lang w:val="en-US" w:eastAsia="es-ES"/>
        </w:rPr>
        <w:t xml:space="preserve">a </w:t>
      </w:r>
      <w:r w:rsidRPr="002C75B8">
        <w:rPr>
          <w:rFonts w:eastAsia="Times New Roman"/>
          <w:sz w:val="22"/>
          <w:lang w:val="en-US" w:eastAsia="es-ES"/>
        </w:rPr>
        <w:t>regular control of dog and rodent population</w:t>
      </w:r>
      <w:r>
        <w:rPr>
          <w:rFonts w:eastAsia="Times New Roman"/>
          <w:sz w:val="22"/>
          <w:lang w:val="en-US" w:eastAsia="es-ES"/>
        </w:rPr>
        <w:t>s</w:t>
      </w:r>
      <w:r w:rsidRPr="002C75B8">
        <w:rPr>
          <w:rFonts w:eastAsia="Times New Roman"/>
          <w:sz w:val="22"/>
          <w:lang w:val="en-US" w:eastAsia="es-ES"/>
        </w:rPr>
        <w:t xml:space="preserve">. </w:t>
      </w:r>
    </w:p>
    <w:p w:rsidR="00F208F4" w:rsidRPr="002C75B8" w:rsidRDefault="00F208F4" w:rsidP="00F208F4">
      <w:pPr>
        <w:ind w:left="0" w:firstLine="0"/>
        <w:rPr>
          <w:rFonts w:eastAsia="Times New Roman"/>
          <w:sz w:val="22"/>
          <w:lang w:val="en-US" w:eastAsia="es-ES"/>
        </w:rPr>
      </w:pPr>
    </w:p>
    <w:p w:rsidR="00F208F4" w:rsidRPr="002C75B8" w:rsidRDefault="00F208F4" w:rsidP="00F208F4">
      <w:pPr>
        <w:ind w:left="0" w:firstLine="0"/>
        <w:rPr>
          <w:rFonts w:eastAsia="Times New Roman"/>
          <w:sz w:val="22"/>
          <w:lang w:val="en-US" w:eastAsia="es-ES"/>
        </w:rPr>
      </w:pPr>
    </w:p>
    <w:p w:rsidR="00F208F4" w:rsidRPr="002C75B8" w:rsidRDefault="00F208F4" w:rsidP="00F208F4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F208F4" w:rsidRPr="002C75B8" w:rsidRDefault="00F208F4" w:rsidP="00F208F4">
      <w:pPr>
        <w:ind w:left="0" w:firstLine="0"/>
        <w:rPr>
          <w:b/>
          <w:bCs/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Diagnosis: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CL: on clinical grounds, confirmation with microscopic examination of skin lesion sample</w:t>
      </w:r>
      <w:r>
        <w:rPr>
          <w:bCs/>
          <w:sz w:val="22"/>
          <w:lang w:val="en-US"/>
        </w:rPr>
        <w:t>.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VL: confirmation by microscopic examination of bone marrow or spleen aspirate</w:t>
      </w:r>
      <w:r>
        <w:rPr>
          <w:bCs/>
          <w:sz w:val="22"/>
          <w:lang w:val="en-US"/>
        </w:rPr>
        <w:t>.</w:t>
      </w:r>
    </w:p>
    <w:p w:rsidR="00F208F4" w:rsidRPr="002C75B8" w:rsidRDefault="00F208F4" w:rsidP="00F208F4">
      <w:pPr>
        <w:ind w:left="0" w:firstLine="0"/>
        <w:rPr>
          <w:b/>
          <w:bCs/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Treatment: </w:t>
      </w:r>
    </w:p>
    <w:p w:rsidR="00F208F4" w:rsidRPr="002C75B8" w:rsidRDefault="00F208F4" w:rsidP="00F208F4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VL: antimonials, 20 mg </w:t>
      </w:r>
      <w:proofErr w:type="spellStart"/>
      <w:r w:rsidRPr="002C75B8">
        <w:rPr>
          <w:bCs/>
          <w:sz w:val="22"/>
          <w:lang w:val="en-US"/>
        </w:rPr>
        <w:t>Sb</w:t>
      </w:r>
      <w:r>
        <w:rPr>
          <w:bCs/>
          <w:sz w:val="22"/>
          <w:vertAlign w:val="superscript"/>
          <w:lang w:val="en-US"/>
        </w:rPr>
        <w:t>v</w:t>
      </w:r>
      <w:proofErr w:type="spellEnd"/>
      <w:r w:rsidRPr="002C75B8">
        <w:rPr>
          <w:bCs/>
          <w:sz w:val="22"/>
          <w:lang w:val="en-US"/>
        </w:rPr>
        <w:t xml:space="preserve">/kg/day for 21-28 days. Cure rate is ~95%. </w:t>
      </w:r>
    </w:p>
    <w:p w:rsidR="00F208F4" w:rsidRPr="002C75B8" w:rsidRDefault="00F208F4" w:rsidP="00F208F4">
      <w:pPr>
        <w:ind w:left="0" w:firstLine="0"/>
        <w:rPr>
          <w:b/>
          <w:bCs/>
          <w:sz w:val="22"/>
          <w:lang w:val="en-US"/>
        </w:rPr>
      </w:pPr>
      <w:r w:rsidRPr="002C75B8">
        <w:rPr>
          <w:bCs/>
          <w:sz w:val="22"/>
          <w:lang w:val="en-US"/>
        </w:rPr>
        <w:t>CL: antimonials, intralesional or systemic</w:t>
      </w:r>
      <w:r>
        <w:rPr>
          <w:bCs/>
          <w:sz w:val="22"/>
          <w:lang w:val="en-US"/>
        </w:rPr>
        <w:t>,</w:t>
      </w:r>
      <w:r w:rsidRPr="002C75B8">
        <w:rPr>
          <w:bCs/>
          <w:sz w:val="22"/>
          <w:lang w:val="en-US"/>
        </w:rPr>
        <w:t xml:space="preserve"> 10-20 mg </w:t>
      </w:r>
      <w:proofErr w:type="spellStart"/>
      <w:r w:rsidRPr="002C75B8">
        <w:rPr>
          <w:bCs/>
          <w:sz w:val="22"/>
          <w:lang w:val="en-US"/>
        </w:rPr>
        <w:t>Sb</w:t>
      </w:r>
      <w:r>
        <w:rPr>
          <w:bCs/>
          <w:sz w:val="22"/>
          <w:vertAlign w:val="superscript"/>
          <w:lang w:val="en-US"/>
        </w:rPr>
        <w:t>v</w:t>
      </w:r>
      <w:proofErr w:type="spellEnd"/>
      <w:r w:rsidRPr="002C75B8">
        <w:rPr>
          <w:bCs/>
          <w:sz w:val="22"/>
          <w:lang w:val="en-US"/>
        </w:rPr>
        <w:t>/kg/day for 10-15 days.</w:t>
      </w:r>
      <w:r w:rsidRPr="002C75B8">
        <w:rPr>
          <w:b/>
          <w:bCs/>
          <w:sz w:val="22"/>
          <w:lang w:val="en-US"/>
        </w:rPr>
        <w:t xml:space="preserve"> </w:t>
      </w: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lastRenderedPageBreak/>
        <w:t xml:space="preserve">ACCESS TO CARE </w:t>
      </w:r>
    </w:p>
    <w:p w:rsidR="00F208F4" w:rsidRPr="002C75B8" w:rsidRDefault="00F208F4" w:rsidP="00F208F4">
      <w:pPr>
        <w:ind w:left="0" w:firstLine="0"/>
        <w:rPr>
          <w:sz w:val="22"/>
          <w:lang w:val="en-GB"/>
        </w:rPr>
      </w:pP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Medical care for leishmaniasis is not provided for free. Patients are charged a 2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5 USD registration fee. CL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as well as VL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can be diagnosed and treated at primary health care level. The Ministry of Health provided sufficient antimonials (Glucantime, </w:t>
      </w:r>
      <w:proofErr w:type="spellStart"/>
      <w:r>
        <w:rPr>
          <w:sz w:val="22"/>
          <w:lang w:val="en-US"/>
        </w:rPr>
        <w:t>Sanofi</w:t>
      </w:r>
      <w:proofErr w:type="spellEnd"/>
      <w:r w:rsidRPr="002C75B8">
        <w:rPr>
          <w:sz w:val="22"/>
          <w:lang w:val="en-US"/>
        </w:rPr>
        <w:t xml:space="preserve">) for all reported patients in 2007 and 2008. All patients are thought to have access to care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Tunisia</w:t>
          </w:r>
        </w:smartTag>
      </w:smartTag>
      <w:r w:rsidRPr="002C75B8">
        <w:rPr>
          <w:sz w:val="22"/>
          <w:lang w:val="en-US"/>
        </w:rPr>
        <w:t xml:space="preserve">. About 5% of VL patients and 2% of CL patients seek private care for diagnosis, but are referred to the public sector for treatment. </w:t>
      </w:r>
    </w:p>
    <w:p w:rsidR="00F208F4" w:rsidRDefault="00F208F4" w:rsidP="00F208F4">
      <w:pPr>
        <w:ind w:left="0" w:firstLine="0"/>
        <w:rPr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</w:p>
    <w:p w:rsidR="00F208F4" w:rsidRDefault="00F208F4" w:rsidP="00F208F4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F208F4" w:rsidRPr="002C75B8" w:rsidRDefault="00F208F4" w:rsidP="00F208F4">
      <w:pPr>
        <w:ind w:left="0" w:firstLine="0"/>
        <w:rPr>
          <w:sz w:val="22"/>
          <w:lang w:val="en-GB"/>
        </w:rPr>
      </w:pPr>
    </w:p>
    <w:p w:rsidR="00F208F4" w:rsidRPr="002C75B8" w:rsidRDefault="00F208F4" w:rsidP="00F208F4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No other drugs than meglumine antimoniate </w:t>
      </w:r>
      <w:r>
        <w:rPr>
          <w:sz w:val="22"/>
          <w:lang w:val="en-GB"/>
        </w:rPr>
        <w:t>are</w:t>
      </w:r>
      <w:r w:rsidRPr="002C75B8">
        <w:rPr>
          <w:sz w:val="22"/>
          <w:lang w:val="en-GB"/>
        </w:rPr>
        <w:t xml:space="preserve"> included in the National Essential Drug List for leishmaniasis. Drugs for leishmaniasis are not available </w:t>
      </w:r>
      <w:r>
        <w:rPr>
          <w:sz w:val="22"/>
          <w:lang w:val="en-GB"/>
        </w:rPr>
        <w:t>at</w:t>
      </w:r>
      <w:r w:rsidRPr="002C75B8">
        <w:rPr>
          <w:sz w:val="22"/>
          <w:lang w:val="en-GB"/>
        </w:rPr>
        <w:t xml:space="preserve"> private pharmacies. Glucantime (</w:t>
      </w:r>
      <w:proofErr w:type="spellStart"/>
      <w:r w:rsidRPr="002C75B8">
        <w:rPr>
          <w:sz w:val="22"/>
          <w:lang w:val="en-GB"/>
        </w:rPr>
        <w:t>Sanof</w:t>
      </w:r>
      <w:r>
        <w:rPr>
          <w:sz w:val="22"/>
          <w:lang w:val="en-GB"/>
        </w:rPr>
        <w:t>i</w:t>
      </w:r>
      <w:proofErr w:type="spellEnd"/>
      <w:r w:rsidRPr="002C75B8">
        <w:rPr>
          <w:sz w:val="22"/>
          <w:lang w:val="en-GB"/>
        </w:rPr>
        <w:t>) is the only drug for leishmaniasis</w:t>
      </w:r>
      <w:r>
        <w:rPr>
          <w:sz w:val="22"/>
          <w:lang w:val="en-GB"/>
        </w:rPr>
        <w:t xml:space="preserve"> that is</w:t>
      </w:r>
      <w:r w:rsidRPr="002C75B8">
        <w:rPr>
          <w:sz w:val="22"/>
          <w:lang w:val="en-GB"/>
        </w:rPr>
        <w:t xml:space="preserve"> registered in Tunisia.  </w:t>
      </w:r>
    </w:p>
    <w:p w:rsidR="00F208F4" w:rsidRPr="002C75B8" w:rsidRDefault="00F208F4" w:rsidP="00F208F4">
      <w:pPr>
        <w:ind w:left="0" w:firstLine="0"/>
        <w:rPr>
          <w:sz w:val="22"/>
          <w:lang w:val="en-US"/>
        </w:rPr>
      </w:pPr>
    </w:p>
    <w:p w:rsidR="00F208F4" w:rsidRPr="002C75B8" w:rsidRDefault="00F208F4" w:rsidP="00F208F4">
      <w:pPr>
        <w:ind w:left="0" w:firstLine="0"/>
        <w:rPr>
          <w:sz w:val="22"/>
          <w:lang w:val="en-GB"/>
        </w:rPr>
      </w:pPr>
    </w:p>
    <w:p w:rsidR="00F208F4" w:rsidRDefault="00F208F4" w:rsidP="00F208F4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F208F4" w:rsidRPr="002D7A89" w:rsidRDefault="00F208F4" w:rsidP="00F208F4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  <w:sz w:val="22"/>
          <w:lang w:val="en-GB"/>
        </w:rPr>
      </w:pPr>
      <w:r w:rsidRPr="002D7A89">
        <w:rPr>
          <w:rFonts w:eastAsia="+mn-ea"/>
          <w:color w:val="000000"/>
          <w:kern w:val="24"/>
          <w:sz w:val="22"/>
          <w:lang w:val="en-US" w:eastAsia="es-ES"/>
        </w:rPr>
        <w:t xml:space="preserve">Dr </w:t>
      </w:r>
      <w:proofErr w:type="spellStart"/>
      <w:r w:rsidRPr="002D7A89">
        <w:rPr>
          <w:rFonts w:eastAsia="+mn-ea"/>
          <w:color w:val="000000"/>
          <w:kern w:val="24"/>
          <w:sz w:val="22"/>
          <w:lang w:val="en-US" w:eastAsia="es-ES"/>
        </w:rPr>
        <w:t>Mondher</w:t>
      </w:r>
      <w:proofErr w:type="spellEnd"/>
      <w:r w:rsidRPr="002D7A89"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  <w:proofErr w:type="spellStart"/>
      <w:r w:rsidRPr="002D7A89">
        <w:rPr>
          <w:rFonts w:eastAsia="+mn-ea"/>
          <w:color w:val="000000"/>
          <w:kern w:val="24"/>
          <w:sz w:val="22"/>
          <w:lang w:val="en-US" w:eastAsia="es-ES"/>
        </w:rPr>
        <w:t>Bejaoui</w:t>
      </w:r>
      <w:proofErr w:type="spellEnd"/>
      <w:r w:rsidRPr="002D7A89">
        <w:rPr>
          <w:rFonts w:eastAsia="+mn-ea"/>
          <w:color w:val="000000"/>
          <w:kern w:val="24"/>
          <w:sz w:val="22"/>
          <w:lang w:val="en-US" w:eastAsia="es-ES"/>
        </w:rPr>
        <w:t xml:space="preserve"> and </w:t>
      </w:r>
      <w:proofErr w:type="spellStart"/>
      <w:r w:rsidRPr="002D7A89">
        <w:rPr>
          <w:rFonts w:eastAsia="+mn-ea"/>
          <w:color w:val="000000"/>
          <w:kern w:val="24"/>
          <w:sz w:val="22"/>
          <w:lang w:val="en-US" w:eastAsia="es-ES"/>
        </w:rPr>
        <w:t>Melle</w:t>
      </w:r>
      <w:proofErr w:type="spellEnd"/>
      <w:r w:rsidRPr="002D7A89"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  <w:proofErr w:type="spellStart"/>
      <w:r w:rsidRPr="002D7A89">
        <w:rPr>
          <w:rFonts w:eastAsia="+mn-ea"/>
          <w:color w:val="000000"/>
          <w:kern w:val="24"/>
          <w:sz w:val="22"/>
          <w:lang w:val="en-US" w:eastAsia="es-ES"/>
        </w:rPr>
        <w:t>Meriem</w:t>
      </w:r>
      <w:proofErr w:type="spellEnd"/>
      <w:r w:rsidRPr="002D7A89"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  <w:proofErr w:type="spellStart"/>
      <w:r w:rsidRPr="002D7A89">
        <w:rPr>
          <w:rFonts w:eastAsia="+mn-ea"/>
          <w:color w:val="000000"/>
          <w:kern w:val="24"/>
          <w:sz w:val="22"/>
          <w:lang w:val="en-US" w:eastAsia="es-ES"/>
        </w:rPr>
        <w:t>Sekrafi</w:t>
      </w:r>
      <w:proofErr w:type="spellEnd"/>
      <w:r w:rsidRPr="002D7A89">
        <w:rPr>
          <w:rFonts w:eastAsia="+mn-ea"/>
          <w:color w:val="000000"/>
          <w:kern w:val="24"/>
          <w:sz w:val="22"/>
          <w:lang w:val="en-US" w:eastAsia="es-ES"/>
        </w:rPr>
        <w:t xml:space="preserve">. </w:t>
      </w:r>
      <w:r w:rsidRPr="002D7A89">
        <w:rPr>
          <w:sz w:val="22"/>
          <w:lang w:val="fr-FR"/>
        </w:rPr>
        <w:t xml:space="preserve">National Programme for Leishmaniasis, Direction des </w:t>
      </w:r>
      <w:proofErr w:type="spellStart"/>
      <w:r w:rsidRPr="002D7A89">
        <w:rPr>
          <w:sz w:val="22"/>
          <w:lang w:val="fr-FR"/>
        </w:rPr>
        <w:t>Primary</w:t>
      </w:r>
      <w:proofErr w:type="spellEnd"/>
      <w:r w:rsidRPr="002D7A89">
        <w:rPr>
          <w:sz w:val="22"/>
          <w:lang w:val="fr-FR"/>
        </w:rPr>
        <w:t xml:space="preserve"> </w:t>
      </w:r>
      <w:proofErr w:type="spellStart"/>
      <w:r w:rsidRPr="002D7A89">
        <w:rPr>
          <w:sz w:val="22"/>
          <w:lang w:val="fr-FR"/>
        </w:rPr>
        <w:t>Health</w:t>
      </w:r>
      <w:proofErr w:type="spellEnd"/>
      <w:r w:rsidRPr="002D7A89">
        <w:rPr>
          <w:sz w:val="22"/>
          <w:lang w:val="fr-FR"/>
        </w:rPr>
        <w:t xml:space="preserve"> Care, Ministère de la Santé publique. </w:t>
      </w:r>
      <w:r w:rsidRPr="002D7A89">
        <w:rPr>
          <w:i/>
          <w:iCs/>
          <w:sz w:val="22"/>
          <w:lang w:val="en-GB"/>
        </w:rPr>
        <w:t xml:space="preserve">WHO Consultative meeting on Cutaneous Leishmaniasis in EMRO countries, </w:t>
      </w:r>
      <w:smartTag w:uri="urn:schemas-microsoft-com:office:smarttags" w:element="City">
        <w:smartTag w:uri="urn:schemas-microsoft-com:office:smarttags" w:element="place">
          <w:r w:rsidRPr="002D7A89">
            <w:rPr>
              <w:i/>
              <w:iCs/>
              <w:sz w:val="22"/>
              <w:lang w:val="en-GB"/>
            </w:rPr>
            <w:t>Geneva</w:t>
          </w:r>
        </w:smartTag>
      </w:smartTag>
      <w:r w:rsidRPr="002D7A89">
        <w:rPr>
          <w:i/>
          <w:iCs/>
          <w:sz w:val="22"/>
          <w:lang w:val="en-GB"/>
        </w:rPr>
        <w:t>, 30 April to 2 May 2007</w:t>
      </w:r>
      <w:r>
        <w:rPr>
          <w:i/>
          <w:iCs/>
          <w:sz w:val="22"/>
          <w:lang w:val="en-GB"/>
        </w:rPr>
        <w:t>.</w:t>
      </w:r>
    </w:p>
    <w:p w:rsidR="00F208F4" w:rsidRPr="002D7A89" w:rsidRDefault="00F208F4" w:rsidP="00F208F4">
      <w:pPr>
        <w:autoSpaceDE w:val="0"/>
        <w:autoSpaceDN w:val="0"/>
        <w:adjustRightInd w:val="0"/>
        <w:rPr>
          <w:color w:val="FF0000"/>
          <w:sz w:val="22"/>
          <w:lang w:val="en-GB"/>
        </w:rPr>
      </w:pPr>
    </w:p>
    <w:p w:rsidR="00F208F4" w:rsidRPr="00F208F4" w:rsidRDefault="00F208F4" w:rsidP="00F208F4">
      <w:pPr>
        <w:spacing w:line="360" w:lineRule="auto"/>
        <w:ind w:left="0" w:firstLine="0"/>
        <w:rPr>
          <w:sz w:val="22"/>
          <w:lang w:val="en-GB"/>
        </w:rPr>
      </w:pPr>
    </w:p>
    <w:p w:rsidR="00F208F4" w:rsidRPr="00F208F4" w:rsidRDefault="00F208F4" w:rsidP="00F208F4">
      <w:pPr>
        <w:autoSpaceDE w:val="0"/>
        <w:autoSpaceDN w:val="0"/>
        <w:adjustRightInd w:val="0"/>
        <w:ind w:left="0" w:firstLine="0"/>
        <w:rPr>
          <w:rFonts w:eastAsia="Times New Roman"/>
          <w:bCs/>
          <w:sz w:val="22"/>
          <w:lang w:val="en-US" w:eastAsia="es-ES"/>
        </w:rPr>
      </w:pPr>
      <w:r w:rsidRPr="00F208F4">
        <w:rPr>
          <w:rFonts w:eastAsia="Times New Roman"/>
          <w:bCs/>
          <w:sz w:val="22"/>
          <w:lang w:val="en-US" w:eastAsia="es-ES"/>
        </w:rPr>
        <w:t xml:space="preserve">1. </w:t>
      </w:r>
      <w:hyperlink r:id="rId12" w:history="1">
        <w:proofErr w:type="spellStart"/>
        <w:r w:rsidRPr="00F208F4">
          <w:rPr>
            <w:rFonts w:eastAsia="Times New Roman"/>
            <w:bCs/>
            <w:sz w:val="22"/>
            <w:lang w:val="en-US" w:eastAsia="es-ES"/>
          </w:rPr>
          <w:t>Aoun</w:t>
        </w:r>
        <w:proofErr w:type="spellEnd"/>
        <w:r w:rsidRPr="00F208F4">
          <w:rPr>
            <w:rFonts w:eastAsia="Times New Roman"/>
            <w:bCs/>
            <w:sz w:val="22"/>
            <w:lang w:val="en-US" w:eastAsia="es-ES"/>
          </w:rPr>
          <w:t xml:space="preserve"> K</w:t>
        </w:r>
      </w:hyperlink>
      <w:r w:rsidRPr="00F208F4">
        <w:rPr>
          <w:rFonts w:eastAsia="Times New Roman"/>
          <w:bCs/>
          <w:sz w:val="22"/>
          <w:lang w:val="en-US" w:eastAsia="es-ES"/>
        </w:rPr>
        <w:t xml:space="preserve">, </w:t>
      </w:r>
      <w:hyperlink r:id="rId13" w:history="1">
        <w:proofErr w:type="spellStart"/>
        <w:r w:rsidRPr="00F208F4">
          <w:rPr>
            <w:rFonts w:eastAsia="Times New Roman"/>
            <w:bCs/>
            <w:sz w:val="22"/>
            <w:lang w:val="en-US" w:eastAsia="es-ES"/>
          </w:rPr>
          <w:t>Jeddi</w:t>
        </w:r>
        <w:proofErr w:type="spellEnd"/>
        <w:r w:rsidRPr="00F208F4">
          <w:rPr>
            <w:rFonts w:eastAsia="Times New Roman"/>
            <w:bCs/>
            <w:sz w:val="22"/>
            <w:lang w:val="en-US" w:eastAsia="es-ES"/>
          </w:rPr>
          <w:t xml:space="preserve"> F</w:t>
        </w:r>
      </w:hyperlink>
      <w:r w:rsidRPr="00F208F4">
        <w:rPr>
          <w:rFonts w:eastAsia="Times New Roman"/>
          <w:bCs/>
          <w:sz w:val="22"/>
          <w:lang w:val="en-US" w:eastAsia="es-ES"/>
        </w:rPr>
        <w:t xml:space="preserve">, </w:t>
      </w:r>
      <w:hyperlink r:id="rId14" w:history="1">
        <w:proofErr w:type="spellStart"/>
        <w:r w:rsidRPr="00F208F4">
          <w:rPr>
            <w:rFonts w:eastAsia="Times New Roman"/>
            <w:bCs/>
            <w:sz w:val="22"/>
            <w:lang w:val="en-US" w:eastAsia="es-ES"/>
          </w:rPr>
          <w:t>Amri</w:t>
        </w:r>
        <w:proofErr w:type="spellEnd"/>
        <w:r w:rsidRPr="00F208F4">
          <w:rPr>
            <w:rFonts w:eastAsia="Times New Roman"/>
            <w:bCs/>
            <w:sz w:val="22"/>
            <w:lang w:val="en-US" w:eastAsia="es-ES"/>
          </w:rPr>
          <w:t xml:space="preserve"> F</w:t>
        </w:r>
      </w:hyperlink>
      <w:r w:rsidRPr="00F208F4">
        <w:rPr>
          <w:rFonts w:eastAsia="Times New Roman"/>
          <w:bCs/>
          <w:sz w:val="22"/>
          <w:lang w:val="en-US" w:eastAsia="es-ES"/>
        </w:rPr>
        <w:t xml:space="preserve">, </w:t>
      </w:r>
      <w:hyperlink r:id="rId15" w:history="1">
        <w:proofErr w:type="spellStart"/>
        <w:r w:rsidRPr="00F208F4">
          <w:rPr>
            <w:rFonts w:eastAsia="Times New Roman"/>
            <w:bCs/>
            <w:sz w:val="22"/>
            <w:lang w:val="en-US" w:eastAsia="es-ES"/>
          </w:rPr>
          <w:t>Ghrab</w:t>
        </w:r>
        <w:proofErr w:type="spellEnd"/>
        <w:r w:rsidRPr="00F208F4">
          <w:rPr>
            <w:rFonts w:eastAsia="Times New Roman"/>
            <w:bCs/>
            <w:sz w:val="22"/>
            <w:lang w:val="en-US" w:eastAsia="es-ES"/>
          </w:rPr>
          <w:t xml:space="preserve"> J</w:t>
        </w:r>
      </w:hyperlink>
      <w:r w:rsidRPr="00F208F4">
        <w:rPr>
          <w:rFonts w:eastAsia="Times New Roman"/>
          <w:bCs/>
          <w:sz w:val="22"/>
          <w:lang w:val="en-US" w:eastAsia="es-ES"/>
        </w:rPr>
        <w:t xml:space="preserve">, </w:t>
      </w:r>
      <w:hyperlink r:id="rId16" w:history="1">
        <w:proofErr w:type="spellStart"/>
        <w:r w:rsidRPr="00F208F4">
          <w:rPr>
            <w:rFonts w:eastAsia="Times New Roman"/>
            <w:bCs/>
            <w:sz w:val="22"/>
            <w:lang w:val="en-US" w:eastAsia="es-ES"/>
          </w:rPr>
          <w:t>Bouratbine</w:t>
        </w:r>
        <w:proofErr w:type="spellEnd"/>
        <w:r w:rsidRPr="00F208F4">
          <w:rPr>
            <w:rFonts w:eastAsia="Times New Roman"/>
            <w:bCs/>
            <w:sz w:val="22"/>
            <w:lang w:val="en-US" w:eastAsia="es-ES"/>
          </w:rPr>
          <w:t xml:space="preserve"> A</w:t>
        </w:r>
      </w:hyperlink>
      <w:r w:rsidRPr="00F208F4">
        <w:rPr>
          <w:rFonts w:eastAsia="Times New Roman"/>
          <w:bCs/>
          <w:sz w:val="22"/>
          <w:lang w:val="en-US" w:eastAsia="es-ES"/>
        </w:rPr>
        <w:t xml:space="preserve"> (2009). </w:t>
      </w:r>
      <w:proofErr w:type="gramStart"/>
      <w:r w:rsidRPr="00F208F4">
        <w:rPr>
          <w:rFonts w:eastAsia="Times New Roman"/>
          <w:bCs/>
          <w:sz w:val="22"/>
          <w:lang w:val="en-US" w:eastAsia="es-ES"/>
        </w:rPr>
        <w:t>Current epidemiological data on visceral leishmaniasis in Tunisia.</w:t>
      </w:r>
      <w:proofErr w:type="gramEnd"/>
      <w:r w:rsidRPr="00F208F4">
        <w:rPr>
          <w:rFonts w:eastAsia="Times New Roman"/>
          <w:bCs/>
          <w:sz w:val="22"/>
          <w:lang w:val="en-US" w:eastAsia="es-ES"/>
        </w:rPr>
        <w:t xml:space="preserve"> </w:t>
      </w:r>
      <w:hyperlink r:id="rId17" w:tooltip="Médecine et maladies infectieuses." w:history="1">
        <w:r w:rsidRPr="00F208F4">
          <w:rPr>
            <w:rFonts w:eastAsia="Times New Roman"/>
            <w:bCs/>
            <w:sz w:val="22"/>
            <w:lang w:val="en-US" w:eastAsia="es-ES"/>
          </w:rPr>
          <w:t>Med Mal Infect</w:t>
        </w:r>
      </w:hyperlink>
      <w:r w:rsidRPr="00F208F4">
        <w:rPr>
          <w:rFonts w:eastAsia="Times New Roman"/>
          <w:bCs/>
          <w:sz w:val="22"/>
          <w:lang w:val="en-US" w:eastAsia="es-ES"/>
        </w:rPr>
        <w:t xml:space="preserve"> 39(10):775-9. </w:t>
      </w:r>
    </w:p>
    <w:p w:rsidR="000D562A" w:rsidRDefault="000D562A" w:rsidP="00F208F4">
      <w:pPr>
        <w:autoSpaceDE w:val="0"/>
        <w:autoSpaceDN w:val="0"/>
        <w:adjustRightInd w:val="0"/>
        <w:ind w:left="0" w:firstLine="0"/>
        <w:rPr>
          <w:rFonts w:eastAsia="Times New Roman"/>
          <w:bCs/>
          <w:sz w:val="22"/>
          <w:lang w:val="en-US" w:eastAsia="es-ES"/>
        </w:rPr>
      </w:pPr>
    </w:p>
    <w:p w:rsidR="00F208F4" w:rsidRPr="00F208F4" w:rsidRDefault="00F208F4" w:rsidP="00F208F4">
      <w:pPr>
        <w:autoSpaceDE w:val="0"/>
        <w:autoSpaceDN w:val="0"/>
        <w:adjustRightInd w:val="0"/>
        <w:ind w:left="0" w:firstLine="0"/>
        <w:rPr>
          <w:rFonts w:eastAsia="Times New Roman"/>
          <w:bCs/>
          <w:sz w:val="22"/>
          <w:lang w:val="en-US" w:eastAsia="es-ES"/>
        </w:rPr>
      </w:pPr>
      <w:r w:rsidRPr="00F208F4">
        <w:rPr>
          <w:rFonts w:eastAsia="Times New Roman"/>
          <w:bCs/>
          <w:sz w:val="22"/>
          <w:lang w:val="en-US" w:eastAsia="es-ES"/>
        </w:rPr>
        <w:t xml:space="preserve">2. </w:t>
      </w:r>
      <w:proofErr w:type="spellStart"/>
      <w:r w:rsidRPr="00F208F4">
        <w:rPr>
          <w:rFonts w:eastAsia="Times New Roman"/>
          <w:bCs/>
          <w:sz w:val="22"/>
          <w:lang w:val="en-US" w:eastAsia="es-ES"/>
        </w:rPr>
        <w:t>Pousse</w:t>
      </w:r>
      <w:proofErr w:type="spellEnd"/>
      <w:r w:rsidRPr="00F208F4">
        <w:rPr>
          <w:rFonts w:eastAsia="Times New Roman"/>
          <w:bCs/>
          <w:sz w:val="22"/>
          <w:lang w:val="en-US" w:eastAsia="es-ES"/>
        </w:rPr>
        <w:t xml:space="preserve"> H, </w:t>
      </w:r>
      <w:proofErr w:type="spellStart"/>
      <w:r w:rsidRPr="00F208F4">
        <w:rPr>
          <w:rFonts w:eastAsia="Times New Roman"/>
          <w:bCs/>
          <w:sz w:val="22"/>
          <w:lang w:val="en-US" w:eastAsia="es-ES"/>
        </w:rPr>
        <w:t>Besbes</w:t>
      </w:r>
      <w:proofErr w:type="spellEnd"/>
      <w:r w:rsidRPr="00F208F4">
        <w:rPr>
          <w:rFonts w:eastAsia="Times New Roman"/>
          <w:bCs/>
          <w:sz w:val="22"/>
          <w:lang w:val="en-US" w:eastAsia="es-ES"/>
        </w:rPr>
        <w:t xml:space="preserve"> A, Ben Said M, </w:t>
      </w:r>
      <w:proofErr w:type="spellStart"/>
      <w:r w:rsidRPr="00F208F4">
        <w:rPr>
          <w:rFonts w:eastAsia="Times New Roman"/>
          <w:bCs/>
          <w:sz w:val="22"/>
          <w:lang w:val="en-US" w:eastAsia="es-ES"/>
        </w:rPr>
        <w:t>Ghenimi</w:t>
      </w:r>
      <w:proofErr w:type="spellEnd"/>
      <w:r w:rsidRPr="00F208F4">
        <w:rPr>
          <w:rFonts w:eastAsia="Times New Roman"/>
          <w:bCs/>
          <w:sz w:val="22"/>
          <w:lang w:val="en-US" w:eastAsia="es-ES"/>
        </w:rPr>
        <w:t xml:space="preserve"> L, </w:t>
      </w:r>
      <w:proofErr w:type="spellStart"/>
      <w:r w:rsidRPr="00F208F4">
        <w:rPr>
          <w:rFonts w:eastAsia="Times New Roman"/>
          <w:bCs/>
          <w:sz w:val="22"/>
          <w:lang w:val="en-US" w:eastAsia="es-ES"/>
        </w:rPr>
        <w:t>Kharrat</w:t>
      </w:r>
      <w:proofErr w:type="spellEnd"/>
      <w:r w:rsidRPr="00F208F4">
        <w:rPr>
          <w:rFonts w:eastAsia="Times New Roman"/>
          <w:bCs/>
          <w:sz w:val="22"/>
          <w:lang w:val="en-US" w:eastAsia="es-ES"/>
        </w:rPr>
        <w:t xml:space="preserve"> H (1995). </w:t>
      </w:r>
      <w:proofErr w:type="gramStart"/>
      <w:r w:rsidRPr="00F208F4">
        <w:rPr>
          <w:rFonts w:eastAsia="Times New Roman"/>
          <w:bCs/>
          <w:sz w:val="22"/>
          <w:lang w:val="en-US" w:eastAsia="es-ES"/>
        </w:rPr>
        <w:t>Epidemiology of human visceral leishmaniasis in Tunisia.</w:t>
      </w:r>
      <w:proofErr w:type="gramEnd"/>
      <w:r w:rsidRPr="00F208F4">
        <w:rPr>
          <w:rFonts w:eastAsia="Times New Roman"/>
          <w:bCs/>
          <w:sz w:val="22"/>
          <w:lang w:val="en-US" w:eastAsia="es-ES"/>
        </w:rPr>
        <w:t xml:space="preserve"> </w:t>
      </w:r>
      <w:r w:rsidRPr="00F208F4">
        <w:rPr>
          <w:rFonts w:eastAsia="Times New Roman"/>
          <w:bCs/>
          <w:iCs/>
          <w:sz w:val="22"/>
          <w:lang w:val="en-US" w:eastAsia="es-ES"/>
        </w:rPr>
        <w:t xml:space="preserve">J </w:t>
      </w:r>
      <w:proofErr w:type="spellStart"/>
      <w:r w:rsidRPr="00F208F4">
        <w:rPr>
          <w:rFonts w:eastAsia="Times New Roman"/>
          <w:bCs/>
          <w:iCs/>
          <w:sz w:val="22"/>
          <w:lang w:val="en-US" w:eastAsia="es-ES"/>
        </w:rPr>
        <w:t>Trop</w:t>
      </w:r>
      <w:proofErr w:type="spellEnd"/>
      <w:r w:rsidRPr="00F208F4">
        <w:rPr>
          <w:rFonts w:eastAsia="Times New Roman"/>
          <w:bCs/>
          <w:iCs/>
          <w:sz w:val="22"/>
          <w:lang w:val="en-US" w:eastAsia="es-ES"/>
        </w:rPr>
        <w:t xml:space="preserve"> </w:t>
      </w:r>
      <w:proofErr w:type="spellStart"/>
      <w:r w:rsidRPr="00F208F4">
        <w:rPr>
          <w:rFonts w:eastAsia="Times New Roman"/>
          <w:bCs/>
          <w:iCs/>
          <w:sz w:val="22"/>
          <w:lang w:val="en-US" w:eastAsia="es-ES"/>
        </w:rPr>
        <w:t>Pediatr</w:t>
      </w:r>
      <w:proofErr w:type="spellEnd"/>
      <w:r w:rsidRPr="00F208F4">
        <w:rPr>
          <w:rFonts w:eastAsia="Times New Roman"/>
          <w:bCs/>
          <w:iCs/>
          <w:sz w:val="22"/>
          <w:lang w:val="en-US" w:eastAsia="es-ES"/>
        </w:rPr>
        <w:t xml:space="preserve"> 41: </w:t>
      </w:r>
      <w:r w:rsidRPr="00F208F4">
        <w:rPr>
          <w:rFonts w:eastAsia="Times New Roman"/>
          <w:bCs/>
          <w:sz w:val="22"/>
          <w:lang w:val="en-US" w:eastAsia="es-ES"/>
        </w:rPr>
        <w:t>191–192.</w:t>
      </w:r>
    </w:p>
    <w:p w:rsidR="000D562A" w:rsidRDefault="000D562A" w:rsidP="00F208F4">
      <w:pPr>
        <w:autoSpaceDE w:val="0"/>
        <w:autoSpaceDN w:val="0"/>
        <w:adjustRightInd w:val="0"/>
        <w:ind w:left="0" w:firstLine="0"/>
        <w:rPr>
          <w:rStyle w:val="apple-style-span"/>
          <w:sz w:val="22"/>
          <w:lang w:val="en-US"/>
        </w:rPr>
      </w:pPr>
    </w:p>
    <w:p w:rsidR="00F208F4" w:rsidRPr="00F208F4" w:rsidRDefault="00F208F4" w:rsidP="00F208F4">
      <w:pPr>
        <w:autoSpaceDE w:val="0"/>
        <w:autoSpaceDN w:val="0"/>
        <w:adjustRightInd w:val="0"/>
        <w:ind w:left="0" w:firstLine="0"/>
        <w:rPr>
          <w:sz w:val="22"/>
          <w:lang w:val="en-GB"/>
        </w:rPr>
      </w:pPr>
      <w:r w:rsidRPr="00F208F4">
        <w:rPr>
          <w:rStyle w:val="apple-style-span"/>
          <w:sz w:val="22"/>
          <w:lang w:val="en-US"/>
        </w:rPr>
        <w:t xml:space="preserve">3. </w:t>
      </w:r>
      <w:hyperlink r:id="rId18" w:history="1">
        <w:r w:rsidRPr="00F208F4">
          <w:rPr>
            <w:rStyle w:val="Hyperlink"/>
            <w:color w:val="auto"/>
            <w:sz w:val="22"/>
            <w:u w:val="none"/>
            <w:lang w:val="nl-NL"/>
          </w:rPr>
          <w:t>Chaffai M</w:t>
        </w:r>
      </w:hyperlink>
      <w:r w:rsidRPr="00F208F4">
        <w:rPr>
          <w:rStyle w:val="apple-style-span"/>
          <w:sz w:val="22"/>
          <w:lang w:val="nl-NL"/>
        </w:rPr>
        <w:t>,</w:t>
      </w:r>
      <w:r w:rsidRPr="00F208F4">
        <w:rPr>
          <w:rStyle w:val="apple-converted-space"/>
          <w:sz w:val="22"/>
          <w:lang w:val="nl-NL"/>
        </w:rPr>
        <w:t xml:space="preserve"> </w:t>
      </w:r>
      <w:hyperlink r:id="rId19" w:history="1">
        <w:r w:rsidRPr="00F208F4">
          <w:rPr>
            <w:rStyle w:val="Hyperlink"/>
            <w:color w:val="auto"/>
            <w:sz w:val="22"/>
            <w:u w:val="none"/>
            <w:lang w:val="nl-NL"/>
          </w:rPr>
          <w:t>Ben Rachid MS</w:t>
        </w:r>
      </w:hyperlink>
      <w:r w:rsidRPr="00F208F4">
        <w:rPr>
          <w:rStyle w:val="apple-style-span"/>
          <w:sz w:val="22"/>
          <w:lang w:val="nl-NL"/>
        </w:rPr>
        <w:t>,</w:t>
      </w:r>
      <w:r w:rsidRPr="00F208F4">
        <w:rPr>
          <w:rStyle w:val="apple-converted-space"/>
          <w:sz w:val="22"/>
          <w:lang w:val="nl-NL"/>
        </w:rPr>
        <w:t xml:space="preserve"> </w:t>
      </w:r>
      <w:hyperlink r:id="rId20" w:history="1">
        <w:r w:rsidRPr="00F208F4">
          <w:rPr>
            <w:rStyle w:val="Hyperlink"/>
            <w:color w:val="auto"/>
            <w:sz w:val="22"/>
            <w:u w:val="none"/>
            <w:lang w:val="nl-NL"/>
          </w:rPr>
          <w:t>Ben-Ismail R</w:t>
        </w:r>
      </w:hyperlink>
      <w:r w:rsidRPr="00F208F4">
        <w:rPr>
          <w:rStyle w:val="apple-converted-space"/>
          <w:sz w:val="22"/>
        </w:rPr>
        <w:t xml:space="preserve">, </w:t>
      </w:r>
      <w:hyperlink r:id="rId21" w:history="1">
        <w:r w:rsidRPr="00F208F4">
          <w:rPr>
            <w:rStyle w:val="Hyperlink"/>
            <w:color w:val="auto"/>
            <w:sz w:val="22"/>
            <w:u w:val="none"/>
            <w:lang w:val="nl-NL"/>
          </w:rPr>
          <w:t>Ben Osman A</w:t>
        </w:r>
      </w:hyperlink>
      <w:r w:rsidRPr="00F208F4">
        <w:rPr>
          <w:rStyle w:val="apple-style-span"/>
          <w:sz w:val="22"/>
          <w:lang w:val="nl-NL"/>
        </w:rPr>
        <w:t>,</w:t>
      </w:r>
      <w:r w:rsidRPr="00F208F4">
        <w:rPr>
          <w:rStyle w:val="apple-converted-space"/>
          <w:sz w:val="22"/>
          <w:lang w:val="nl-NL"/>
        </w:rPr>
        <w:t xml:space="preserve"> </w:t>
      </w:r>
      <w:hyperlink r:id="rId22" w:history="1">
        <w:r w:rsidRPr="00F208F4">
          <w:rPr>
            <w:rStyle w:val="Hyperlink"/>
            <w:color w:val="auto"/>
            <w:sz w:val="22"/>
            <w:u w:val="none"/>
            <w:lang w:val="nl-NL"/>
          </w:rPr>
          <w:t>Makni N</w:t>
        </w:r>
      </w:hyperlink>
      <w:r w:rsidRPr="00F208F4">
        <w:rPr>
          <w:rStyle w:val="apple-style-span"/>
          <w:sz w:val="22"/>
        </w:rPr>
        <w:t xml:space="preserve"> (1988)</w:t>
      </w:r>
      <w:r w:rsidRPr="00F208F4">
        <w:rPr>
          <w:rStyle w:val="apple-style-span"/>
          <w:sz w:val="22"/>
          <w:lang w:val="nl-NL"/>
        </w:rPr>
        <w:t xml:space="preserve">. </w:t>
      </w:r>
      <w:proofErr w:type="spellStart"/>
      <w:r w:rsidRPr="00F208F4">
        <w:rPr>
          <w:sz w:val="22"/>
          <w:lang w:val="en-US"/>
        </w:rPr>
        <w:t>Clinico</w:t>
      </w:r>
      <w:proofErr w:type="spellEnd"/>
      <w:r w:rsidRPr="00F208F4">
        <w:rPr>
          <w:sz w:val="22"/>
          <w:lang w:val="en-US"/>
        </w:rPr>
        <w:t xml:space="preserve">-epidemiologic forms of cutaneous leishmaniasis in Tunisia. </w:t>
      </w:r>
      <w:hyperlink r:id="rId23" w:tooltip="Annales de dermatologie et de vénéréologie." w:history="1">
        <w:r w:rsidRPr="00F208F4">
          <w:rPr>
            <w:rStyle w:val="Hyperlink"/>
            <w:color w:val="auto"/>
            <w:sz w:val="22"/>
            <w:u w:val="none"/>
            <w:lang w:val="en-GB"/>
          </w:rPr>
          <w:t xml:space="preserve">Ann </w:t>
        </w:r>
        <w:proofErr w:type="spellStart"/>
        <w:r w:rsidRPr="00F208F4">
          <w:rPr>
            <w:rStyle w:val="Hyperlink"/>
            <w:color w:val="auto"/>
            <w:sz w:val="22"/>
            <w:u w:val="none"/>
            <w:lang w:val="en-GB"/>
          </w:rPr>
          <w:t>Dermatol</w:t>
        </w:r>
        <w:proofErr w:type="spellEnd"/>
        <w:r w:rsidRPr="00F208F4">
          <w:rPr>
            <w:rStyle w:val="Hyperlink"/>
            <w:color w:val="auto"/>
            <w:sz w:val="22"/>
            <w:u w:val="none"/>
            <w:lang w:val="en-GB"/>
          </w:rPr>
          <w:t xml:space="preserve"> </w:t>
        </w:r>
        <w:proofErr w:type="spellStart"/>
        <w:r w:rsidRPr="00F208F4">
          <w:rPr>
            <w:rStyle w:val="Hyperlink"/>
            <w:color w:val="auto"/>
            <w:sz w:val="22"/>
            <w:u w:val="none"/>
            <w:lang w:val="en-GB"/>
          </w:rPr>
          <w:t>Venereol</w:t>
        </w:r>
        <w:proofErr w:type="spellEnd"/>
        <w:r w:rsidRPr="00F208F4">
          <w:rPr>
            <w:rStyle w:val="Hyperlink"/>
            <w:color w:val="auto"/>
            <w:sz w:val="22"/>
            <w:u w:val="none"/>
            <w:lang w:val="en-GB"/>
          </w:rPr>
          <w:t>.</w:t>
        </w:r>
      </w:hyperlink>
      <w:r w:rsidRPr="00F208F4">
        <w:rPr>
          <w:sz w:val="22"/>
          <w:lang w:val="en-GB"/>
        </w:rPr>
        <w:t xml:space="preserve"> 115(12):1255-60.</w:t>
      </w:r>
    </w:p>
    <w:p w:rsidR="000D562A" w:rsidRDefault="000D562A" w:rsidP="00F208F4">
      <w:pPr>
        <w:autoSpaceDE w:val="0"/>
        <w:autoSpaceDN w:val="0"/>
        <w:adjustRightInd w:val="0"/>
        <w:ind w:left="0" w:firstLine="0"/>
        <w:rPr>
          <w:rFonts w:eastAsia="Times New Roman"/>
          <w:sz w:val="22"/>
          <w:lang w:val="en-US" w:eastAsia="es-ES"/>
        </w:rPr>
      </w:pPr>
    </w:p>
    <w:p w:rsidR="00F208F4" w:rsidRPr="00F208F4" w:rsidRDefault="00F208F4" w:rsidP="00F208F4">
      <w:pPr>
        <w:autoSpaceDE w:val="0"/>
        <w:autoSpaceDN w:val="0"/>
        <w:adjustRightInd w:val="0"/>
        <w:ind w:left="0" w:firstLine="0"/>
        <w:rPr>
          <w:rFonts w:eastAsia="Times New Roman"/>
          <w:sz w:val="22"/>
          <w:lang w:val="en-US" w:eastAsia="es-ES"/>
        </w:rPr>
      </w:pPr>
      <w:r w:rsidRPr="00F208F4">
        <w:rPr>
          <w:rFonts w:eastAsia="Times New Roman"/>
          <w:sz w:val="22"/>
          <w:lang w:val="en-US" w:eastAsia="es-ES"/>
        </w:rPr>
        <w:t xml:space="preserve">4. </w:t>
      </w:r>
      <w:proofErr w:type="spellStart"/>
      <w:r w:rsidRPr="00F208F4">
        <w:rPr>
          <w:rFonts w:eastAsia="Times New Roman"/>
          <w:sz w:val="22"/>
          <w:lang w:val="en-US" w:eastAsia="es-ES"/>
        </w:rPr>
        <w:t>Kamarianakis</w:t>
      </w:r>
      <w:proofErr w:type="spellEnd"/>
      <w:r w:rsidRPr="00F208F4">
        <w:rPr>
          <w:rFonts w:eastAsia="Times New Roman"/>
          <w:sz w:val="22"/>
          <w:lang w:val="en-US" w:eastAsia="es-ES"/>
        </w:rPr>
        <w:t xml:space="preserve">, </w:t>
      </w:r>
      <w:proofErr w:type="spellStart"/>
      <w:r w:rsidRPr="00F208F4">
        <w:rPr>
          <w:rFonts w:eastAsia="Times New Roman"/>
          <w:sz w:val="22"/>
          <w:lang w:val="en-US" w:eastAsia="es-ES"/>
        </w:rPr>
        <w:t>Prastacos</w:t>
      </w:r>
      <w:proofErr w:type="spellEnd"/>
      <w:r w:rsidRPr="00F208F4">
        <w:rPr>
          <w:rFonts w:eastAsia="Times New Roman"/>
          <w:sz w:val="22"/>
          <w:lang w:val="en-US" w:eastAsia="es-ES"/>
        </w:rPr>
        <w:t xml:space="preserve"> P, </w:t>
      </w:r>
      <w:proofErr w:type="spellStart"/>
      <w:r w:rsidRPr="00F208F4">
        <w:rPr>
          <w:rFonts w:eastAsia="Times New Roman"/>
          <w:sz w:val="22"/>
          <w:lang w:val="en-US" w:eastAsia="es-ES"/>
        </w:rPr>
        <w:t>Salah</w:t>
      </w:r>
      <w:proofErr w:type="spellEnd"/>
      <w:r w:rsidRPr="00F208F4">
        <w:rPr>
          <w:rFonts w:eastAsia="Times New Roman"/>
          <w:sz w:val="22"/>
          <w:lang w:val="en-US" w:eastAsia="es-ES"/>
        </w:rPr>
        <w:t xml:space="preserve"> AB, </w:t>
      </w:r>
      <w:proofErr w:type="spellStart"/>
      <w:r w:rsidRPr="00F208F4">
        <w:rPr>
          <w:rFonts w:eastAsia="Times New Roman"/>
          <w:sz w:val="22"/>
          <w:lang w:val="en-US" w:eastAsia="es-ES"/>
        </w:rPr>
        <w:t>Schlif</w:t>
      </w:r>
      <w:proofErr w:type="spellEnd"/>
      <w:r w:rsidRPr="00F208F4">
        <w:rPr>
          <w:rFonts w:eastAsia="Times New Roman"/>
          <w:sz w:val="22"/>
          <w:lang w:val="en-US" w:eastAsia="es-ES"/>
        </w:rPr>
        <w:t xml:space="preserve"> S, </w:t>
      </w:r>
      <w:proofErr w:type="spellStart"/>
      <w:r w:rsidRPr="00F208F4">
        <w:rPr>
          <w:rFonts w:eastAsia="Times New Roman"/>
          <w:sz w:val="22"/>
          <w:lang w:val="en-US" w:eastAsia="es-ES"/>
        </w:rPr>
        <w:t>Alaya</w:t>
      </w:r>
      <w:proofErr w:type="spellEnd"/>
      <w:r w:rsidRPr="00F208F4">
        <w:rPr>
          <w:rFonts w:eastAsia="Times New Roman"/>
          <w:sz w:val="22"/>
          <w:lang w:val="en-US" w:eastAsia="es-ES"/>
        </w:rPr>
        <w:t xml:space="preserve"> NB (2007). </w:t>
      </w:r>
      <w:r w:rsidRPr="00F208F4">
        <w:rPr>
          <w:rFonts w:eastAsia="Times New Roman"/>
          <w:bCs/>
          <w:sz w:val="22"/>
          <w:lang w:val="en-US" w:eastAsia="es-ES"/>
        </w:rPr>
        <w:t xml:space="preserve">Risk maps for Leishmaniasis in Central Tunisia. </w:t>
      </w:r>
      <w:proofErr w:type="gramStart"/>
      <w:r w:rsidRPr="00F208F4">
        <w:rPr>
          <w:rFonts w:eastAsia="Times New Roman"/>
          <w:sz w:val="22"/>
          <w:lang w:val="en-US" w:eastAsia="es-ES"/>
        </w:rPr>
        <w:t>10th AGILE International Conference on Geographic Information Science 2007.</w:t>
      </w:r>
      <w:proofErr w:type="gramEnd"/>
      <w:r w:rsidRPr="00F208F4">
        <w:rPr>
          <w:rFonts w:eastAsia="Times New Roman"/>
          <w:sz w:val="22"/>
          <w:lang w:val="en-US" w:eastAsia="es-ES"/>
        </w:rPr>
        <w:t xml:space="preserve"> Aalborg University, Denmark.</w:t>
      </w:r>
    </w:p>
    <w:p w:rsidR="000D562A" w:rsidRDefault="000D562A" w:rsidP="00F208F4">
      <w:pPr>
        <w:autoSpaceDE w:val="0"/>
        <w:autoSpaceDN w:val="0"/>
        <w:adjustRightInd w:val="0"/>
        <w:ind w:left="0" w:firstLine="0"/>
        <w:rPr>
          <w:rStyle w:val="Strong"/>
          <w:b w:val="0"/>
          <w:sz w:val="22"/>
          <w:lang w:val="en-US"/>
        </w:rPr>
      </w:pPr>
    </w:p>
    <w:p w:rsidR="00F208F4" w:rsidRPr="00F208F4" w:rsidRDefault="00F208F4" w:rsidP="00F208F4">
      <w:pPr>
        <w:autoSpaceDE w:val="0"/>
        <w:autoSpaceDN w:val="0"/>
        <w:adjustRightInd w:val="0"/>
        <w:ind w:left="0" w:firstLine="0"/>
        <w:rPr>
          <w:sz w:val="22"/>
          <w:lang w:val="en-US"/>
        </w:rPr>
      </w:pPr>
      <w:r w:rsidRPr="00F208F4">
        <w:rPr>
          <w:rStyle w:val="Strong"/>
          <w:b w:val="0"/>
          <w:sz w:val="22"/>
          <w:lang w:val="en-US"/>
        </w:rPr>
        <w:t xml:space="preserve">5. </w:t>
      </w:r>
      <w:proofErr w:type="spellStart"/>
      <w:r w:rsidRPr="00F208F4">
        <w:rPr>
          <w:rStyle w:val="Strong"/>
          <w:b w:val="0"/>
          <w:sz w:val="22"/>
          <w:lang w:val="en-US"/>
        </w:rPr>
        <w:t>Maubon</w:t>
      </w:r>
      <w:proofErr w:type="spellEnd"/>
      <w:r w:rsidRPr="00F208F4">
        <w:rPr>
          <w:rStyle w:val="Strong"/>
          <w:b w:val="0"/>
          <w:sz w:val="22"/>
          <w:lang w:val="en-US"/>
        </w:rPr>
        <w:t xml:space="preserve"> D,</w:t>
      </w:r>
      <w:r w:rsidRPr="00F208F4">
        <w:rPr>
          <w:rStyle w:val="apple-converted-space"/>
          <w:bCs/>
          <w:sz w:val="22"/>
          <w:lang w:val="en-US"/>
        </w:rPr>
        <w:t xml:space="preserve"> </w:t>
      </w:r>
      <w:proofErr w:type="spellStart"/>
      <w:r w:rsidRPr="00F208F4">
        <w:rPr>
          <w:rStyle w:val="Strong"/>
          <w:b w:val="0"/>
          <w:sz w:val="22"/>
          <w:lang w:val="en-US"/>
        </w:rPr>
        <w:t>Thurot-Guillou</w:t>
      </w:r>
      <w:proofErr w:type="spellEnd"/>
      <w:r w:rsidRPr="00F208F4">
        <w:rPr>
          <w:rStyle w:val="Strong"/>
          <w:b w:val="0"/>
          <w:sz w:val="22"/>
          <w:lang w:val="en-US"/>
        </w:rPr>
        <w:t xml:space="preserve"> C, Ravel C, </w:t>
      </w:r>
      <w:proofErr w:type="spellStart"/>
      <w:r w:rsidRPr="00F208F4">
        <w:rPr>
          <w:rStyle w:val="Strong"/>
          <w:b w:val="0"/>
          <w:sz w:val="22"/>
          <w:lang w:val="en-US"/>
        </w:rPr>
        <w:t>Leccia</w:t>
      </w:r>
      <w:proofErr w:type="spellEnd"/>
      <w:r w:rsidRPr="00F208F4">
        <w:rPr>
          <w:rStyle w:val="Strong"/>
          <w:b w:val="0"/>
          <w:sz w:val="22"/>
          <w:lang w:val="en-US"/>
        </w:rPr>
        <w:t xml:space="preserve"> M, and </w:t>
      </w:r>
      <w:proofErr w:type="spellStart"/>
      <w:r w:rsidRPr="00F208F4">
        <w:rPr>
          <w:rStyle w:val="Strong"/>
          <w:b w:val="0"/>
          <w:sz w:val="22"/>
          <w:lang w:val="en-US"/>
        </w:rPr>
        <w:t>Pelloux</w:t>
      </w:r>
      <w:proofErr w:type="spellEnd"/>
      <w:r w:rsidRPr="00F208F4">
        <w:rPr>
          <w:rStyle w:val="Strong"/>
          <w:b w:val="0"/>
          <w:sz w:val="22"/>
          <w:lang w:val="en-US"/>
        </w:rPr>
        <w:t xml:space="preserve"> H (2009). </w:t>
      </w:r>
      <w:r w:rsidRPr="00F208F4">
        <w:rPr>
          <w:rStyle w:val="Emphasis"/>
          <w:sz w:val="22"/>
          <w:lang w:val="en-US"/>
        </w:rPr>
        <w:t xml:space="preserve">Leishmania </w:t>
      </w:r>
      <w:proofErr w:type="spellStart"/>
      <w:r w:rsidRPr="00F208F4">
        <w:rPr>
          <w:rStyle w:val="Emphasis"/>
          <w:sz w:val="22"/>
          <w:lang w:val="en-US"/>
        </w:rPr>
        <w:t>killicki</w:t>
      </w:r>
      <w:proofErr w:type="spellEnd"/>
      <w:r w:rsidRPr="00F208F4">
        <w:rPr>
          <w:rStyle w:val="apple-converted-space"/>
          <w:sz w:val="22"/>
          <w:lang w:val="en-US"/>
        </w:rPr>
        <w:t xml:space="preserve"> </w:t>
      </w:r>
      <w:r w:rsidRPr="00F208F4">
        <w:rPr>
          <w:sz w:val="22"/>
          <w:lang w:val="en-US"/>
        </w:rPr>
        <w:t xml:space="preserve">Imported from Tunisian Desert. </w:t>
      </w:r>
      <w:proofErr w:type="spellStart"/>
      <w:proofErr w:type="gramStart"/>
      <w:r w:rsidRPr="00F208F4">
        <w:rPr>
          <w:sz w:val="22"/>
          <w:lang w:val="en-US"/>
        </w:rPr>
        <w:t>Emerg</w:t>
      </w:r>
      <w:proofErr w:type="spellEnd"/>
      <w:r w:rsidRPr="00F208F4">
        <w:rPr>
          <w:sz w:val="22"/>
          <w:lang w:val="en-US"/>
        </w:rPr>
        <w:t xml:space="preserve"> Infect </w:t>
      </w:r>
      <w:proofErr w:type="spellStart"/>
      <w:r w:rsidRPr="00F208F4">
        <w:rPr>
          <w:sz w:val="22"/>
          <w:lang w:val="en-US"/>
        </w:rPr>
        <w:t>Dis</w:t>
      </w:r>
      <w:proofErr w:type="spellEnd"/>
      <w:r w:rsidRPr="00F208F4">
        <w:rPr>
          <w:sz w:val="22"/>
          <w:lang w:val="en-US"/>
        </w:rPr>
        <w:t xml:space="preserve"> 15 (11) (letter).</w:t>
      </w:r>
      <w:proofErr w:type="gramEnd"/>
    </w:p>
    <w:p w:rsidR="00F208F4" w:rsidRPr="00F208F4" w:rsidRDefault="00F208F4" w:rsidP="00F208F4">
      <w:pPr>
        <w:ind w:left="0" w:firstLine="0"/>
        <w:textAlignment w:val="baseline"/>
        <w:rPr>
          <w:rFonts w:eastAsia="+mn-ea"/>
          <w:kern w:val="24"/>
          <w:sz w:val="22"/>
          <w:lang w:val="en-US" w:eastAsia="es-ES"/>
        </w:rPr>
      </w:pPr>
    </w:p>
    <w:p w:rsidR="00F208F4" w:rsidRPr="00F208F4" w:rsidRDefault="00F208F4" w:rsidP="00F208F4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</w:p>
    <w:p w:rsidR="002F7C1A" w:rsidRPr="00F208F4" w:rsidRDefault="002F7C1A" w:rsidP="00F208F4"/>
    <w:p w:rsidR="00F208F4" w:rsidRPr="00F208F4" w:rsidRDefault="00F208F4"/>
    <w:sectPr w:rsidR="00F208F4" w:rsidRPr="00F208F4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C6"/>
    <w:multiLevelType w:val="hybridMultilevel"/>
    <w:tmpl w:val="12D49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7037A"/>
    <w:multiLevelType w:val="hybridMultilevel"/>
    <w:tmpl w:val="42CC1D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08F4"/>
    <w:rsid w:val="000028F1"/>
    <w:rsid w:val="00010242"/>
    <w:rsid w:val="00046B72"/>
    <w:rsid w:val="00052A25"/>
    <w:rsid w:val="0005677D"/>
    <w:rsid w:val="000578BC"/>
    <w:rsid w:val="000848FF"/>
    <w:rsid w:val="000B48D7"/>
    <w:rsid w:val="000D562A"/>
    <w:rsid w:val="000E5115"/>
    <w:rsid w:val="000F0175"/>
    <w:rsid w:val="000F1E62"/>
    <w:rsid w:val="001168B6"/>
    <w:rsid w:val="00134E9F"/>
    <w:rsid w:val="00141FD2"/>
    <w:rsid w:val="0016660D"/>
    <w:rsid w:val="0019166A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0013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08F4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F4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F208F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F208F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208F4"/>
  </w:style>
  <w:style w:type="character" w:customStyle="1" w:styleId="apple-converted-space">
    <w:name w:val="apple-converted-space"/>
    <w:basedOn w:val="DefaultParagraphFont"/>
    <w:rsid w:val="00F208F4"/>
  </w:style>
  <w:style w:type="character" w:styleId="Strong">
    <w:name w:val="Strong"/>
    <w:basedOn w:val="DefaultParagraphFont"/>
    <w:qFormat/>
    <w:rsid w:val="00F208F4"/>
    <w:rPr>
      <w:b/>
      <w:bCs/>
    </w:rPr>
  </w:style>
  <w:style w:type="character" w:styleId="Emphasis">
    <w:name w:val="Emphasis"/>
    <w:basedOn w:val="DefaultParagraphFont"/>
    <w:qFormat/>
    <w:rsid w:val="00F208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F4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cbi.nlm.nih.gov/pubmed?term=%22Jeddi%20F%22%5BAuthor%5D" TargetMode="External"/><Relationship Id="rId18" Type="http://schemas.openxmlformats.org/officeDocument/2006/relationships/hyperlink" Target="http://www.ncbi.nlm.nih.gov/pubmed?term=%22Chaffai%20M%22%5BAuthor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Ben%20Osman%20A%22%5BAuthor%5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Aoun%20K%22%5BAuthor%5D" TargetMode="External"/><Relationship Id="rId17" Type="http://schemas.openxmlformats.org/officeDocument/2006/relationships/hyperlink" Target="javascript:AL_get(this,%20'jour',%20'Med%20Mal%20Infect.')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Bouratbine%20A%22%5BAuthor%5D" TargetMode="External"/><Relationship Id="rId20" Type="http://schemas.openxmlformats.org/officeDocument/2006/relationships/hyperlink" Target="http://www.ncbi.nlm.nih.gov/pubmed?term=%22Ben-Ismail%20R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%22Ghrab%20J%22%5BAuthor%5D" TargetMode="External"/><Relationship Id="rId23" Type="http://schemas.openxmlformats.org/officeDocument/2006/relationships/hyperlink" Target="javascript:AL_get(this,%20'jour',%20'Ann%20Dermatol%20Venereol.');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ncbi.nlm.nih.gov/pubmed?term=%22Ben%20Rachid%20MS%22%5BAuthor%5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ncbi.nlm.nih.gov/pubmed?term=%22Amri%20F%22%5BAuthor%5D" TargetMode="External"/><Relationship Id="rId22" Type="http://schemas.openxmlformats.org/officeDocument/2006/relationships/hyperlink" Target="http://www.ncbi.nlm.nih.gov/pubmed?term=%22Makni%20N%22%5BAuthor%5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97E-2"/>
          <c:y val="5.8295964125560554E-2"/>
          <c:w val="0.90401146131805155"/>
          <c:h val="0.713004484304932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703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3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3"/>
                <c:pt idx="0">
                  <c:v>43</c:v>
                </c:pt>
                <c:pt idx="1">
                  <c:v>47</c:v>
                </c:pt>
                <c:pt idx="2">
                  <c:v>85</c:v>
                </c:pt>
                <c:pt idx="3">
                  <c:v>82</c:v>
                </c:pt>
                <c:pt idx="4">
                  <c:v>79</c:v>
                </c:pt>
                <c:pt idx="5">
                  <c:v>59</c:v>
                </c:pt>
                <c:pt idx="6">
                  <c:v>33</c:v>
                </c:pt>
                <c:pt idx="7">
                  <c:v>18</c:v>
                </c:pt>
                <c:pt idx="8">
                  <c:v>42</c:v>
                </c:pt>
                <c:pt idx="9">
                  <c:v>120</c:v>
                </c:pt>
                <c:pt idx="10">
                  <c:v>121</c:v>
                </c:pt>
                <c:pt idx="11">
                  <c:v>100</c:v>
                </c:pt>
                <c:pt idx="12">
                  <c:v>63</c:v>
                </c:pt>
              </c:numCache>
            </c:numRef>
          </c:val>
        </c:ser>
        <c:gapDepth val="0"/>
        <c:shape val="box"/>
        <c:axId val="285531136"/>
        <c:axId val="372770688"/>
        <c:axId val="0"/>
      </c:bar3DChart>
      <c:catAx>
        <c:axId val="285531136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2770688"/>
        <c:crosses val="autoZero"/>
        <c:auto val="1"/>
        <c:lblAlgn val="ctr"/>
        <c:lblOffset val="100"/>
        <c:tickLblSkip val="1"/>
        <c:tickMarkSkip val="1"/>
      </c:catAx>
      <c:valAx>
        <c:axId val="372770688"/>
        <c:scaling>
          <c:orientation val="minMax"/>
        </c:scaling>
        <c:axPos val="l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531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40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97E-2"/>
          <c:y val="4.9586776859504196E-2"/>
          <c:w val="0.90401146131805155"/>
          <c:h val="0.739669421487603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3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3"/>
                <c:pt idx="0">
                  <c:v>1129</c:v>
                </c:pt>
                <c:pt idx="1">
                  <c:v>2600</c:v>
                </c:pt>
                <c:pt idx="2">
                  <c:v>2964</c:v>
                </c:pt>
                <c:pt idx="3">
                  <c:v>2454</c:v>
                </c:pt>
                <c:pt idx="4">
                  <c:v>7534</c:v>
                </c:pt>
                <c:pt idx="5">
                  <c:v>5784</c:v>
                </c:pt>
                <c:pt idx="6">
                  <c:v>5197</c:v>
                </c:pt>
                <c:pt idx="7">
                  <c:v>6686</c:v>
                </c:pt>
                <c:pt idx="8">
                  <c:v>8258</c:v>
                </c:pt>
                <c:pt idx="9">
                  <c:v>15373</c:v>
                </c:pt>
                <c:pt idx="10">
                  <c:v>9030</c:v>
                </c:pt>
                <c:pt idx="11">
                  <c:v>2742</c:v>
                </c:pt>
                <c:pt idx="12">
                  <c:v>2750</c:v>
                </c:pt>
              </c:numCache>
            </c:numRef>
          </c:val>
        </c:ser>
        <c:gapDepth val="0"/>
        <c:shape val="box"/>
        <c:axId val="386044288"/>
        <c:axId val="386046208"/>
        <c:axId val="0"/>
      </c:bar3DChart>
      <c:catAx>
        <c:axId val="386044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86046208"/>
        <c:crosses val="autoZero"/>
        <c:auto val="1"/>
        <c:lblAlgn val="ctr"/>
        <c:lblOffset val="100"/>
        <c:tickLblSkip val="1"/>
        <c:tickMarkSkip val="1"/>
      </c:catAx>
      <c:valAx>
        <c:axId val="38604620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86044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2012-04-02T18:42:00Z</dcterms:created>
  <dcterms:modified xsi:type="dcterms:W3CDTF">2012-04-02T18:50:00Z</dcterms:modified>
</cp:coreProperties>
</file>