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C6" w:rsidRPr="00B017B4" w:rsidRDefault="00CB0CC6" w:rsidP="00CB0CC6">
      <w:pPr>
        <w:rPr>
          <w:sz w:val="22"/>
          <w:lang w:val="en-GB"/>
        </w:rPr>
      </w:pPr>
      <w:smartTag w:uri="urn:schemas-microsoft-com:office:smarttags" w:element="place">
        <w:r w:rsidRPr="00B017B4">
          <w:rPr>
            <w:b/>
            <w:sz w:val="22"/>
            <w:u w:val="single"/>
            <w:lang w:val="en-GB"/>
          </w:rPr>
          <w:t>SOUTH SUDAN</w:t>
        </w:r>
      </w:smartTag>
    </w:p>
    <w:p w:rsidR="00CB0CC6" w:rsidRPr="00B37375" w:rsidRDefault="00CB0CC6" w:rsidP="00CB0CC6">
      <w:pPr>
        <w:rPr>
          <w:noProof/>
          <w:lang w:val="en-GB" w:eastAsia="es-CO"/>
        </w:rPr>
      </w:pPr>
    </w:p>
    <w:p w:rsidR="00CB0CC6" w:rsidRPr="00016D2A" w:rsidRDefault="00CB0CC6" w:rsidP="00CB0CC6">
      <w:pPr>
        <w:rPr>
          <w:noProof/>
          <w:lang w:val="en-US" w:eastAsia="es-CO"/>
        </w:rPr>
      </w:pPr>
      <w:r>
        <w:rPr>
          <w:noProof/>
          <w:lang w:val="en-US"/>
        </w:rPr>
        <w:drawing>
          <wp:inline distT="0" distB="0" distL="0" distR="0">
            <wp:extent cx="2743200" cy="18370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C6" w:rsidRDefault="00CB0CC6" w:rsidP="00CB0CC6">
      <w:pPr>
        <w:ind w:left="0" w:firstLine="0"/>
        <w:rPr>
          <w:rFonts w:ascii="Times New Roman" w:eastAsia="Times New Roman" w:hAnsi="Times New Roman" w:cs="Times New Roman"/>
          <w:szCs w:val="24"/>
          <w:lang w:val="en-US" w:eastAsia="es-CO"/>
        </w:rPr>
      </w:pPr>
    </w:p>
    <w:p w:rsidR="00CB0CC6" w:rsidRPr="00B017B4" w:rsidRDefault="00CB0CC6" w:rsidP="00CB0CC6">
      <w:pPr>
        <w:rPr>
          <w:sz w:val="22"/>
          <w:lang w:val="en-GB"/>
        </w:rPr>
      </w:pPr>
      <w:r w:rsidRPr="00B017B4">
        <w:rPr>
          <w:b/>
          <w:bCs/>
          <w:sz w:val="22"/>
          <w:lang w:val="en-GB"/>
        </w:rPr>
        <w:t>BASIC COUNTRY DATA</w:t>
      </w:r>
    </w:p>
    <w:p w:rsidR="00CB0CC6" w:rsidRPr="00B017B4" w:rsidRDefault="00CB0CC6" w:rsidP="00CB0CC6">
      <w:pPr>
        <w:rPr>
          <w:sz w:val="22"/>
          <w:lang w:val="en-GB"/>
        </w:rPr>
      </w:pPr>
    </w:p>
    <w:p w:rsidR="00CB0CC6" w:rsidRPr="00C970E7" w:rsidRDefault="00CB0CC6" w:rsidP="00CB0CC6">
      <w:pPr>
        <w:rPr>
          <w:color w:val="000000"/>
          <w:sz w:val="22"/>
          <w:lang w:val="en-US"/>
        </w:rPr>
      </w:pPr>
      <w:r w:rsidRPr="00C970E7">
        <w:rPr>
          <w:color w:val="000000"/>
          <w:sz w:val="22"/>
          <w:lang w:val="en-US"/>
        </w:rPr>
        <w:t>No official data available yet</w:t>
      </w:r>
      <w:r>
        <w:rPr>
          <w:color w:val="000000"/>
          <w:sz w:val="22"/>
          <w:lang w:val="en-US"/>
        </w:rPr>
        <w:t>.</w:t>
      </w:r>
    </w:p>
    <w:p w:rsidR="00CB0CC6" w:rsidRPr="00B017B4" w:rsidRDefault="00CB0CC6" w:rsidP="00CB0CC6">
      <w:pPr>
        <w:rPr>
          <w:sz w:val="22"/>
          <w:lang w:val="en-US"/>
        </w:rPr>
      </w:pPr>
    </w:p>
    <w:p w:rsidR="00CB0CC6" w:rsidRPr="00B017B4" w:rsidRDefault="00CB0CC6" w:rsidP="00CB0CC6">
      <w:pPr>
        <w:rPr>
          <w:sz w:val="22"/>
          <w:lang w:val="en-US"/>
        </w:rPr>
      </w:pPr>
    </w:p>
    <w:p w:rsidR="00CB0CC6" w:rsidRPr="00B017B4" w:rsidRDefault="00CB0CC6" w:rsidP="00CB0CC6">
      <w:pPr>
        <w:rPr>
          <w:sz w:val="22"/>
          <w:lang w:val="en-US"/>
        </w:rPr>
      </w:pPr>
      <w:r w:rsidRPr="00B017B4">
        <w:rPr>
          <w:b/>
          <w:bCs/>
          <w:sz w:val="22"/>
          <w:lang w:val="en-US"/>
        </w:rPr>
        <w:t>BACKGROUND INFORMATION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sz w:val="22"/>
          <w:lang w:val="en-US"/>
        </w:rPr>
      </w:pPr>
      <w:r w:rsidRPr="00B017B4">
        <w:rPr>
          <w:sz w:val="22"/>
          <w:lang w:val="en-US"/>
        </w:rPr>
        <w:t xml:space="preserve">One of the distinctive characteristics of VL in </w:t>
      </w:r>
      <w:smartTag w:uri="urn:schemas-microsoft-com:office:smarttags" w:element="place">
        <w:r w:rsidRPr="00B017B4">
          <w:rPr>
            <w:sz w:val="22"/>
            <w:lang w:val="en-US"/>
          </w:rPr>
          <w:t xml:space="preserve">South </w:t>
        </w:r>
        <w:smartTag w:uri="urn:schemas-microsoft-com:office:smarttags" w:element="PersonName">
          <w:r w:rsidRPr="00B017B4">
            <w:rPr>
              <w:sz w:val="22"/>
              <w:lang w:val="en-US"/>
            </w:rPr>
            <w:t>Sudan</w:t>
          </w:r>
        </w:smartTag>
      </w:smartTag>
      <w:r w:rsidRPr="00B017B4">
        <w:rPr>
          <w:sz w:val="22"/>
          <w:lang w:val="en-US"/>
        </w:rPr>
        <w:t xml:space="preserve"> is that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>s occur regularly and unexpectedly in areas that were previously assumed to be unaffected. The main risk factor for these epidemics is introduction of the disease in non-immune populations through migrations from endemic to non</w:t>
      </w:r>
      <w:r>
        <w:rPr>
          <w:sz w:val="22"/>
          <w:lang w:val="en-US"/>
        </w:rPr>
        <w:t>-</w:t>
      </w:r>
      <w:r w:rsidRPr="00B017B4">
        <w:rPr>
          <w:sz w:val="22"/>
          <w:lang w:val="en-US"/>
        </w:rPr>
        <w:t>endemic areas. In 1937</w:t>
      </w:r>
      <w:r>
        <w:rPr>
          <w:sz w:val="22"/>
          <w:lang w:val="en-US"/>
        </w:rPr>
        <w:t>,</w:t>
      </w:r>
      <w:r w:rsidRPr="00B017B4">
        <w:rPr>
          <w:sz w:val="22"/>
          <w:lang w:val="en-US"/>
        </w:rPr>
        <w:t xml:space="preserve"> the first reported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occurred in the </w:t>
      </w:r>
      <w:proofErr w:type="spellStart"/>
      <w:r>
        <w:rPr>
          <w:sz w:val="22"/>
          <w:lang w:val="en-US"/>
        </w:rPr>
        <w:t>Dinka</w:t>
      </w:r>
      <w:proofErr w:type="spellEnd"/>
      <w:r>
        <w:rPr>
          <w:sz w:val="22"/>
          <w:lang w:val="en-US"/>
        </w:rPr>
        <w:t xml:space="preserve"> population of what is now </w:t>
      </w:r>
      <w:proofErr w:type="spellStart"/>
      <w:r w:rsidRPr="00B017B4">
        <w:rPr>
          <w:sz w:val="22"/>
          <w:lang w:val="en-US"/>
        </w:rPr>
        <w:t>Jonglei</w:t>
      </w:r>
      <w:proofErr w:type="spellEnd"/>
      <w:r w:rsidRPr="00B017B4">
        <w:rPr>
          <w:sz w:val="22"/>
          <w:lang w:val="en-US"/>
        </w:rPr>
        <w:t xml:space="preserve"> State, a previously non-endemic area</w:t>
      </w:r>
      <w:r>
        <w:rPr>
          <w:sz w:val="22"/>
          <w:lang w:val="en-US"/>
        </w:rPr>
        <w:t xml:space="preserve"> [1]</w:t>
      </w:r>
      <w:r w:rsidRPr="00B017B4">
        <w:rPr>
          <w:sz w:val="22"/>
          <w:lang w:val="en-US"/>
        </w:rPr>
        <w:t>. Outbreaks continued to occur in this area during the 1960s</w:t>
      </w:r>
      <w:r>
        <w:rPr>
          <w:sz w:val="22"/>
          <w:lang w:val="en-US"/>
        </w:rPr>
        <w:t xml:space="preserve"> [2]</w:t>
      </w:r>
      <w:r w:rsidRPr="00B017B4">
        <w:rPr>
          <w:sz w:val="22"/>
          <w:lang w:val="en-US"/>
        </w:rPr>
        <w:t xml:space="preserve">. In </w:t>
      </w:r>
      <w:smartTag w:uri="urn:schemas-microsoft-com:office:smarttags" w:element="metricconverter">
        <w:smartTagPr>
          <w:attr w:name="ProductID" w:val="1956, a"/>
        </w:smartTagPr>
        <w:r w:rsidRPr="00B017B4">
          <w:rPr>
            <w:sz w:val="22"/>
            <w:lang w:val="en-US"/>
          </w:rPr>
          <w:t>1956, a</w:t>
        </w:r>
      </w:smartTag>
      <w:r w:rsidRPr="00B017B4">
        <w:rPr>
          <w:sz w:val="22"/>
          <w:lang w:val="en-US"/>
        </w:rPr>
        <w:t xml:space="preserve"> VL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severely affected nomadic tribes in the Southern Fung district of the former </w:t>
      </w:r>
      <w:smartTag w:uri="urn:schemas-microsoft-com:office:smarttags" w:element="place">
        <w:r w:rsidRPr="00B017B4">
          <w:rPr>
            <w:sz w:val="22"/>
            <w:lang w:val="en-US"/>
          </w:rPr>
          <w:t>Blue Nile</w:t>
        </w:r>
      </w:smartTag>
      <w:r w:rsidRPr="00B017B4">
        <w:rPr>
          <w:sz w:val="22"/>
          <w:lang w:val="en-US"/>
        </w:rPr>
        <w:t xml:space="preserve"> province, an area where the disease had not been reported for 25 years</w:t>
      </w:r>
      <w:r>
        <w:rPr>
          <w:sz w:val="22"/>
          <w:lang w:val="en-US"/>
        </w:rPr>
        <w:t xml:space="preserve"> [3]</w:t>
      </w:r>
      <w:r w:rsidRPr="00B017B4">
        <w:rPr>
          <w:sz w:val="22"/>
          <w:lang w:val="en-US"/>
        </w:rPr>
        <w:t xml:space="preserve">. The mortality rate in the Yum </w:t>
      </w:r>
      <w:proofErr w:type="spellStart"/>
      <w:r w:rsidRPr="00B017B4">
        <w:rPr>
          <w:sz w:val="22"/>
          <w:lang w:val="en-US"/>
        </w:rPr>
        <w:t>Yum</w:t>
      </w:r>
      <w:proofErr w:type="spellEnd"/>
      <w:r w:rsidRPr="00B017B4">
        <w:rPr>
          <w:sz w:val="22"/>
          <w:lang w:val="en-US"/>
        </w:rPr>
        <w:t xml:space="preserve"> tribe was estimated to be over 50%. Between 1984 and 1994, during the </w:t>
      </w:r>
      <w:smartTag w:uri="urn:schemas-microsoft-com:office:smarttags" w:element="PersonName">
        <w:r w:rsidRPr="00B017B4">
          <w:rPr>
            <w:sz w:val="22"/>
            <w:lang w:val="en-US"/>
          </w:rPr>
          <w:t>Sudan</w:t>
        </w:r>
      </w:smartTag>
      <w:r w:rsidRPr="00B017B4">
        <w:rPr>
          <w:sz w:val="22"/>
          <w:lang w:val="en-US"/>
        </w:rPr>
        <w:t xml:space="preserve">ese civil war, a devastating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took place in former Western Upper Nile (now called </w:t>
      </w:r>
      <w:smartTag w:uri="urn:schemas-microsoft-com:office:smarttags" w:element="place">
        <w:smartTag w:uri="urn:schemas-microsoft-com:office:smarttags" w:element="PlaceName">
          <w:r w:rsidRPr="00B017B4">
            <w:rPr>
              <w:sz w:val="22"/>
              <w:lang w:val="en-US"/>
            </w:rPr>
            <w:t>Unity</w:t>
          </w:r>
        </w:smartTag>
        <w:r w:rsidRPr="00B017B4">
          <w:rPr>
            <w:sz w:val="22"/>
            <w:lang w:val="en-US"/>
          </w:rPr>
          <w:t xml:space="preserve"> </w:t>
        </w:r>
        <w:smartTag w:uri="urn:schemas-microsoft-com:office:smarttags" w:element="PlaceType">
          <w:r w:rsidRPr="00B017B4">
            <w:rPr>
              <w:sz w:val="22"/>
              <w:lang w:val="en-US"/>
            </w:rPr>
            <w:t>State</w:t>
          </w:r>
        </w:smartTag>
      </w:smartTag>
      <w:r w:rsidRPr="00B017B4">
        <w:rPr>
          <w:sz w:val="22"/>
          <w:lang w:val="en-US"/>
        </w:rPr>
        <w:t xml:space="preserve">), in an area that spanned from </w:t>
      </w:r>
      <w:proofErr w:type="spellStart"/>
      <w:r w:rsidRPr="00B017B4">
        <w:rPr>
          <w:sz w:val="22"/>
          <w:lang w:val="en-US"/>
        </w:rPr>
        <w:t>Bentiu</w:t>
      </w:r>
      <w:proofErr w:type="spellEnd"/>
      <w:r w:rsidRPr="00B017B4">
        <w:rPr>
          <w:sz w:val="22"/>
          <w:lang w:val="en-US"/>
        </w:rPr>
        <w:t xml:space="preserve"> southward to </w:t>
      </w:r>
      <w:proofErr w:type="spellStart"/>
      <w:r w:rsidRPr="00B017B4">
        <w:rPr>
          <w:sz w:val="22"/>
          <w:lang w:val="en-US"/>
        </w:rPr>
        <w:t>Adok</w:t>
      </w:r>
      <w:proofErr w:type="spellEnd"/>
      <w:r>
        <w:rPr>
          <w:sz w:val="22"/>
          <w:lang w:val="en-US"/>
        </w:rPr>
        <w:t xml:space="preserve"> [4-6]</w:t>
      </w:r>
      <w:r w:rsidRPr="00B017B4">
        <w:rPr>
          <w:sz w:val="22"/>
          <w:lang w:val="en-US"/>
        </w:rPr>
        <w:t>. Over 100,000 people</w:t>
      </w:r>
      <w:r>
        <w:rPr>
          <w:sz w:val="22"/>
          <w:lang w:val="en-US"/>
        </w:rPr>
        <w:t>,</w:t>
      </w:r>
      <w:r w:rsidRPr="00B017B4">
        <w:rPr>
          <w:sz w:val="22"/>
          <w:lang w:val="en-US"/>
        </w:rPr>
        <w:t xml:space="preserve"> among a population of 280,000</w:t>
      </w:r>
      <w:r>
        <w:rPr>
          <w:sz w:val="22"/>
          <w:lang w:val="en-US"/>
        </w:rPr>
        <w:t>,</w:t>
      </w:r>
      <w:r w:rsidRPr="00B017B4">
        <w:rPr>
          <w:sz w:val="22"/>
          <w:lang w:val="en-US"/>
        </w:rPr>
        <w:t xml:space="preserve"> were estimated to be killed</w:t>
      </w:r>
      <w:r>
        <w:rPr>
          <w:sz w:val="22"/>
          <w:lang w:val="en-US"/>
        </w:rPr>
        <w:t xml:space="preserve"> [5</w:t>
      </w:r>
      <w:proofErr w:type="gramStart"/>
      <w:r>
        <w:rPr>
          <w:sz w:val="22"/>
          <w:lang w:val="en-US"/>
        </w:rPr>
        <w:t>,7,8</w:t>
      </w:r>
      <w:proofErr w:type="gramEnd"/>
      <w:r>
        <w:rPr>
          <w:sz w:val="22"/>
          <w:lang w:val="en-US"/>
        </w:rPr>
        <w:t>]</w:t>
      </w:r>
      <w:r w:rsidRPr="00B017B4">
        <w:rPr>
          <w:sz w:val="22"/>
          <w:lang w:val="en-US"/>
        </w:rPr>
        <w:t xml:space="preserve">. Most were from semi-nomadic </w:t>
      </w:r>
      <w:proofErr w:type="spellStart"/>
      <w:r w:rsidRPr="00B017B4">
        <w:rPr>
          <w:sz w:val="22"/>
          <w:lang w:val="en-US"/>
        </w:rPr>
        <w:t>Nuer</w:t>
      </w:r>
      <w:proofErr w:type="spellEnd"/>
      <w:r w:rsidRPr="00B017B4">
        <w:rPr>
          <w:sz w:val="22"/>
          <w:lang w:val="en-US"/>
        </w:rPr>
        <w:t xml:space="preserve"> and </w:t>
      </w:r>
      <w:proofErr w:type="spellStart"/>
      <w:r w:rsidRPr="00B017B4">
        <w:rPr>
          <w:sz w:val="22"/>
          <w:lang w:val="en-US"/>
        </w:rPr>
        <w:t>Dinka</w:t>
      </w:r>
      <w:proofErr w:type="spellEnd"/>
      <w:r w:rsidRPr="00B017B4">
        <w:rPr>
          <w:sz w:val="22"/>
          <w:lang w:val="en-US"/>
        </w:rPr>
        <w:t xml:space="preserve"> tribes, dependent on cattle rearing and small-scale cultivation of sorghum and maize for their survival. The war completely disrupted their way of life</w:t>
      </w:r>
      <w:r>
        <w:rPr>
          <w:sz w:val="22"/>
          <w:lang w:val="en-US"/>
        </w:rPr>
        <w:t>,</w:t>
      </w:r>
      <w:r w:rsidRPr="00B017B4">
        <w:rPr>
          <w:sz w:val="22"/>
          <w:lang w:val="en-US"/>
        </w:rPr>
        <w:t xml:space="preserve"> causing persistent large-scale malnutrition. It also forced them to migrate to remote and isolated areas, from where the</w:t>
      </w:r>
      <w:r>
        <w:rPr>
          <w:sz w:val="22"/>
          <w:lang w:val="en-US"/>
        </w:rPr>
        <w:t>y</w:t>
      </w:r>
      <w:r w:rsidRPr="00B017B4">
        <w:rPr>
          <w:sz w:val="22"/>
          <w:lang w:val="en-US"/>
        </w:rPr>
        <w:t xml:space="preserve"> </w:t>
      </w:r>
      <w:r>
        <w:rPr>
          <w:sz w:val="22"/>
          <w:lang w:val="en-US"/>
        </w:rPr>
        <w:t>could not</w:t>
      </w:r>
      <w:r w:rsidRPr="00B017B4">
        <w:rPr>
          <w:sz w:val="22"/>
          <w:lang w:val="en-US"/>
        </w:rPr>
        <w:t xml:space="preserve"> reach treatment cente</w:t>
      </w:r>
      <w:r>
        <w:rPr>
          <w:sz w:val="22"/>
          <w:lang w:val="en-US"/>
        </w:rPr>
        <w:t>r</w:t>
      </w:r>
      <w:r w:rsidRPr="00B017B4">
        <w:rPr>
          <w:sz w:val="22"/>
          <w:lang w:val="en-US"/>
        </w:rPr>
        <w:t>s. The civil war also forced many people to seek shelter and food in the Acacia-</w:t>
      </w:r>
      <w:proofErr w:type="spellStart"/>
      <w:r w:rsidRPr="00B017B4">
        <w:rPr>
          <w:sz w:val="22"/>
          <w:lang w:val="en-US"/>
        </w:rPr>
        <w:t>Balanites</w:t>
      </w:r>
      <w:proofErr w:type="spellEnd"/>
      <w:r w:rsidRPr="00B017B4">
        <w:rPr>
          <w:sz w:val="22"/>
          <w:lang w:val="en-US"/>
        </w:rPr>
        <w:t xml:space="preserve"> woodlands, the natural habitat of the </w:t>
      </w:r>
      <w:proofErr w:type="spellStart"/>
      <w:r w:rsidRPr="00B017B4">
        <w:rPr>
          <w:sz w:val="22"/>
          <w:lang w:val="en-US"/>
        </w:rPr>
        <w:t>sandfly</w:t>
      </w:r>
      <w:proofErr w:type="spellEnd"/>
      <w:r w:rsidRPr="00B017B4">
        <w:rPr>
          <w:sz w:val="22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B017B4">
            <w:rPr>
              <w:sz w:val="22"/>
              <w:lang w:val="en-US"/>
            </w:rPr>
            <w:t>Unity</w:t>
          </w:r>
        </w:smartTag>
        <w:r w:rsidRPr="00B017B4">
          <w:rPr>
            <w:sz w:val="22"/>
            <w:lang w:val="en-US"/>
          </w:rPr>
          <w:t xml:space="preserve"> </w:t>
        </w:r>
        <w:smartTag w:uri="urn:schemas-microsoft-com:office:smarttags" w:element="PlaceType">
          <w:r w:rsidRPr="00B017B4">
            <w:rPr>
              <w:sz w:val="22"/>
              <w:lang w:val="en-US"/>
            </w:rPr>
            <w:t>State</w:t>
          </w:r>
        </w:smartTag>
      </w:smartTag>
      <w:r w:rsidRPr="00B017B4">
        <w:rPr>
          <w:sz w:val="22"/>
          <w:lang w:val="en-US"/>
        </w:rPr>
        <w:t xml:space="preserve"> was not known to be endemic for VL and the population was largely non-immune. The epidemic followed the return of soldiers from the endemic </w:t>
      </w:r>
      <w:smartTag w:uri="urn:schemas-microsoft-com:office:smarttags" w:element="PersonName">
        <w:r w:rsidRPr="00B017B4">
          <w:rPr>
            <w:sz w:val="22"/>
            <w:lang w:val="en-US"/>
          </w:rPr>
          <w:t>Sudan</w:t>
        </w:r>
      </w:smartTag>
      <w:r w:rsidRPr="00B017B4">
        <w:rPr>
          <w:sz w:val="22"/>
          <w:lang w:val="en-US"/>
        </w:rPr>
        <w:t>-Ethiopian border.</w:t>
      </w:r>
      <w:r>
        <w:rPr>
          <w:sz w:val="22"/>
          <w:lang w:val="en-US"/>
        </w:rPr>
        <w:t xml:space="preserve"> </w:t>
      </w:r>
    </w:p>
    <w:p w:rsidR="00CB0CC6" w:rsidRDefault="00CB0CC6" w:rsidP="00CB0CC6">
      <w:pPr>
        <w:ind w:left="0" w:firstLine="0"/>
        <w:rPr>
          <w:sz w:val="22"/>
          <w:lang w:val="en-US"/>
        </w:rPr>
      </w:pPr>
    </w:p>
    <w:p w:rsidR="00B96AC4" w:rsidRDefault="00CB0CC6" w:rsidP="00CB0CC6">
      <w:pPr>
        <w:ind w:left="0" w:firstLine="0"/>
        <w:rPr>
          <w:sz w:val="22"/>
          <w:lang w:val="en-US"/>
        </w:rPr>
      </w:pPr>
      <w:r w:rsidRPr="00B017B4">
        <w:rPr>
          <w:sz w:val="22"/>
          <w:lang w:val="en-US"/>
        </w:rPr>
        <w:t xml:space="preserve">In </w:t>
      </w:r>
      <w:smartTag w:uri="urn:schemas-microsoft-com:office:smarttags" w:element="metricconverter">
        <w:smartTagPr>
          <w:attr w:name="ProductID" w:val="1994, a"/>
        </w:smartTagPr>
        <w:r w:rsidRPr="00B017B4">
          <w:rPr>
            <w:sz w:val="22"/>
            <w:lang w:val="en-US"/>
          </w:rPr>
          <w:t>1994, a</w:t>
        </w:r>
      </w:smartTag>
      <w:r w:rsidRPr="00B017B4">
        <w:rPr>
          <w:sz w:val="22"/>
          <w:lang w:val="en-US"/>
        </w:rPr>
        <w:t xml:space="preserve"> VL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occurred in northern </w:t>
      </w:r>
      <w:proofErr w:type="spellStart"/>
      <w:r w:rsidRPr="00B017B4">
        <w:rPr>
          <w:sz w:val="22"/>
          <w:lang w:val="en-US"/>
        </w:rPr>
        <w:t>Jonglei</w:t>
      </w:r>
      <w:proofErr w:type="spellEnd"/>
      <w:r w:rsidRPr="00B017B4">
        <w:rPr>
          <w:sz w:val="22"/>
          <w:lang w:val="en-US"/>
        </w:rPr>
        <w:t xml:space="preserve"> and eastern </w:t>
      </w:r>
      <w:smartTag w:uri="urn:schemas-microsoft-com:office:smarttags" w:element="place">
        <w:smartTag w:uri="urn:schemas-microsoft-com:office:smarttags" w:element="PlaceName">
          <w:r w:rsidRPr="00B017B4">
            <w:rPr>
              <w:sz w:val="22"/>
              <w:lang w:val="en-US"/>
            </w:rPr>
            <w:t>Upper</w:t>
          </w:r>
        </w:smartTag>
        <w:r w:rsidRPr="00B017B4">
          <w:rPr>
            <w:sz w:val="22"/>
            <w:lang w:val="en-US"/>
          </w:rPr>
          <w:t xml:space="preserve"> </w:t>
        </w:r>
        <w:smartTag w:uri="urn:schemas-microsoft-com:office:smarttags" w:element="PlaceName">
          <w:r w:rsidRPr="00B017B4">
            <w:rPr>
              <w:sz w:val="22"/>
              <w:lang w:val="en-US"/>
            </w:rPr>
            <w:t>Nile</w:t>
          </w:r>
        </w:smartTag>
        <w:r w:rsidRPr="00B017B4">
          <w:rPr>
            <w:sz w:val="22"/>
            <w:lang w:val="en-US"/>
          </w:rPr>
          <w:t xml:space="preserve"> </w:t>
        </w:r>
        <w:smartTag w:uri="urn:schemas-microsoft-com:office:smarttags" w:element="PlaceType">
          <w:r w:rsidRPr="00B017B4">
            <w:rPr>
              <w:sz w:val="22"/>
              <w:lang w:val="en-US"/>
            </w:rPr>
            <w:t>States</w:t>
          </w:r>
        </w:smartTag>
      </w:smartTag>
      <w:r w:rsidRPr="00B017B4">
        <w:rPr>
          <w:sz w:val="22"/>
          <w:lang w:val="en-US"/>
        </w:rPr>
        <w:t xml:space="preserve">, also an area where mainly </w:t>
      </w:r>
      <w:proofErr w:type="spellStart"/>
      <w:r w:rsidRPr="00B017B4">
        <w:rPr>
          <w:sz w:val="22"/>
          <w:lang w:val="en-US"/>
        </w:rPr>
        <w:t>Nuer</w:t>
      </w:r>
      <w:proofErr w:type="spellEnd"/>
      <w:r w:rsidRPr="00B017B4">
        <w:rPr>
          <w:sz w:val="22"/>
          <w:lang w:val="en-US"/>
        </w:rPr>
        <w:t xml:space="preserve"> nomadic tribes live. This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was also prompted by the war and food shortages. A much more severe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followed in the same area in 2002</w:t>
      </w:r>
      <w:r>
        <w:rPr>
          <w:sz w:val="22"/>
          <w:lang w:val="en-US"/>
        </w:rPr>
        <w:t>-</w:t>
      </w:r>
      <w:r w:rsidRPr="00B017B4">
        <w:rPr>
          <w:sz w:val="22"/>
          <w:lang w:val="en-US"/>
        </w:rPr>
        <w:t>2003</w:t>
      </w:r>
      <w:r>
        <w:rPr>
          <w:sz w:val="22"/>
          <w:lang w:val="en-US"/>
        </w:rPr>
        <w:t xml:space="preserve"> [7]. </w:t>
      </w:r>
      <w:r w:rsidRPr="00B017B4">
        <w:rPr>
          <w:sz w:val="22"/>
          <w:lang w:val="en-US"/>
        </w:rPr>
        <w:t xml:space="preserve">Afterwards, the numbers of reported cases in this area gradually declined to become historically low, but at the end of </w:t>
      </w:r>
      <w:smartTag w:uri="urn:schemas-microsoft-com:office:smarttags" w:element="metricconverter">
        <w:smartTagPr>
          <w:attr w:name="ProductID" w:val="2009, a"/>
        </w:smartTagPr>
        <w:r w:rsidRPr="00B017B4">
          <w:rPr>
            <w:sz w:val="22"/>
            <w:lang w:val="en-US"/>
          </w:rPr>
          <w:t>2009, a</w:t>
        </w:r>
      </w:smartTag>
      <w:r w:rsidRPr="00B017B4">
        <w:rPr>
          <w:sz w:val="22"/>
          <w:lang w:val="en-US"/>
        </w:rPr>
        <w:t xml:space="preserve"> new </w:t>
      </w:r>
      <w:smartTag w:uri="urn:schemas-microsoft-com:office:smarttags" w:element="PersonName">
        <w:r w:rsidRPr="00B017B4">
          <w:rPr>
            <w:sz w:val="22"/>
            <w:lang w:val="en-US"/>
          </w:rPr>
          <w:t>outbreak</w:t>
        </w:r>
      </w:smartTag>
      <w:r w:rsidRPr="00B017B4">
        <w:rPr>
          <w:sz w:val="22"/>
          <w:lang w:val="en-US"/>
        </w:rPr>
        <w:t xml:space="preserve"> started, with thousands of cases, possibly caused by massive population movements following the peace agreement in 2005 and growing food insecurity. </w:t>
      </w:r>
      <w:r>
        <w:rPr>
          <w:sz w:val="22"/>
          <w:lang w:val="en-US"/>
        </w:rPr>
        <w:t>This outbreak continued to cause extremely high case numbers in both 2010 and 2011, however</w:t>
      </w:r>
      <w:r w:rsidR="00B96AC4">
        <w:rPr>
          <w:sz w:val="22"/>
          <w:lang w:val="en-US"/>
        </w:rPr>
        <w:t>, due to an increased access to treatment,</w:t>
      </w:r>
      <w:r>
        <w:rPr>
          <w:sz w:val="22"/>
          <w:lang w:val="en-US"/>
        </w:rPr>
        <w:t xml:space="preserve"> </w:t>
      </w:r>
      <w:r w:rsidR="00B96AC4">
        <w:rPr>
          <w:sz w:val="22"/>
          <w:lang w:val="en-US"/>
        </w:rPr>
        <w:t xml:space="preserve">the average case fatality was only </w:t>
      </w:r>
      <w:r w:rsidR="00B96AC4">
        <w:rPr>
          <w:sz w:val="22"/>
          <w:lang w:val="en-US"/>
        </w:rPr>
        <w:lastRenderedPageBreak/>
        <w:t>3</w:t>
      </w:r>
      <w:proofErr w:type="gramStart"/>
      <w:r w:rsidR="00B96AC4">
        <w:rPr>
          <w:sz w:val="22"/>
          <w:lang w:val="en-US"/>
        </w:rPr>
        <w:t>,8</w:t>
      </w:r>
      <w:proofErr w:type="gramEnd"/>
      <w:r w:rsidR="00B96AC4">
        <w:rPr>
          <w:sz w:val="22"/>
          <w:lang w:val="en-US"/>
        </w:rPr>
        <w:t xml:space="preserve">%, much lower than previously reported care fatality rates of 30% in South Sudanese outbreaks. </w:t>
      </w:r>
    </w:p>
    <w:p w:rsidR="00B96AC4" w:rsidRDefault="00B96AC4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sz w:val="22"/>
          <w:lang w:val="en-US"/>
        </w:rPr>
      </w:pPr>
      <w:r w:rsidRPr="006C29F0">
        <w:rPr>
          <w:sz w:val="22"/>
          <w:lang w:val="en-US"/>
        </w:rPr>
        <w:t>Ethnicity was identified as a risk factor for disease in several Sudanese epidemic sites</w:t>
      </w:r>
      <w:r>
        <w:rPr>
          <w:sz w:val="22"/>
          <w:lang w:val="en-US"/>
        </w:rPr>
        <w:t xml:space="preserve"> [9-11]</w:t>
      </w:r>
      <w:r w:rsidRPr="006C29F0">
        <w:rPr>
          <w:sz w:val="22"/>
          <w:lang w:val="en-US"/>
        </w:rPr>
        <w:t xml:space="preserve">. </w:t>
      </w:r>
      <w:smartTag w:uri="urn:schemas-microsoft-com:office:smarttags" w:element="PersonName">
        <w:r w:rsidRPr="006C29F0">
          <w:rPr>
            <w:sz w:val="22"/>
            <w:lang w:val="en-US"/>
          </w:rPr>
          <w:t>Sudan</w:t>
        </w:r>
      </w:smartTag>
      <w:r w:rsidRPr="006C29F0">
        <w:rPr>
          <w:sz w:val="22"/>
          <w:lang w:val="en-US"/>
        </w:rPr>
        <w:t>ese tribal people appear to be exceptionally susceptible for developing full blown VL. A genetic factor has been considered.</w:t>
      </w:r>
    </w:p>
    <w:p w:rsidR="00CB0CC6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sz w:val="22"/>
          <w:lang w:val="en-US"/>
        </w:rPr>
      </w:pPr>
      <w:r w:rsidRPr="006C29F0">
        <w:rPr>
          <w:sz w:val="22"/>
          <w:lang w:val="en-US"/>
        </w:rPr>
        <w:t xml:space="preserve">An estimated 10% of VL cases in </w:t>
      </w:r>
      <w:smartTag w:uri="urn:schemas-microsoft-com:office:smarttags" w:element="place">
        <w:r w:rsidRPr="006C29F0">
          <w:rPr>
            <w:sz w:val="22"/>
            <w:lang w:val="en-US"/>
          </w:rPr>
          <w:t xml:space="preserve">Southern </w:t>
        </w:r>
        <w:smartTag w:uri="urn:schemas-microsoft-com:office:smarttags" w:element="PersonName">
          <w:r w:rsidRPr="006C29F0">
            <w:rPr>
              <w:sz w:val="22"/>
              <w:lang w:val="en-US"/>
            </w:rPr>
            <w:t>Sudan</w:t>
          </w:r>
        </w:smartTag>
      </w:smartTag>
      <w:r w:rsidRPr="006C29F0">
        <w:rPr>
          <w:sz w:val="22"/>
          <w:lang w:val="en-US"/>
        </w:rPr>
        <w:t xml:space="preserve"> </w:t>
      </w:r>
      <w:proofErr w:type="gramStart"/>
      <w:r w:rsidRPr="006C29F0">
        <w:rPr>
          <w:sz w:val="22"/>
          <w:lang w:val="en-US"/>
        </w:rPr>
        <w:t>is</w:t>
      </w:r>
      <w:proofErr w:type="gramEnd"/>
      <w:r w:rsidRPr="006C29F0">
        <w:rPr>
          <w:sz w:val="22"/>
          <w:lang w:val="en-US"/>
        </w:rPr>
        <w:t xml:space="preserve"> coinfected with HIV.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lang w:val="en-US"/>
        </w:rPr>
      </w:pPr>
    </w:p>
    <w:p w:rsidR="00CB0CC6" w:rsidRPr="00B017B4" w:rsidRDefault="00CB0CC6" w:rsidP="00CB0CC6">
      <w:pPr>
        <w:ind w:left="0" w:firstLine="0"/>
        <w:rPr>
          <w:sz w:val="22"/>
        </w:rPr>
      </w:pPr>
      <w:r w:rsidRPr="00B017B4">
        <w:rPr>
          <w:b/>
          <w:bCs/>
          <w:sz w:val="22"/>
          <w:lang w:val="it-IT"/>
        </w:rPr>
        <w:t xml:space="preserve">PARASITOLOGICAL INFORMATION 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160"/>
        <w:gridCol w:w="2340"/>
        <w:gridCol w:w="1980"/>
      </w:tblGrid>
      <w:tr w:rsidR="00CB0CC6" w:rsidRPr="00B017B4" w:rsidTr="00A7768B">
        <w:trPr>
          <w:trHeight w:val="399"/>
        </w:trPr>
        <w:tc>
          <w:tcPr>
            <w:tcW w:w="2088" w:type="dxa"/>
          </w:tcPr>
          <w:p w:rsidR="00CB0CC6" w:rsidRPr="00B017B4" w:rsidRDefault="00CB0CC6" w:rsidP="00A7768B">
            <w:pPr>
              <w:ind w:left="0" w:firstLine="0"/>
              <w:jc w:val="center"/>
              <w:textAlignment w:val="center"/>
              <w:rPr>
                <w:rFonts w:eastAsia="Times New Roman"/>
                <w:lang w:eastAsia="es-CO"/>
              </w:rPr>
            </w:pPr>
            <w:r w:rsidRPr="00B017B4">
              <w:rPr>
                <w:rFonts w:eastAsia="Times New Roman"/>
                <w:b/>
                <w:bCs/>
                <w:i/>
                <w:iCs/>
                <w:kern w:val="24"/>
                <w:sz w:val="22"/>
                <w:lang w:eastAsia="es-CO"/>
              </w:rPr>
              <w:t xml:space="preserve">Leishmania </w:t>
            </w:r>
            <w:proofErr w:type="spellStart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species</w:t>
            </w:r>
            <w:proofErr w:type="spellEnd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 </w:t>
            </w:r>
          </w:p>
        </w:tc>
        <w:tc>
          <w:tcPr>
            <w:tcW w:w="2160" w:type="dxa"/>
          </w:tcPr>
          <w:p w:rsidR="00CB0CC6" w:rsidRPr="00B017B4" w:rsidRDefault="00CB0CC6" w:rsidP="00A7768B">
            <w:pPr>
              <w:ind w:left="0" w:firstLine="0"/>
              <w:jc w:val="center"/>
              <w:textAlignment w:val="center"/>
              <w:rPr>
                <w:rFonts w:eastAsia="Times New Roman"/>
                <w:lang w:eastAsia="es-CO"/>
              </w:rPr>
            </w:pPr>
            <w:proofErr w:type="spellStart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Clinical</w:t>
            </w:r>
            <w:proofErr w:type="spellEnd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 </w:t>
            </w:r>
            <w:proofErr w:type="spellStart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form</w:t>
            </w:r>
            <w:proofErr w:type="spellEnd"/>
          </w:p>
        </w:tc>
        <w:tc>
          <w:tcPr>
            <w:tcW w:w="2340" w:type="dxa"/>
          </w:tcPr>
          <w:p w:rsidR="00CB0CC6" w:rsidRPr="00B017B4" w:rsidRDefault="00CB0CC6" w:rsidP="00A7768B">
            <w:pPr>
              <w:ind w:left="0" w:firstLine="0"/>
              <w:jc w:val="center"/>
              <w:textAlignment w:val="center"/>
              <w:rPr>
                <w:rFonts w:eastAsia="Times New Roman"/>
                <w:lang w:eastAsia="es-CO"/>
              </w:rPr>
            </w:pPr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 xml:space="preserve">Vector </w:t>
            </w:r>
            <w:proofErr w:type="spellStart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species</w:t>
            </w:r>
            <w:proofErr w:type="spellEnd"/>
          </w:p>
        </w:tc>
        <w:tc>
          <w:tcPr>
            <w:tcW w:w="1980" w:type="dxa"/>
          </w:tcPr>
          <w:p w:rsidR="00CB0CC6" w:rsidRPr="00B017B4" w:rsidRDefault="00CB0CC6" w:rsidP="00A7768B">
            <w:pPr>
              <w:ind w:left="0" w:firstLine="0"/>
              <w:jc w:val="center"/>
              <w:textAlignment w:val="center"/>
              <w:rPr>
                <w:rFonts w:eastAsia="Times New Roman"/>
                <w:lang w:eastAsia="es-CO"/>
              </w:rPr>
            </w:pPr>
            <w:proofErr w:type="spellStart"/>
            <w:r w:rsidRPr="00B017B4">
              <w:rPr>
                <w:rFonts w:eastAsia="Times New Roman"/>
                <w:b/>
                <w:bCs/>
                <w:kern w:val="24"/>
                <w:sz w:val="22"/>
                <w:lang w:eastAsia="es-CO"/>
              </w:rPr>
              <w:t>Reservoirs</w:t>
            </w:r>
            <w:proofErr w:type="spellEnd"/>
          </w:p>
        </w:tc>
      </w:tr>
      <w:tr w:rsidR="00CB0CC6" w:rsidRPr="00B017B4" w:rsidTr="00A7768B">
        <w:trPr>
          <w:trHeight w:val="324"/>
        </w:trPr>
        <w:tc>
          <w:tcPr>
            <w:tcW w:w="2088" w:type="dxa"/>
            <w:vAlign w:val="center"/>
          </w:tcPr>
          <w:p w:rsidR="00CB0CC6" w:rsidRPr="00B017B4" w:rsidRDefault="00CB0CC6" w:rsidP="00A7768B">
            <w:pPr>
              <w:pStyle w:val="NormalWeb"/>
              <w:spacing w:before="0" w:beforeAutospacing="0" w:after="0" w:afterAutospacing="0" w:line="313" w:lineRule="atLeast"/>
              <w:textAlignment w:val="baseline"/>
              <w:rPr>
                <w:rFonts w:ascii="Arial" w:hAnsi="Arial" w:cs="Arial"/>
                <w:szCs w:val="22"/>
              </w:rPr>
            </w:pPr>
            <w:r w:rsidRPr="00B017B4">
              <w:rPr>
                <w:rFonts w:ascii="Arial" w:eastAsia="SimSun" w:hAnsi="Arial" w:cs="Arial"/>
                <w:i/>
                <w:iCs/>
                <w:color w:val="000000"/>
                <w:kern w:val="24"/>
                <w:sz w:val="22"/>
                <w:szCs w:val="22"/>
              </w:rPr>
              <w:t>L. donovani</w:t>
            </w:r>
            <w:r w:rsidRPr="00B017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B0CC6" w:rsidRPr="00B017B4" w:rsidRDefault="00CB0CC6" w:rsidP="00A7768B">
            <w:pPr>
              <w:pStyle w:val="NormalWeb"/>
              <w:spacing w:before="0" w:beforeAutospacing="0" w:after="0" w:afterAutospacing="0" w:line="313" w:lineRule="atLeast"/>
              <w:textAlignment w:val="baseline"/>
              <w:rPr>
                <w:rFonts w:ascii="Arial" w:hAnsi="Arial" w:cs="Arial"/>
                <w:szCs w:val="22"/>
              </w:rPr>
            </w:pPr>
            <w:r w:rsidRPr="00B017B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VL, PKDL, M</w:t>
            </w:r>
            <w:r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C</w:t>
            </w:r>
            <w:r w:rsidRPr="00B017B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L</w:t>
            </w:r>
            <w:r w:rsidRPr="00B017B4">
              <w:rPr>
                <w:rFonts w:ascii="Arial" w:eastAsia="Cambria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CB0CC6" w:rsidRPr="00B017B4" w:rsidRDefault="00CB0CC6" w:rsidP="00A7768B">
            <w:pPr>
              <w:pStyle w:val="NormalWeb"/>
              <w:spacing w:before="0" w:beforeAutospacing="0" w:after="0" w:afterAutospacing="0" w:line="313" w:lineRule="atLeast"/>
              <w:textAlignment w:val="baseline"/>
              <w:rPr>
                <w:rFonts w:ascii="Arial" w:hAnsi="Arial" w:cs="Arial"/>
                <w:szCs w:val="22"/>
              </w:rPr>
            </w:pPr>
            <w:r w:rsidRPr="00B017B4">
              <w:rPr>
                <w:rFonts w:ascii="Arial" w:eastAsia="SimSun" w:hAnsi="Arial" w:cs="Arial"/>
                <w:i/>
                <w:iCs/>
                <w:color w:val="000000"/>
                <w:kern w:val="24"/>
                <w:sz w:val="22"/>
                <w:szCs w:val="22"/>
                <w:lang w:val="fr-FR"/>
              </w:rPr>
              <w:t>P. martini</w:t>
            </w:r>
            <w:r w:rsidRPr="00B017B4">
              <w:rPr>
                <w:rFonts w:ascii="Arial" w:eastAsia="Cambria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B0CC6" w:rsidRPr="00B017B4" w:rsidRDefault="00CB0CC6" w:rsidP="00A7768B">
            <w:pPr>
              <w:pStyle w:val="NormalWeb"/>
              <w:spacing w:before="0" w:beforeAutospacing="0" w:after="0" w:afterAutospacing="0" w:line="313" w:lineRule="atLeast"/>
              <w:textAlignment w:val="baseline"/>
              <w:rPr>
                <w:rFonts w:ascii="Arial" w:hAnsi="Arial" w:cs="Arial"/>
                <w:szCs w:val="22"/>
              </w:rPr>
            </w:pPr>
            <w:r w:rsidRPr="00B017B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Human</w:t>
            </w:r>
            <w:r w:rsidRPr="00B017B4">
              <w:rPr>
                <w:rFonts w:ascii="Arial" w:eastAsia="Cambria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</w:tbl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  <w:r w:rsidRPr="00B017B4">
        <w:rPr>
          <w:b/>
          <w:sz w:val="22"/>
          <w:lang w:val="en-US"/>
        </w:rPr>
        <w:t>MAPS AND TRENDS</w:t>
      </w: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Visceral leishmaniasis</w:t>
      </w: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  <w:r>
        <w:rPr>
          <w:b/>
          <w:noProof/>
          <w:sz w:val="22"/>
          <w:lang w:val="en-US"/>
        </w:rPr>
        <w:drawing>
          <wp:inline distT="0" distB="0" distL="0" distR="0">
            <wp:extent cx="2891127" cy="1938054"/>
            <wp:effectExtent l="19050" t="0" r="4473" b="0"/>
            <wp:docPr id="7" name="Picture 7" descr="C:\Documents and Settings\Margriet\Local Settings\Temp\SDsVLmod_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argriet\Local Settings\Temp\SDsVLmod_b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07" cy="193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C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b/>
          <w:noProof/>
          <w:sz w:val="22"/>
          <w:lang w:val="en-US"/>
        </w:rPr>
        <w:drawing>
          <wp:inline distT="0" distB="0" distL="0" distR="0">
            <wp:extent cx="2938835" cy="1970035"/>
            <wp:effectExtent l="19050" t="0" r="0" b="0"/>
            <wp:docPr id="8" name="Picture 8" descr="C:\Documents and Settings\Margriet\Local Settings\Temp\SDsVLIRmod_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argriet\Local Settings\Temp\SDsVLIRmod_b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23" cy="197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Visceral leishmaniasis trend</w:t>
      </w:r>
    </w:p>
    <w:p w:rsidR="00CB0CC6" w:rsidRDefault="00CB0CC6" w:rsidP="00CB0CC6">
      <w:pPr>
        <w:ind w:left="0" w:firstLine="0"/>
        <w:rPr>
          <w:b/>
          <w:sz w:val="22"/>
          <w:lang w:val="en-US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10823</wp:posOffset>
            </wp:positionV>
            <wp:extent cx="6329238" cy="4225780"/>
            <wp:effectExtent l="0" t="0" r="0" b="0"/>
            <wp:wrapNone/>
            <wp:docPr id="9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</w:p>
    <w:p w:rsidR="00CB0CC6" w:rsidRPr="00B017B4" w:rsidRDefault="00CB0CC6" w:rsidP="00CB0CC6">
      <w:pPr>
        <w:ind w:left="0" w:firstLine="0"/>
        <w:rPr>
          <w:rFonts w:eastAsia="Times New Roman"/>
          <w:b/>
          <w:bCs/>
          <w:sz w:val="22"/>
          <w:lang w:val="en-US" w:eastAsia="es-ES"/>
        </w:rPr>
      </w:pPr>
      <w:r w:rsidRPr="00B017B4">
        <w:rPr>
          <w:rFonts w:eastAsia="Times New Roman"/>
          <w:b/>
          <w:bCs/>
          <w:sz w:val="22"/>
          <w:lang w:val="en-US" w:eastAsia="es-ES"/>
        </w:rPr>
        <w:t>CONTROL</w:t>
      </w:r>
    </w:p>
    <w:p w:rsidR="00CB0CC6" w:rsidRPr="00B017B4" w:rsidRDefault="00CB0CC6" w:rsidP="00CB0CC6">
      <w:pPr>
        <w:ind w:left="0" w:firstLine="0"/>
        <w:rPr>
          <w:rFonts w:eastAsia="Times New Roman"/>
          <w:bCs/>
          <w:sz w:val="22"/>
          <w:lang w:val="en-US" w:eastAsia="es-ES"/>
        </w:rPr>
      </w:pPr>
    </w:p>
    <w:p w:rsidR="00CB0CC6" w:rsidRPr="00B017B4" w:rsidRDefault="00CB0CC6" w:rsidP="00CB0CC6">
      <w:pPr>
        <w:ind w:left="0" w:firstLine="0"/>
        <w:rPr>
          <w:rFonts w:eastAsia="Times New Roman"/>
          <w:bCs/>
          <w:sz w:val="22"/>
          <w:lang w:val="en-US" w:eastAsia="es-ES"/>
        </w:rPr>
      </w:pPr>
      <w:r w:rsidRPr="00B017B4">
        <w:rPr>
          <w:rFonts w:eastAsia="Times New Roman"/>
          <w:bCs/>
          <w:sz w:val="22"/>
          <w:lang w:val="en-US" w:eastAsia="es-ES"/>
        </w:rPr>
        <w:t xml:space="preserve">There is no national </w:t>
      </w:r>
      <w:r>
        <w:rPr>
          <w:rFonts w:eastAsia="Times New Roman"/>
          <w:bCs/>
          <w:sz w:val="22"/>
          <w:lang w:val="en-US" w:eastAsia="es-ES"/>
        </w:rPr>
        <w:t>l</w:t>
      </w:r>
      <w:r w:rsidRPr="00B017B4">
        <w:rPr>
          <w:rFonts w:eastAsia="Times New Roman"/>
          <w:bCs/>
          <w:sz w:val="22"/>
          <w:lang w:val="en-US" w:eastAsia="es-ES"/>
        </w:rPr>
        <w:t xml:space="preserve">eishmaniasis control program and notification </w:t>
      </w:r>
      <w:r>
        <w:rPr>
          <w:rFonts w:eastAsia="Times New Roman"/>
          <w:bCs/>
          <w:sz w:val="22"/>
          <w:lang w:val="en-US" w:eastAsia="es-ES"/>
        </w:rPr>
        <w:t xml:space="preserve">of cases </w:t>
      </w:r>
      <w:r w:rsidRPr="00B017B4">
        <w:rPr>
          <w:rFonts w:eastAsia="Times New Roman"/>
          <w:bCs/>
          <w:sz w:val="22"/>
          <w:lang w:val="en-US" w:eastAsia="es-ES"/>
        </w:rPr>
        <w:t xml:space="preserve">is not mandatory. Leishmaniasis National Guidelines </w:t>
      </w:r>
      <w:r>
        <w:rPr>
          <w:rFonts w:eastAsia="Times New Roman"/>
          <w:bCs/>
          <w:sz w:val="22"/>
          <w:lang w:val="en-US" w:eastAsia="es-ES"/>
        </w:rPr>
        <w:t xml:space="preserve">were developed in </w:t>
      </w:r>
      <w:r w:rsidRPr="00B017B4">
        <w:rPr>
          <w:rFonts w:eastAsia="Times New Roman"/>
          <w:bCs/>
          <w:sz w:val="22"/>
          <w:lang w:val="en-US" w:eastAsia="es-ES"/>
        </w:rPr>
        <w:t xml:space="preserve">April 2011. There is no leishmaniasis vector control program and no </w:t>
      </w:r>
      <w:proofErr w:type="spellStart"/>
      <w:r w:rsidRPr="00B017B4">
        <w:rPr>
          <w:rFonts w:eastAsia="Times New Roman"/>
          <w:bCs/>
          <w:sz w:val="22"/>
          <w:lang w:val="en-US" w:eastAsia="es-ES"/>
        </w:rPr>
        <w:t>bednet</w:t>
      </w:r>
      <w:proofErr w:type="spellEnd"/>
      <w:r w:rsidRPr="00B017B4">
        <w:rPr>
          <w:rFonts w:eastAsia="Times New Roman"/>
          <w:bCs/>
          <w:sz w:val="22"/>
          <w:lang w:val="en-US" w:eastAsia="es-ES"/>
        </w:rPr>
        <w:t xml:space="preserve"> distribution program in </w:t>
      </w:r>
      <w:smartTag w:uri="urn:schemas-microsoft-com:office:smarttags" w:element="place">
        <w:r w:rsidRPr="00B017B4">
          <w:rPr>
            <w:rFonts w:eastAsia="Times New Roman"/>
            <w:bCs/>
            <w:sz w:val="22"/>
            <w:lang w:val="en-US" w:eastAsia="es-ES"/>
          </w:rPr>
          <w:t xml:space="preserve">South </w:t>
        </w:r>
        <w:smartTag w:uri="urn:schemas-microsoft-com:office:smarttags" w:element="PersonName">
          <w:r w:rsidRPr="00B017B4">
            <w:rPr>
              <w:rFonts w:eastAsia="Times New Roman"/>
              <w:bCs/>
              <w:sz w:val="22"/>
              <w:lang w:val="en-US" w:eastAsia="es-ES"/>
            </w:rPr>
            <w:t>Sudan</w:t>
          </w:r>
        </w:smartTag>
      </w:smartTag>
      <w:r w:rsidRPr="00B017B4">
        <w:rPr>
          <w:rFonts w:eastAsia="Times New Roman"/>
          <w:bCs/>
          <w:sz w:val="22"/>
          <w:lang w:val="en-US" w:eastAsia="es-ES"/>
        </w:rPr>
        <w:t xml:space="preserve">. </w:t>
      </w:r>
    </w:p>
    <w:p w:rsidR="00CB0CC6" w:rsidRPr="00B017B4" w:rsidRDefault="00CB0CC6" w:rsidP="00CB0CC6">
      <w:pPr>
        <w:rPr>
          <w:rFonts w:eastAsia="Times New Roman"/>
          <w:b/>
          <w:bCs/>
          <w:sz w:val="22"/>
          <w:lang w:val="en-US" w:eastAsia="es-ES"/>
        </w:rPr>
      </w:pPr>
    </w:p>
    <w:p w:rsidR="00CB0CC6" w:rsidRPr="00B017B4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  <w:r w:rsidRPr="00B017B4">
        <w:rPr>
          <w:b/>
          <w:bCs/>
          <w:sz w:val="22"/>
          <w:lang w:val="en-US"/>
        </w:rPr>
        <w:t xml:space="preserve">DIAGNOSIS, TREATMENT </w:t>
      </w: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B017B4" w:rsidRDefault="00CB0CC6" w:rsidP="00CB0CC6">
      <w:pPr>
        <w:ind w:left="0" w:firstLine="0"/>
        <w:jc w:val="left"/>
        <w:rPr>
          <w:bCs/>
          <w:sz w:val="22"/>
          <w:lang w:val="en-US"/>
        </w:rPr>
      </w:pPr>
      <w:r w:rsidRPr="00B017B4">
        <w:rPr>
          <w:b/>
          <w:bCs/>
          <w:sz w:val="22"/>
          <w:lang w:val="en-US"/>
        </w:rPr>
        <w:t xml:space="preserve">Diagnosis </w:t>
      </w:r>
      <w:r w:rsidRPr="00B017B4">
        <w:rPr>
          <w:bCs/>
          <w:sz w:val="22"/>
          <w:lang w:val="en-US"/>
        </w:rPr>
        <w:t>(</w:t>
      </w:r>
      <w:proofErr w:type="spellStart"/>
      <w:r w:rsidRPr="00B017B4">
        <w:rPr>
          <w:bCs/>
          <w:sz w:val="22"/>
          <w:lang w:val="en-US"/>
        </w:rPr>
        <w:t>Malakal</w:t>
      </w:r>
      <w:proofErr w:type="spellEnd"/>
      <w:r w:rsidRPr="00B017B4">
        <w:rPr>
          <w:bCs/>
          <w:sz w:val="22"/>
          <w:lang w:val="en-US"/>
        </w:rPr>
        <w:t xml:space="preserve"> teaching hospital) </w:t>
      </w:r>
    </w:p>
    <w:p w:rsidR="00CB0CC6" w:rsidRPr="00562689" w:rsidRDefault="00CB0CC6" w:rsidP="00CB0CC6">
      <w:pPr>
        <w:ind w:left="0" w:firstLine="0"/>
        <w:jc w:val="left"/>
        <w:rPr>
          <w:bCs/>
          <w:sz w:val="22"/>
          <w:lang w:val="en-US"/>
        </w:rPr>
      </w:pPr>
      <w:r w:rsidRPr="00562689">
        <w:rPr>
          <w:sz w:val="22"/>
          <w:lang w:val="en-US"/>
        </w:rPr>
        <w:t>VL</w:t>
      </w:r>
      <w:r w:rsidRPr="00562689">
        <w:rPr>
          <w:bCs/>
          <w:sz w:val="22"/>
          <w:lang w:val="en-US"/>
        </w:rPr>
        <w:t>: confirmation is done by microscopic examination of lymph or spleen aspirate.</w:t>
      </w:r>
    </w:p>
    <w:p w:rsidR="00CB0CC6" w:rsidRPr="00562689" w:rsidRDefault="00CB0CC6" w:rsidP="00CB0CC6">
      <w:pPr>
        <w:ind w:left="0" w:firstLine="0"/>
        <w:jc w:val="left"/>
        <w:rPr>
          <w:bCs/>
          <w:sz w:val="22"/>
          <w:lang w:val="en-US"/>
        </w:rPr>
      </w:pPr>
    </w:p>
    <w:p w:rsidR="00CB0CC6" w:rsidRPr="00B017B4" w:rsidRDefault="00CB0CC6" w:rsidP="00CB0CC6">
      <w:pPr>
        <w:ind w:left="0" w:firstLine="0"/>
        <w:jc w:val="left"/>
        <w:rPr>
          <w:b/>
          <w:bCs/>
          <w:sz w:val="22"/>
          <w:lang w:val="en-US"/>
        </w:rPr>
      </w:pPr>
      <w:r w:rsidRPr="00B017B4">
        <w:rPr>
          <w:b/>
          <w:bCs/>
          <w:sz w:val="22"/>
          <w:lang w:val="en-US"/>
        </w:rPr>
        <w:t>Treatment</w:t>
      </w:r>
    </w:p>
    <w:p w:rsidR="00CB0CC6" w:rsidRPr="00562689" w:rsidRDefault="00CB0CC6" w:rsidP="00CB0CC6">
      <w:pPr>
        <w:ind w:left="0" w:firstLine="0"/>
        <w:jc w:val="left"/>
        <w:rPr>
          <w:bCs/>
          <w:sz w:val="22"/>
          <w:lang w:val="en-US"/>
        </w:rPr>
      </w:pPr>
      <w:r w:rsidRPr="00562689">
        <w:rPr>
          <w:bCs/>
          <w:sz w:val="22"/>
          <w:lang w:val="en-US"/>
        </w:rPr>
        <w:t>VL</w:t>
      </w:r>
      <w:r w:rsidRPr="00562689">
        <w:rPr>
          <w:sz w:val="22"/>
          <w:lang w:val="en-US"/>
        </w:rPr>
        <w:t>: a</w:t>
      </w:r>
      <w:r w:rsidRPr="00562689">
        <w:rPr>
          <w:bCs/>
          <w:sz w:val="22"/>
          <w:lang w:val="en-US"/>
        </w:rPr>
        <w:t xml:space="preserve">ntimonials, 20 mg </w:t>
      </w:r>
      <w:proofErr w:type="spellStart"/>
      <w:r w:rsidRPr="00562689">
        <w:rPr>
          <w:bCs/>
          <w:sz w:val="22"/>
          <w:lang w:val="en-US"/>
        </w:rPr>
        <w:t>Sb</w:t>
      </w:r>
      <w:r w:rsidRPr="00562689">
        <w:rPr>
          <w:bCs/>
          <w:sz w:val="22"/>
          <w:vertAlign w:val="superscript"/>
          <w:lang w:val="en-US"/>
        </w:rPr>
        <w:t>v</w:t>
      </w:r>
      <w:proofErr w:type="spellEnd"/>
      <w:r w:rsidRPr="00562689">
        <w:rPr>
          <w:bCs/>
          <w:sz w:val="22"/>
          <w:lang w:val="en-US"/>
        </w:rPr>
        <w:t xml:space="preserve">/kg/day for 30 days. </w:t>
      </w:r>
    </w:p>
    <w:p w:rsidR="00CB0CC6" w:rsidRPr="00562689" w:rsidRDefault="00CB0CC6" w:rsidP="00CB0CC6">
      <w:pPr>
        <w:ind w:left="0" w:firstLine="0"/>
        <w:jc w:val="left"/>
        <w:rPr>
          <w:bCs/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bCs/>
          <w:sz w:val="22"/>
          <w:lang w:val="en-US"/>
        </w:rPr>
      </w:pPr>
      <w:r w:rsidRPr="00B017B4">
        <w:rPr>
          <w:bCs/>
          <w:sz w:val="22"/>
          <w:lang w:val="en-US"/>
        </w:rPr>
        <w:t>In MSF’s treatment programs</w:t>
      </w:r>
      <w:r>
        <w:rPr>
          <w:bCs/>
          <w:sz w:val="22"/>
          <w:lang w:val="en-US"/>
        </w:rPr>
        <w:t>,</w:t>
      </w:r>
      <w:r w:rsidRPr="00B017B4">
        <w:rPr>
          <w:bCs/>
          <w:sz w:val="22"/>
          <w:lang w:val="en-US"/>
        </w:rPr>
        <w:t xml:space="preserve"> rK39 antigen</w:t>
      </w:r>
      <w:r>
        <w:rPr>
          <w:bCs/>
          <w:sz w:val="22"/>
          <w:lang w:val="en-US"/>
        </w:rPr>
        <w:t>-</w:t>
      </w:r>
      <w:r w:rsidRPr="00B017B4">
        <w:rPr>
          <w:bCs/>
          <w:sz w:val="22"/>
          <w:lang w:val="en-US"/>
        </w:rPr>
        <w:t xml:space="preserve">based rapid tests are used as first line diagnosis and a regimen of SSG and paromomycin (20 mg </w:t>
      </w:r>
      <w:proofErr w:type="spellStart"/>
      <w:r w:rsidRPr="00B017B4">
        <w:rPr>
          <w:bCs/>
          <w:sz w:val="22"/>
          <w:lang w:val="en-US"/>
        </w:rPr>
        <w:t>Sb</w:t>
      </w:r>
      <w:r w:rsidRPr="00C575E1">
        <w:rPr>
          <w:bCs/>
          <w:sz w:val="22"/>
          <w:vertAlign w:val="superscript"/>
          <w:lang w:val="en-US"/>
        </w:rPr>
        <w:t>v</w:t>
      </w:r>
      <w:proofErr w:type="spellEnd"/>
      <w:r w:rsidRPr="00B017B4">
        <w:rPr>
          <w:bCs/>
          <w:sz w:val="22"/>
          <w:lang w:val="en-US"/>
        </w:rPr>
        <w:t xml:space="preserve">/kg/day and 15 mg PM/kg/day for 17 days) </w:t>
      </w:r>
      <w:r w:rsidRPr="00B017B4">
        <w:rPr>
          <w:bCs/>
          <w:sz w:val="22"/>
          <w:lang w:val="en-US"/>
        </w:rPr>
        <w:lastRenderedPageBreak/>
        <w:t>as first line treatment. Second line treatment is with liposomal amphotericin B</w:t>
      </w:r>
      <w:r>
        <w:rPr>
          <w:bCs/>
          <w:sz w:val="22"/>
          <w:lang w:val="en-US"/>
        </w:rPr>
        <w:t>,</w:t>
      </w:r>
      <w:r w:rsidRPr="00B017B4">
        <w:rPr>
          <w:bCs/>
          <w:sz w:val="22"/>
          <w:lang w:val="en-US"/>
        </w:rPr>
        <w:t xml:space="preserve"> 5</w:t>
      </w:r>
      <w:r>
        <w:rPr>
          <w:bCs/>
          <w:sz w:val="22"/>
          <w:lang w:val="en-US"/>
        </w:rPr>
        <w:t xml:space="preserve"> </w:t>
      </w:r>
      <w:r w:rsidRPr="00B017B4">
        <w:rPr>
          <w:bCs/>
          <w:sz w:val="22"/>
          <w:lang w:val="en-US"/>
        </w:rPr>
        <w:t xml:space="preserve">mg/kg for 6 days. </w:t>
      </w:r>
    </w:p>
    <w:p w:rsidR="00CB0CC6" w:rsidRPr="00B017B4" w:rsidRDefault="00CB0CC6" w:rsidP="00CB0CC6">
      <w:pPr>
        <w:ind w:left="0" w:firstLine="0"/>
        <w:rPr>
          <w:b/>
          <w:bCs/>
          <w:sz w:val="22"/>
          <w:lang w:val="en-US"/>
        </w:rPr>
      </w:pPr>
    </w:p>
    <w:p w:rsidR="00CB0CC6" w:rsidRPr="00B017B4" w:rsidRDefault="00CB0CC6" w:rsidP="00CB0CC6">
      <w:pPr>
        <w:rPr>
          <w:sz w:val="22"/>
          <w:lang w:val="en-US"/>
        </w:rPr>
      </w:pPr>
      <w:r w:rsidRPr="00B017B4">
        <w:rPr>
          <w:b/>
          <w:bCs/>
          <w:sz w:val="22"/>
          <w:lang w:val="en-US"/>
        </w:rPr>
        <w:t xml:space="preserve">ACCESS TO CARE </w:t>
      </w:r>
    </w:p>
    <w:p w:rsidR="00CB0CC6" w:rsidRPr="00B017B4" w:rsidRDefault="00CB0CC6" w:rsidP="00CB0CC6">
      <w:pPr>
        <w:ind w:left="0" w:firstLine="0"/>
        <w:rPr>
          <w:sz w:val="22"/>
          <w:lang w:val="en-GB"/>
        </w:rPr>
      </w:pP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  <w:r w:rsidRPr="00B017B4">
        <w:rPr>
          <w:sz w:val="22"/>
          <w:lang w:val="en-GB"/>
        </w:rPr>
        <w:t xml:space="preserve">The only MoH facility providing VL care (formally free of charge) is </w:t>
      </w:r>
      <w:r>
        <w:rPr>
          <w:sz w:val="22"/>
          <w:lang w:val="en-GB"/>
        </w:rPr>
        <w:t xml:space="preserve">the </w:t>
      </w:r>
      <w:proofErr w:type="spellStart"/>
      <w:r w:rsidR="00B96AC4">
        <w:rPr>
          <w:sz w:val="22"/>
          <w:lang w:val="en-GB"/>
        </w:rPr>
        <w:t>Malakal</w:t>
      </w:r>
      <w:proofErr w:type="spellEnd"/>
      <w:r w:rsidR="00B96AC4">
        <w:rPr>
          <w:sz w:val="22"/>
          <w:lang w:val="en-GB"/>
        </w:rPr>
        <w:t xml:space="preserve"> Teaching Hospital. MSF was until 2008 the only NGO providing treatment for VL on a significant scale in South Sudan; since then other NGO’s have joined in the effort.</w:t>
      </w:r>
      <w:r w:rsidRPr="00B017B4">
        <w:rPr>
          <w:sz w:val="22"/>
          <w:lang w:val="en-GB"/>
        </w:rPr>
        <w:t xml:space="preserve"> </w:t>
      </w:r>
      <w:r w:rsidR="00B96AC4">
        <w:rPr>
          <w:sz w:val="22"/>
          <w:lang w:val="en-GB"/>
        </w:rPr>
        <w:t xml:space="preserve">WHO and </w:t>
      </w:r>
      <w:r w:rsidRPr="00B017B4">
        <w:rPr>
          <w:sz w:val="22"/>
          <w:lang w:val="en-GB"/>
        </w:rPr>
        <w:t>the Malaria Consortium</w:t>
      </w:r>
      <w:r w:rsidR="00B96AC4">
        <w:rPr>
          <w:sz w:val="22"/>
          <w:lang w:val="en-GB"/>
        </w:rPr>
        <w:t xml:space="preserve"> are donating drugs (</w:t>
      </w:r>
      <w:r>
        <w:rPr>
          <w:sz w:val="22"/>
          <w:lang w:val="en-GB"/>
        </w:rPr>
        <w:t xml:space="preserve">MSF </w:t>
      </w:r>
      <w:r w:rsidRPr="00B017B4">
        <w:rPr>
          <w:sz w:val="22"/>
          <w:lang w:val="en-GB"/>
        </w:rPr>
        <w:t>provide their own drugs for treatment programs</w:t>
      </w:r>
      <w:r w:rsidR="00B96AC4">
        <w:rPr>
          <w:sz w:val="22"/>
          <w:lang w:val="en-GB"/>
        </w:rPr>
        <w:t>), and WHO is as supporting with funding, coordination and capacity building. Access to care has significantly improved because of this, h</w:t>
      </w:r>
      <w:r w:rsidRPr="00B017B4">
        <w:rPr>
          <w:sz w:val="22"/>
          <w:lang w:val="en-GB"/>
        </w:rPr>
        <w:t>owever, still many locations with suspected patients cannot be reached because of logistic difficulties and security concerns</w:t>
      </w:r>
      <w:r w:rsidR="00B96AC4">
        <w:rPr>
          <w:sz w:val="22"/>
          <w:lang w:val="en-GB"/>
        </w:rPr>
        <w:t>, and wh</w:t>
      </w:r>
      <w:r w:rsidRPr="00B017B4">
        <w:rPr>
          <w:sz w:val="22"/>
          <w:lang w:val="en-GB"/>
        </w:rPr>
        <w:t xml:space="preserve">ere is a great lack of access to treatment. Patients are extremely poor and live mostly in very remote areas with no health facilities and no transport and </w:t>
      </w:r>
      <w:r w:rsidR="00B96AC4">
        <w:rPr>
          <w:sz w:val="22"/>
          <w:lang w:val="en-GB"/>
        </w:rPr>
        <w:t xml:space="preserve">thus </w:t>
      </w:r>
      <w:r w:rsidRPr="00B017B4">
        <w:rPr>
          <w:sz w:val="22"/>
          <w:lang w:val="en-GB"/>
        </w:rPr>
        <w:t>often seek treatment only in a very late stage of the disease. There is a widespread lack of awareness of the serious nature of VL among people. About 2% of people use the private sector (illegal drug markets) for treatment, even though prices are prohibitive.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  <w:r w:rsidRPr="00B017B4">
        <w:rPr>
          <w:b/>
          <w:bCs/>
          <w:sz w:val="22"/>
          <w:lang w:val="en-US"/>
        </w:rPr>
        <w:t>ACCESS TO DRUGS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sz w:val="22"/>
          <w:lang w:val="en-GB"/>
        </w:rPr>
      </w:pPr>
      <w:r>
        <w:rPr>
          <w:sz w:val="22"/>
          <w:lang w:val="en-GB"/>
        </w:rPr>
        <w:t xml:space="preserve">Sodium </w:t>
      </w:r>
      <w:r w:rsidRPr="00B017B4">
        <w:rPr>
          <w:sz w:val="22"/>
          <w:lang w:val="en-GB"/>
        </w:rPr>
        <w:t xml:space="preserve">stibogluconate, miltefosine 10 and 50 mg tablets and paromomycin are included in the National Essential Drug List for </w:t>
      </w:r>
      <w:smartTag w:uri="urn:schemas-microsoft-com:office:smarttags" w:element="place">
        <w:r w:rsidRPr="00B017B4">
          <w:rPr>
            <w:sz w:val="22"/>
            <w:lang w:val="en-GB"/>
          </w:rPr>
          <w:t xml:space="preserve">South </w:t>
        </w:r>
        <w:smartTag w:uri="urn:schemas-microsoft-com:office:smarttags" w:element="PersonName">
          <w:r w:rsidRPr="00B017B4">
            <w:rPr>
              <w:sz w:val="22"/>
              <w:lang w:val="en-GB"/>
            </w:rPr>
            <w:t>Sudan</w:t>
          </w:r>
        </w:smartTag>
      </w:smartTag>
      <w:r>
        <w:rPr>
          <w:sz w:val="22"/>
          <w:lang w:val="en-GB"/>
        </w:rPr>
        <w:t xml:space="preserve">. Liposomal amphotericin B </w:t>
      </w:r>
      <w:r w:rsidRPr="00B017B4">
        <w:rPr>
          <w:sz w:val="22"/>
          <w:lang w:val="en-GB"/>
        </w:rPr>
        <w:t>is not included</w:t>
      </w:r>
      <w:r>
        <w:rPr>
          <w:sz w:val="22"/>
          <w:lang w:val="en-GB"/>
        </w:rPr>
        <w:t>,</w:t>
      </w:r>
      <w:r w:rsidRPr="00B017B4">
        <w:rPr>
          <w:sz w:val="22"/>
          <w:lang w:val="en-GB"/>
        </w:rPr>
        <w:t xml:space="preserve"> but there is permission to import and use it in </w:t>
      </w:r>
      <w:smartTag w:uri="urn:schemas-microsoft-com:office:smarttags" w:element="place">
        <w:r w:rsidRPr="00B017B4">
          <w:rPr>
            <w:sz w:val="22"/>
            <w:lang w:val="en-GB"/>
          </w:rPr>
          <w:t xml:space="preserve">South </w:t>
        </w:r>
        <w:smartTag w:uri="urn:schemas-microsoft-com:office:smarttags" w:element="PersonName">
          <w:r w:rsidRPr="00B017B4">
            <w:rPr>
              <w:sz w:val="22"/>
              <w:lang w:val="en-GB"/>
            </w:rPr>
            <w:t>Sudan</w:t>
          </w:r>
        </w:smartTag>
      </w:smartTag>
      <w:r w:rsidRPr="00B017B4">
        <w:rPr>
          <w:sz w:val="22"/>
          <w:lang w:val="en-GB"/>
        </w:rPr>
        <w:t>. Generic sodium stibogluconate is available in unregulated drug markets. One (30 ml) vial of generic SSG (Albert David) is sold for the price of a bull.</w:t>
      </w: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</w:p>
    <w:p w:rsidR="00CB0CC6" w:rsidRPr="00B017B4" w:rsidRDefault="00CB0CC6" w:rsidP="00CB0CC6">
      <w:pPr>
        <w:ind w:left="0" w:firstLine="0"/>
        <w:rPr>
          <w:sz w:val="22"/>
          <w:lang w:val="en-US"/>
        </w:rPr>
      </w:pPr>
      <w:r w:rsidRPr="00B017B4">
        <w:rPr>
          <w:sz w:val="22"/>
          <w:lang w:val="en-GB"/>
        </w:rPr>
        <w:t xml:space="preserve">The sale of </w:t>
      </w:r>
      <w:r>
        <w:rPr>
          <w:sz w:val="22"/>
          <w:lang w:val="en-GB"/>
        </w:rPr>
        <w:t xml:space="preserve">sodium stibogluconate </w:t>
      </w:r>
      <w:r w:rsidRPr="00B017B4">
        <w:rPr>
          <w:sz w:val="22"/>
          <w:lang w:val="en-GB"/>
        </w:rPr>
        <w:t xml:space="preserve">in unregulated markets is of great concern. Resistance to antimonials is still rare in </w:t>
      </w:r>
      <w:smartTag w:uri="urn:schemas-microsoft-com:office:smarttags" w:element="place">
        <w:r>
          <w:rPr>
            <w:sz w:val="22"/>
            <w:lang w:val="en-GB"/>
          </w:rPr>
          <w:t xml:space="preserve">South </w:t>
        </w:r>
        <w:smartTag w:uri="urn:schemas-microsoft-com:office:smarttags" w:element="PersonName">
          <w:r w:rsidRPr="00B017B4">
            <w:rPr>
              <w:sz w:val="22"/>
              <w:lang w:val="en-GB"/>
            </w:rPr>
            <w:t>Sudan</w:t>
          </w:r>
        </w:smartTag>
      </w:smartTag>
      <w:r w:rsidRPr="00B017B4">
        <w:rPr>
          <w:sz w:val="22"/>
          <w:lang w:val="en-GB"/>
        </w:rPr>
        <w:t xml:space="preserve">, but this practice will promote misuse and the possible development of resistant strains. </w:t>
      </w:r>
    </w:p>
    <w:p w:rsidR="00CB0CC6" w:rsidRDefault="00CB0CC6" w:rsidP="00CB0CC6">
      <w:pPr>
        <w:ind w:left="0" w:firstLine="0"/>
        <w:rPr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Default="00CB0CC6" w:rsidP="00CB0CC6">
      <w:pPr>
        <w:ind w:left="0" w:firstLine="0"/>
        <w:rPr>
          <w:b/>
          <w:sz w:val="22"/>
          <w:lang w:val="en-US"/>
        </w:rPr>
      </w:pPr>
      <w:r w:rsidRPr="00B017B4">
        <w:rPr>
          <w:b/>
          <w:sz w:val="22"/>
          <w:lang w:val="en-US"/>
        </w:rPr>
        <w:t>SOURCES OF INFORMATION</w:t>
      </w:r>
    </w:p>
    <w:p w:rsidR="00CB0CC6" w:rsidRPr="00B017B4" w:rsidRDefault="00CB0CC6" w:rsidP="00CB0CC6">
      <w:pPr>
        <w:ind w:left="0" w:firstLine="0"/>
        <w:rPr>
          <w:b/>
          <w:sz w:val="22"/>
          <w:lang w:val="en-US"/>
        </w:rPr>
      </w:pPr>
    </w:p>
    <w:p w:rsidR="00CB0CC6" w:rsidRPr="00C575E1" w:rsidRDefault="00CB0CC6" w:rsidP="00CB0CC6">
      <w:pPr>
        <w:pStyle w:val="Sinespaciado"/>
        <w:numPr>
          <w:ilvl w:val="0"/>
          <w:numId w:val="5"/>
        </w:numPr>
        <w:rPr>
          <w:rFonts w:ascii="Arial" w:hAnsi="Arial" w:cs="Arial"/>
          <w:lang w:val="en-GB"/>
        </w:rPr>
      </w:pPr>
      <w:r w:rsidRPr="00C26B89">
        <w:rPr>
          <w:rFonts w:ascii="Arial" w:hAnsi="Arial" w:cs="Arial"/>
          <w:lang w:val="en-US"/>
        </w:rPr>
        <w:t xml:space="preserve">Dr Godwin ‘O. </w:t>
      </w:r>
      <w:proofErr w:type="spellStart"/>
      <w:r w:rsidRPr="00C26B89">
        <w:rPr>
          <w:rFonts w:ascii="Arial" w:hAnsi="Arial" w:cs="Arial"/>
          <w:lang w:val="en-US"/>
        </w:rPr>
        <w:t>Orkeh</w:t>
      </w:r>
      <w:proofErr w:type="spellEnd"/>
      <w:r w:rsidRPr="00C26B89">
        <w:rPr>
          <w:rFonts w:ascii="Arial" w:hAnsi="Arial" w:cs="Arial"/>
          <w:lang w:val="en-US"/>
        </w:rPr>
        <w:t xml:space="preserve">, Emergencies &amp; Communicable Diseases, WHO – </w:t>
      </w:r>
      <w:smartTag w:uri="urn:schemas-microsoft-com:office:smarttags" w:element="place">
        <w:r w:rsidRPr="00C26B89">
          <w:rPr>
            <w:rFonts w:ascii="Arial" w:hAnsi="Arial" w:cs="Arial"/>
            <w:lang w:val="en-US"/>
          </w:rPr>
          <w:t>Southern Sudan</w:t>
        </w:r>
      </w:smartTag>
      <w:r w:rsidRPr="00C26B8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Office. </w:t>
      </w:r>
      <w:r w:rsidRPr="00C26B89">
        <w:rPr>
          <w:rFonts w:ascii="Arial" w:hAnsi="Arial" w:cs="Arial"/>
          <w:i/>
          <w:iCs/>
          <w:lang w:val="en-GB"/>
        </w:rPr>
        <w:t xml:space="preserve">Consultative </w:t>
      </w:r>
      <w:proofErr w:type="gramStart"/>
      <w:r w:rsidRPr="00C26B89">
        <w:rPr>
          <w:rFonts w:ascii="Arial" w:hAnsi="Arial" w:cs="Arial"/>
          <w:i/>
          <w:iCs/>
          <w:lang w:val="en-GB"/>
        </w:rPr>
        <w:t>Meeting  on</w:t>
      </w:r>
      <w:proofErr w:type="gramEnd"/>
      <w:r w:rsidRPr="00C26B89">
        <w:rPr>
          <w:rFonts w:ascii="Arial" w:hAnsi="Arial" w:cs="Arial"/>
          <w:i/>
          <w:iCs/>
          <w:lang w:val="en-GB"/>
        </w:rPr>
        <w:t xml:space="preserve"> The Control of Leishmaniasis in the African Region. WHO/AFRO </w:t>
      </w:r>
      <w:smartTag w:uri="urn:schemas-microsoft-com:office:smarttags" w:element="City">
        <w:smartTag w:uri="urn:schemas-microsoft-com:office:smarttags" w:element="place">
          <w:r w:rsidRPr="00C26B89">
            <w:rPr>
              <w:rFonts w:ascii="Arial" w:hAnsi="Arial" w:cs="Arial"/>
              <w:i/>
              <w:iCs/>
              <w:lang w:val="en-GB"/>
            </w:rPr>
            <w:t>Addis Ababa</w:t>
          </w:r>
        </w:smartTag>
      </w:smartTag>
      <w:r w:rsidRPr="00C26B89">
        <w:rPr>
          <w:rFonts w:ascii="Arial" w:hAnsi="Arial" w:cs="Arial"/>
          <w:i/>
          <w:iCs/>
          <w:lang w:val="en-GB"/>
        </w:rPr>
        <w:t>, 23-25 Feb 2010</w:t>
      </w:r>
    </w:p>
    <w:p w:rsidR="00CB0CC6" w:rsidRPr="00C26B89" w:rsidRDefault="00CB0CC6" w:rsidP="00CB0CC6">
      <w:pPr>
        <w:pStyle w:val="Sinespaciado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Dr </w:t>
      </w:r>
      <w:proofErr w:type="spellStart"/>
      <w:r>
        <w:rPr>
          <w:rFonts w:ascii="Arial" w:hAnsi="Arial" w:cs="Arial"/>
          <w:lang w:val="en-GB"/>
        </w:rPr>
        <w:t>Koert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Ritmeijer</w:t>
      </w:r>
      <w:proofErr w:type="spellEnd"/>
      <w:r>
        <w:rPr>
          <w:rFonts w:ascii="Arial" w:hAnsi="Arial" w:cs="Arial"/>
          <w:lang w:val="en-GB"/>
        </w:rPr>
        <w:t xml:space="preserve">, MSF Holland </w:t>
      </w:r>
    </w:p>
    <w:p w:rsidR="00CB0CC6" w:rsidRPr="00C575E1" w:rsidRDefault="00CB0CC6" w:rsidP="00CB0CC6"/>
    <w:p w:rsidR="00CB0CC6" w:rsidRPr="009F2BFE" w:rsidRDefault="00CB0CC6" w:rsidP="00CB0CC6">
      <w:pPr>
        <w:ind w:left="360" w:firstLine="0"/>
        <w:rPr>
          <w:sz w:val="22"/>
          <w:lang w:val="nl-NL"/>
        </w:rPr>
      </w:pPr>
    </w:p>
    <w:p w:rsidR="00CB0CC6" w:rsidRPr="009F2BFE" w:rsidRDefault="00CB0CC6" w:rsidP="00CB0CC6">
      <w:pPr>
        <w:rPr>
          <w:sz w:val="22"/>
          <w:lang w:val="nl-NL"/>
        </w:rPr>
      </w:pPr>
    </w:p>
    <w:p w:rsidR="00CB0CC6" w:rsidRPr="009F2BFE" w:rsidRDefault="00CC0C96" w:rsidP="00CB0CC6">
      <w:pPr>
        <w:ind w:left="0" w:firstLine="0"/>
        <w:rPr>
          <w:noProof/>
          <w:sz w:val="22"/>
          <w:lang w:val="en-US"/>
        </w:rPr>
      </w:pPr>
      <w:r w:rsidRPr="009F2BFE">
        <w:rPr>
          <w:sz w:val="22"/>
          <w:lang w:val="en-US"/>
        </w:rPr>
        <w:fldChar w:fldCharType="begin"/>
      </w:r>
      <w:r w:rsidR="00CB0CC6" w:rsidRPr="009F2BFE">
        <w:rPr>
          <w:sz w:val="22"/>
          <w:lang w:val="en-US"/>
        </w:rPr>
        <w:instrText xml:space="preserve"> ADDIN EN.REFLIST </w:instrText>
      </w:r>
      <w:r w:rsidRPr="009F2BFE">
        <w:rPr>
          <w:sz w:val="22"/>
          <w:lang w:val="en-US"/>
        </w:rPr>
        <w:fldChar w:fldCharType="separate"/>
      </w:r>
      <w:bookmarkStart w:id="0" w:name="_ENREF_1"/>
      <w:r w:rsidR="00CB0CC6" w:rsidRPr="009F2BFE">
        <w:rPr>
          <w:noProof/>
          <w:sz w:val="22"/>
          <w:lang w:val="en-US"/>
        </w:rPr>
        <w:t>1. Stephenson R (1940)</w:t>
      </w:r>
      <w:r w:rsidR="00CB0CC6">
        <w:rPr>
          <w:noProof/>
          <w:sz w:val="22"/>
          <w:lang w:val="en-US"/>
        </w:rPr>
        <w:t>.</w:t>
      </w:r>
      <w:r w:rsidR="00CB0CC6" w:rsidRPr="009F2BFE">
        <w:rPr>
          <w:noProof/>
          <w:sz w:val="22"/>
          <w:lang w:val="en-US"/>
        </w:rPr>
        <w:t xml:space="preserve"> An epidemic of kala-azar in the Upper Nile province of the Anglo-Egyptian Sudan. Ann Trop Med Parasitol 34:175-179</w:t>
      </w:r>
      <w:bookmarkEnd w:id="0"/>
      <w:r w:rsidR="00CB0CC6"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da-DK"/>
        </w:rPr>
      </w:pPr>
      <w:bookmarkStart w:id="1" w:name="_ENREF_2"/>
      <w:r w:rsidRPr="009F2BFE">
        <w:rPr>
          <w:noProof/>
          <w:sz w:val="22"/>
          <w:lang w:val="en-US"/>
        </w:rPr>
        <w:t>2. Hoogstraal H, Heyneman D (1969)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Leishmaniasis in the Sudan. </w:t>
      </w:r>
      <w:r w:rsidRPr="009F2BFE">
        <w:rPr>
          <w:noProof/>
          <w:sz w:val="22"/>
          <w:lang w:val="da-DK"/>
        </w:rPr>
        <w:t>Am J Trop Med Hyg (18):1091-1210</w:t>
      </w:r>
      <w:bookmarkEnd w:id="1"/>
      <w:r>
        <w:rPr>
          <w:noProof/>
          <w:sz w:val="22"/>
          <w:lang w:val="da-DK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da-DK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2" w:name="_ENREF_3"/>
      <w:r w:rsidRPr="009F2BFE">
        <w:rPr>
          <w:noProof/>
          <w:sz w:val="22"/>
          <w:lang w:val="en-US"/>
        </w:rPr>
        <w:lastRenderedPageBreak/>
        <w:t>3. Sati MH (1958)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Early phases of an outbreak of kala-azar in the Southern Fung. Sudan Medical Journal 1 (98-111)</w:t>
      </w:r>
      <w:bookmarkEnd w:id="2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3" w:name="_ENREF_4"/>
      <w:r w:rsidRPr="009F2BFE">
        <w:rPr>
          <w:noProof/>
          <w:sz w:val="22"/>
          <w:lang w:val="en-US"/>
        </w:rPr>
        <w:t>4. de Beer P, el Harith A, Deng LL, Semiao-Santos SJ, Chantal B, van Grootheest M (1991)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A killing disease epidemic among displaced Sudanese population identified as visceral leishmaniasis. Am J Trop Med Hyg 44 (3):283-289</w:t>
      </w:r>
      <w:bookmarkEnd w:id="3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4" w:name="_ENREF_5"/>
      <w:r w:rsidRPr="009F2BFE">
        <w:rPr>
          <w:noProof/>
          <w:sz w:val="22"/>
          <w:lang w:val="en-US"/>
        </w:rPr>
        <w:t>5. Seaman J, Mercer AJ, Sondorp E (1996)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The epidemic of visceral leishmaniasis in western Upper Nile, southern Sudan: course and impact from 1984 to 1994. Int J Epidemiol 25 (4):862-871</w:t>
      </w:r>
      <w:bookmarkEnd w:id="4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5" w:name="_ENREF_6"/>
      <w:r w:rsidRPr="009F2BFE">
        <w:rPr>
          <w:noProof/>
          <w:sz w:val="22"/>
          <w:lang w:val="en-US"/>
        </w:rPr>
        <w:t>6. Zijlstra EE, Ali MS, el-Hassan AM, el-Toum IA, Satti M, Ghalib HW, Sondorp E, Winkler A (1991)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Kala-azar in displaced people from southern Sudan: epidemiological, clinical and therapeutic findings. Trans R Soc Trop Med Hyg 85 (3):365-369</w:t>
      </w:r>
      <w:bookmarkEnd w:id="5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6" w:name="_ENREF_7"/>
      <w:r w:rsidRPr="009F2BFE">
        <w:rPr>
          <w:noProof/>
          <w:sz w:val="22"/>
          <w:lang w:val="en-US"/>
        </w:rPr>
        <w:t>7. Ritmeijer K, Davidson RN (2003)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Royal Society of Tropical Medicine and Hygiene joint meeting with Medecins Sans Frontieres at Manson House, London, 20 March 2003: field research in humanitarian medical programmes. Medecins Sans Frontieres interventions against kala-azar in the Sudan, 1989-2003. Trans R Soc Trop Med Hyg 97 (6):609-613</w:t>
      </w:r>
      <w:bookmarkEnd w:id="6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7" w:name="_ENREF_8"/>
      <w:r w:rsidRPr="009F2BFE">
        <w:rPr>
          <w:noProof/>
          <w:sz w:val="22"/>
          <w:lang w:val="en-US"/>
        </w:rPr>
        <w:t>8. Seaman J, Mercer AJ, Sondorp HE, Herwaldt BL (1996)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Epidemic visceral leishmaniasis in southern Sudan: treatment of severely debilitated patients under wartime conditions and with limited resources. Ann Intern Med 124 (7):664-672</w:t>
      </w:r>
      <w:bookmarkEnd w:id="7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8" w:name="_ENREF_9"/>
      <w:r w:rsidRPr="009F2BFE">
        <w:rPr>
          <w:noProof/>
          <w:sz w:val="22"/>
          <w:lang w:val="en-US"/>
        </w:rPr>
        <w:t>9. Bucheton B, Kheir MM, El-Safi SH, Hammad A, Mergani A, Mary C, Abel L, Dessein A (2002)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The interplay between environmental and host factors during an outbreak of visceral leishmaniasis in eastern Sudan. Microbes Infect 4 (14):1449-1457. doi:S1286457902000278 [pii]</w:t>
      </w:r>
      <w:bookmarkEnd w:id="8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  <w:bookmarkStart w:id="9" w:name="_ENREF_10"/>
      <w:r w:rsidRPr="009F2BFE">
        <w:rPr>
          <w:noProof/>
          <w:sz w:val="22"/>
          <w:lang w:val="en-US"/>
        </w:rPr>
        <w:t>10. Ibrahim ME (2002)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The epidemiology of visceral leishmaniasis in east Africa: hints and molecular revelations. Trans R Soc Trop Med Hyg 96 Suppl 1:S25-29</w:t>
      </w:r>
      <w:bookmarkEnd w:id="9"/>
      <w:r>
        <w:rPr>
          <w:noProof/>
          <w:sz w:val="22"/>
          <w:lang w:val="en-US"/>
        </w:rPr>
        <w:t>.</w:t>
      </w:r>
    </w:p>
    <w:p w:rsidR="00CB0CC6" w:rsidRPr="009F2BFE" w:rsidRDefault="00CB0CC6" w:rsidP="00CB0CC6">
      <w:pPr>
        <w:ind w:left="0" w:firstLine="0"/>
        <w:rPr>
          <w:noProof/>
          <w:sz w:val="22"/>
          <w:lang w:val="en-US"/>
        </w:rPr>
      </w:pPr>
    </w:p>
    <w:p w:rsidR="002F7C1A" w:rsidRDefault="00CB0CC6" w:rsidP="00CB0CC6">
      <w:pPr>
        <w:ind w:left="0" w:firstLine="0"/>
      </w:pPr>
      <w:bookmarkStart w:id="10" w:name="_ENREF_11"/>
      <w:r w:rsidRPr="009F2BFE">
        <w:rPr>
          <w:noProof/>
          <w:sz w:val="22"/>
          <w:lang w:val="en-US"/>
        </w:rPr>
        <w:t>11. Zijlstra EE, el-Hassan AM, Ismael A, Ghalib HW (1994)</w:t>
      </w:r>
      <w:r>
        <w:rPr>
          <w:noProof/>
          <w:sz w:val="22"/>
          <w:lang w:val="en-US"/>
        </w:rPr>
        <w:t>.</w:t>
      </w:r>
      <w:r w:rsidRPr="009F2BFE">
        <w:rPr>
          <w:noProof/>
          <w:sz w:val="22"/>
          <w:lang w:val="en-US"/>
        </w:rPr>
        <w:t xml:space="preserve"> Endemic kala-azar in eastern Sudan: a longitudinal study on the incidence of clinical and subclinical infection and post-kala-azar dermal leishmaniasis. Am J Trop Med Hyg 51 (6):826-836</w:t>
      </w:r>
      <w:bookmarkEnd w:id="10"/>
      <w:r>
        <w:rPr>
          <w:noProof/>
          <w:sz w:val="22"/>
          <w:lang w:val="en-US"/>
        </w:rPr>
        <w:t>.</w:t>
      </w:r>
      <w:r w:rsidR="00CC0C96" w:rsidRPr="009F2BFE">
        <w:rPr>
          <w:sz w:val="22"/>
          <w:lang w:val="en-US"/>
        </w:rPr>
        <w:fldChar w:fldCharType="end"/>
      </w:r>
    </w:p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03D9"/>
    <w:multiLevelType w:val="hybridMultilevel"/>
    <w:tmpl w:val="7330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0CC6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02C24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AC4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B0CC6"/>
    <w:rsid w:val="00CC0C96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C6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CB0CC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Sinespaciado">
    <w:name w:val="Sin espaciado"/>
    <w:link w:val="SinespaciadoCar"/>
    <w:qFormat/>
    <w:rsid w:val="00CB0CC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DefaultParagraphFont"/>
    <w:link w:val="Sinespaciado"/>
    <w:rsid w:val="00CB0CC6"/>
    <w:rPr>
      <w:rFonts w:ascii="Calibri" w:eastAsia="Times New Roman" w:hAnsi="Calibri" w:cs="Times New Roman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C6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8.5714285714285715E-2"/>
          <c:y val="5.9952038369304572E-2"/>
          <c:w val="0.90317460317460363"/>
          <c:h val="0.8201438848920863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4F81BD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Sheet1!$B$1:$X$1</c:f>
              <c:strCache>
                <c:ptCount val="23"/>
                <c:pt idx="0">
                  <c:v>'89</c:v>
                </c:pt>
                <c:pt idx="1">
                  <c:v>'90</c:v>
                </c:pt>
                <c:pt idx="2">
                  <c:v>'91</c:v>
                </c:pt>
                <c:pt idx="3">
                  <c:v>'92</c:v>
                </c:pt>
                <c:pt idx="4">
                  <c:v>'93</c:v>
                </c:pt>
                <c:pt idx="5">
                  <c:v>'94</c:v>
                </c:pt>
                <c:pt idx="6">
                  <c:v>'95</c:v>
                </c:pt>
                <c:pt idx="7">
                  <c:v>'96</c:v>
                </c:pt>
                <c:pt idx="8">
                  <c:v>'97</c:v>
                </c:pt>
                <c:pt idx="9">
                  <c:v>'98</c:v>
                </c:pt>
                <c:pt idx="10">
                  <c:v>'99</c:v>
                </c:pt>
                <c:pt idx="11">
                  <c:v>'00</c:v>
                </c:pt>
                <c:pt idx="12">
                  <c:v>'01</c:v>
                </c:pt>
                <c:pt idx="13">
                  <c:v>'02</c:v>
                </c:pt>
                <c:pt idx="14">
                  <c:v>'03</c:v>
                </c:pt>
                <c:pt idx="15">
                  <c:v>'04</c:v>
                </c:pt>
                <c:pt idx="16">
                  <c:v>'05</c:v>
                </c:pt>
                <c:pt idx="17">
                  <c:v>'06</c:v>
                </c:pt>
                <c:pt idx="18">
                  <c:v>'07</c:v>
                </c:pt>
                <c:pt idx="19">
                  <c:v>'08</c:v>
                </c:pt>
                <c:pt idx="20">
                  <c:v>'09</c:v>
                </c:pt>
                <c:pt idx="21">
                  <c:v>'10</c:v>
                </c:pt>
                <c:pt idx="22">
                  <c:v>'11</c:v>
                </c:pt>
              </c:strCache>
            </c:strRef>
          </c:cat>
          <c:val>
            <c:numRef>
              <c:f>Sheet1!$B$2:$X$2</c:f>
              <c:numCache>
                <c:formatCode>General</c:formatCode>
                <c:ptCount val="23"/>
                <c:pt idx="0">
                  <c:v>859</c:v>
                </c:pt>
                <c:pt idx="1">
                  <c:v>2355</c:v>
                </c:pt>
                <c:pt idx="2">
                  <c:v>8379</c:v>
                </c:pt>
                <c:pt idx="3">
                  <c:v>3099</c:v>
                </c:pt>
                <c:pt idx="4">
                  <c:v>1486</c:v>
                </c:pt>
                <c:pt idx="5">
                  <c:v>2195</c:v>
                </c:pt>
                <c:pt idx="6">
                  <c:v>1594</c:v>
                </c:pt>
                <c:pt idx="7">
                  <c:v>843</c:v>
                </c:pt>
                <c:pt idx="8">
                  <c:v>447</c:v>
                </c:pt>
                <c:pt idx="9">
                  <c:v>322</c:v>
                </c:pt>
                <c:pt idx="10">
                  <c:v>1612</c:v>
                </c:pt>
                <c:pt idx="11">
                  <c:v>1175</c:v>
                </c:pt>
                <c:pt idx="12">
                  <c:v>2596</c:v>
                </c:pt>
                <c:pt idx="13">
                  <c:v>4761</c:v>
                </c:pt>
                <c:pt idx="14">
                  <c:v>7722</c:v>
                </c:pt>
                <c:pt idx="15">
                  <c:v>3777</c:v>
                </c:pt>
                <c:pt idx="16">
                  <c:v>3141</c:v>
                </c:pt>
                <c:pt idx="17">
                  <c:v>1117</c:v>
                </c:pt>
                <c:pt idx="18">
                  <c:v>758</c:v>
                </c:pt>
                <c:pt idx="19">
                  <c:v>582</c:v>
                </c:pt>
                <c:pt idx="20">
                  <c:v>1907</c:v>
                </c:pt>
                <c:pt idx="21">
                  <c:v>9166</c:v>
                </c:pt>
                <c:pt idx="22">
                  <c:v>10413</c:v>
                </c:pt>
              </c:numCache>
            </c:numRef>
          </c:val>
        </c:ser>
        <c:axId val="241547904"/>
        <c:axId val="253408000"/>
      </c:barChart>
      <c:catAx>
        <c:axId val="2415479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53408000"/>
        <c:crosses val="autoZero"/>
        <c:auto val="1"/>
        <c:lblAlgn val="ctr"/>
        <c:lblOffset val="100"/>
        <c:tickMarkSkip val="1"/>
      </c:catAx>
      <c:valAx>
        <c:axId val="2534080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41547904"/>
        <c:crosses val="autoZero"/>
        <c:crossBetween val="between"/>
      </c:valAx>
      <c:dTable>
        <c:showHorzBorder val="1"/>
        <c:showVertBorder val="1"/>
        <c:showOutline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en-US"/>
          </a:p>
        </c:txPr>
      </c:dTable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2012-04-02T13:36:00Z</dcterms:created>
  <dcterms:modified xsi:type="dcterms:W3CDTF">2012-04-02T19:25:00Z</dcterms:modified>
</cp:coreProperties>
</file>