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13" w:rsidRPr="002C75B8" w:rsidRDefault="00817313" w:rsidP="00817313">
      <w:pPr>
        <w:spacing w:line="480" w:lineRule="auto"/>
        <w:ind w:left="0" w:firstLine="0"/>
        <w:rPr>
          <w:b/>
          <w:sz w:val="22"/>
          <w:u w:val="single"/>
          <w:lang w:val="en-GB"/>
        </w:rPr>
      </w:pPr>
      <w:smartTag w:uri="urn:schemas-microsoft-com:office:smarttags" w:element="place">
        <w:smartTag w:uri="urn:schemas-microsoft-com:office:smarttags" w:element="country-region">
          <w:r w:rsidRPr="002C75B8">
            <w:rPr>
              <w:b/>
              <w:sz w:val="22"/>
              <w:u w:val="single"/>
              <w:lang w:val="en-GB"/>
            </w:rPr>
            <w:t>PAKISTAN</w:t>
          </w:r>
        </w:smartTag>
      </w:smartTag>
      <w:r w:rsidRPr="002C75B8">
        <w:rPr>
          <w:b/>
          <w:sz w:val="22"/>
          <w:u w:val="single"/>
          <w:lang w:val="en-GB"/>
        </w:rPr>
        <w:t xml:space="preserve">   </w:t>
      </w: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  <w:r>
        <w:rPr>
          <w:b/>
          <w:noProof/>
          <w:sz w:val="22"/>
          <w:lang w:val="en-US"/>
        </w:rPr>
        <w:drawing>
          <wp:inline distT="0" distB="0" distL="0" distR="0">
            <wp:extent cx="2217420" cy="1485900"/>
            <wp:effectExtent l="19050" t="0" r="0" b="0"/>
            <wp:docPr id="2" name="Picture 2" descr="PK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K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7313" w:rsidRPr="002C75B8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  <w:r w:rsidRPr="002C75B8">
        <w:rPr>
          <w:b/>
          <w:sz w:val="22"/>
          <w:lang w:val="en-GB"/>
        </w:rPr>
        <w:t>BASIC COUNTRY DATA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Total Population: 1</w:t>
      </w:r>
      <w:r>
        <w:rPr>
          <w:sz w:val="22"/>
          <w:lang w:val="en-GB"/>
        </w:rPr>
        <w:t>73,593,383</w:t>
      </w:r>
      <w:r w:rsidRPr="002C75B8">
        <w:rPr>
          <w:sz w:val="22"/>
          <w:lang w:val="en-GB"/>
        </w:rPr>
        <w:t xml:space="preserve">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Population 0-14 years: 3</w:t>
      </w:r>
      <w:r>
        <w:rPr>
          <w:sz w:val="22"/>
          <w:lang w:val="en-GB"/>
        </w:rPr>
        <w:t>5</w:t>
      </w:r>
      <w:r w:rsidRPr="002C75B8">
        <w:rPr>
          <w:sz w:val="22"/>
          <w:lang w:val="en-GB"/>
        </w:rPr>
        <w:t xml:space="preserve">%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Rural population: 6</w:t>
      </w:r>
      <w:r>
        <w:rPr>
          <w:sz w:val="22"/>
          <w:lang w:val="en-GB"/>
        </w:rPr>
        <w:t>3</w:t>
      </w:r>
      <w:r w:rsidRPr="002C75B8">
        <w:rPr>
          <w:sz w:val="22"/>
          <w:lang w:val="en-GB"/>
        </w:rPr>
        <w:t xml:space="preserve">%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Population living under 1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 xml:space="preserve">25 USD </w:t>
      </w:r>
      <w:r>
        <w:rPr>
          <w:sz w:val="22"/>
          <w:lang w:val="en-GB"/>
        </w:rPr>
        <w:t>a</w:t>
      </w:r>
      <w:r w:rsidRPr="002C75B8">
        <w:rPr>
          <w:sz w:val="22"/>
          <w:lang w:val="en-GB"/>
        </w:rPr>
        <w:t xml:space="preserve"> day: 22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>6%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 xml:space="preserve">Population living under the national poverty line: </w:t>
      </w:r>
      <w:r>
        <w:rPr>
          <w:sz w:val="22"/>
          <w:lang w:val="en-GB"/>
        </w:rPr>
        <w:t>22.3</w:t>
      </w:r>
      <w:r w:rsidRPr="002C75B8">
        <w:rPr>
          <w:sz w:val="22"/>
          <w:lang w:val="en-GB"/>
        </w:rPr>
        <w:t>%</w:t>
      </w:r>
      <w:r w:rsidRPr="002C75B8">
        <w:rPr>
          <w:sz w:val="22"/>
          <w:lang w:val="en-GB"/>
        </w:rPr>
        <w:tab/>
        <w:t xml:space="preserve"> </w:t>
      </w:r>
    </w:p>
    <w:p w:rsidR="00817313" w:rsidRPr="002C75B8" w:rsidRDefault="00817313" w:rsidP="00817313">
      <w:pPr>
        <w:ind w:left="0" w:firstLine="0"/>
        <w:rPr>
          <w:sz w:val="22"/>
          <w:vertAlign w:val="superscript"/>
          <w:lang w:val="en-GB"/>
        </w:rPr>
      </w:pPr>
      <w:r w:rsidRPr="002C75B8">
        <w:rPr>
          <w:sz w:val="22"/>
          <w:lang w:val="en-GB"/>
        </w:rPr>
        <w:t xml:space="preserve">Income status: Lower middle income economy </w:t>
      </w:r>
    </w:p>
    <w:p w:rsidR="00817313" w:rsidRPr="002C75B8" w:rsidRDefault="00817313" w:rsidP="00817313">
      <w:pPr>
        <w:ind w:left="0" w:firstLine="0"/>
        <w:rPr>
          <w:color w:val="000000"/>
          <w:sz w:val="22"/>
          <w:lang w:val="en-GB"/>
        </w:rPr>
      </w:pPr>
      <w:r w:rsidRPr="002C75B8">
        <w:rPr>
          <w:color w:val="000000"/>
          <w:sz w:val="22"/>
          <w:lang w:val="en-GB"/>
        </w:rPr>
        <w:t xml:space="preserve">Ranking: </w:t>
      </w:r>
      <w:r>
        <w:rPr>
          <w:color w:val="000000"/>
          <w:sz w:val="22"/>
          <w:lang w:val="en-GB"/>
        </w:rPr>
        <w:t>Low</w:t>
      </w:r>
      <w:r w:rsidRPr="002C75B8">
        <w:rPr>
          <w:color w:val="000000"/>
          <w:sz w:val="22"/>
          <w:lang w:val="en-GB"/>
        </w:rPr>
        <w:t xml:space="preserve"> human development (ranking 14</w:t>
      </w:r>
      <w:r>
        <w:rPr>
          <w:color w:val="000000"/>
          <w:sz w:val="22"/>
          <w:lang w:val="en-GB"/>
        </w:rPr>
        <w:t>5</w:t>
      </w:r>
      <w:r w:rsidRPr="002C75B8">
        <w:rPr>
          <w:color w:val="000000"/>
          <w:sz w:val="22"/>
          <w:lang w:val="en-GB"/>
        </w:rPr>
        <w:t>)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 xml:space="preserve">Per capita total expenditure on health at average exchange rate (US dollar): </w:t>
      </w:r>
      <w:r>
        <w:rPr>
          <w:sz w:val="22"/>
          <w:lang w:val="en-GB"/>
        </w:rPr>
        <w:t>2</w:t>
      </w:r>
      <w:r w:rsidRPr="002C75B8">
        <w:rPr>
          <w:sz w:val="22"/>
          <w:lang w:val="en-GB"/>
        </w:rPr>
        <w:t xml:space="preserve">3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Life expectancy at birth (years): 6</w:t>
      </w:r>
      <w:r>
        <w:rPr>
          <w:sz w:val="22"/>
          <w:lang w:val="en-GB"/>
        </w:rPr>
        <w:t>5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Health</w:t>
      </w:r>
      <w:r>
        <w:rPr>
          <w:sz w:val="22"/>
          <w:lang w:val="en-GB"/>
        </w:rPr>
        <w:t>y</w:t>
      </w:r>
      <w:r w:rsidRPr="002C75B8">
        <w:rPr>
          <w:sz w:val="22"/>
          <w:lang w:val="en-GB"/>
        </w:rPr>
        <w:t xml:space="preserve"> life expectancy at birth (years): 53 </w:t>
      </w:r>
    </w:p>
    <w:p w:rsidR="00817313" w:rsidRPr="002C75B8" w:rsidRDefault="00817313" w:rsidP="00817313">
      <w:pPr>
        <w:spacing w:line="480" w:lineRule="auto"/>
        <w:ind w:left="0" w:firstLine="0"/>
        <w:rPr>
          <w:sz w:val="22"/>
          <w:lang w:val="en-GB"/>
        </w:rPr>
      </w:pPr>
    </w:p>
    <w:p w:rsidR="00817313" w:rsidRPr="002C75B8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  <w:r w:rsidRPr="002C75B8">
        <w:rPr>
          <w:b/>
          <w:sz w:val="22"/>
          <w:lang w:val="en-GB"/>
        </w:rPr>
        <w:t xml:space="preserve">BACKGROUND INFORMATION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VL was first reported in 1960, and now sporadically</w:t>
      </w:r>
      <w:r>
        <w:rPr>
          <w:sz w:val="22"/>
          <w:lang w:val="en-GB"/>
        </w:rPr>
        <w:t xml:space="preserve"> occurs</w:t>
      </w:r>
      <w:r w:rsidRPr="002C75B8">
        <w:rPr>
          <w:sz w:val="22"/>
          <w:lang w:val="en-GB"/>
        </w:rPr>
        <w:t xml:space="preserve"> in the Northern Areas and neighbo</w:t>
      </w:r>
      <w:r>
        <w:rPr>
          <w:sz w:val="22"/>
          <w:lang w:val="en-GB"/>
        </w:rPr>
        <w:t>u</w:t>
      </w:r>
      <w:r w:rsidRPr="002C75B8">
        <w:rPr>
          <w:sz w:val="22"/>
          <w:lang w:val="en-GB"/>
        </w:rPr>
        <w:t xml:space="preserve">ring parts of North West Frontier Province (NWFP) and Punjab. The transmission occurs mostly between the </w:t>
      </w:r>
      <w:proofErr w:type="gramStart"/>
      <w:r w:rsidRPr="002C75B8">
        <w:rPr>
          <w:sz w:val="22"/>
          <w:lang w:val="en-GB"/>
        </w:rPr>
        <w:t>altitude</w:t>
      </w:r>
      <w:proofErr w:type="gramEnd"/>
      <w:r w:rsidRPr="002C75B8">
        <w:rPr>
          <w:sz w:val="22"/>
          <w:lang w:val="en-GB"/>
        </w:rPr>
        <w:t xml:space="preserve"> of 1500</w:t>
      </w:r>
      <w:r>
        <w:rPr>
          <w:sz w:val="22"/>
          <w:lang w:val="en-GB"/>
        </w:rPr>
        <w:t xml:space="preserve"> to</w:t>
      </w:r>
      <w:r w:rsidRPr="002C75B8">
        <w:rPr>
          <w:sz w:val="22"/>
          <w:lang w:val="en-GB"/>
        </w:rPr>
        <w:t>1800 mete</w:t>
      </w:r>
      <w:r>
        <w:rPr>
          <w:sz w:val="22"/>
          <w:lang w:val="en-GB"/>
        </w:rPr>
        <w:t>r</w:t>
      </w:r>
      <w:r w:rsidRPr="002C75B8">
        <w:rPr>
          <w:sz w:val="22"/>
          <w:lang w:val="en-GB"/>
        </w:rPr>
        <w:t>s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where the </w:t>
      </w:r>
      <w:r>
        <w:rPr>
          <w:sz w:val="22"/>
          <w:lang w:val="en-GB"/>
        </w:rPr>
        <w:t xml:space="preserve">valley </w:t>
      </w:r>
      <w:r w:rsidRPr="002C75B8">
        <w:rPr>
          <w:sz w:val="22"/>
          <w:lang w:val="en-GB"/>
        </w:rPr>
        <w:t xml:space="preserve">population usually migrate </w:t>
      </w:r>
      <w:r>
        <w:rPr>
          <w:sz w:val="22"/>
          <w:lang w:val="en-GB"/>
        </w:rPr>
        <w:t xml:space="preserve">to </w:t>
      </w:r>
      <w:r w:rsidRPr="002C75B8">
        <w:rPr>
          <w:sz w:val="22"/>
          <w:lang w:val="en-GB"/>
        </w:rPr>
        <w:t>during summer months. Most cases are children under 10 years old. Serological surveys indicate the existence of many asymptomatic or self</w:t>
      </w:r>
      <w:r>
        <w:rPr>
          <w:sz w:val="22"/>
          <w:lang w:val="en-GB"/>
        </w:rPr>
        <w:t>-</w:t>
      </w:r>
      <w:r w:rsidRPr="002C75B8">
        <w:rPr>
          <w:sz w:val="22"/>
          <w:lang w:val="en-GB"/>
        </w:rPr>
        <w:t>curing infections. Currently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the amount of VL cases is unknown</w:t>
      </w:r>
      <w:r>
        <w:rPr>
          <w:sz w:val="22"/>
          <w:lang w:val="en-GB"/>
        </w:rPr>
        <w:t xml:space="preserve">, as </w:t>
      </w:r>
      <w:r w:rsidRPr="002C75B8">
        <w:rPr>
          <w:sz w:val="22"/>
          <w:lang w:val="en-GB"/>
        </w:rPr>
        <w:t xml:space="preserve">no reporting system is in place.  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</w:p>
    <w:p w:rsidR="00817313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CL is a major and fast increasing public health problem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both among the local Pakistani population and </w:t>
      </w:r>
      <w:r>
        <w:rPr>
          <w:sz w:val="22"/>
          <w:lang w:val="en-GB"/>
        </w:rPr>
        <w:t xml:space="preserve">the </w:t>
      </w:r>
      <w:r w:rsidRPr="002C75B8">
        <w:rPr>
          <w:sz w:val="22"/>
          <w:lang w:val="en-GB"/>
        </w:rPr>
        <w:t>Afghan refugees in camps. Its extensive spread</w:t>
      </w:r>
      <w:r>
        <w:rPr>
          <w:sz w:val="22"/>
          <w:lang w:val="en-GB"/>
        </w:rPr>
        <w:t>ing</w:t>
      </w:r>
      <w:r w:rsidRPr="002C75B8">
        <w:rPr>
          <w:sz w:val="22"/>
          <w:lang w:val="en-GB"/>
        </w:rPr>
        <w:t xml:space="preserve"> has been associated with mass migration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from endemic to non-endemic areas and vice versa, and </w:t>
      </w:r>
      <w:r>
        <w:rPr>
          <w:sz w:val="22"/>
          <w:lang w:val="en-GB"/>
        </w:rPr>
        <w:t>with</w:t>
      </w:r>
      <w:r w:rsidRPr="002C75B8">
        <w:rPr>
          <w:sz w:val="22"/>
          <w:lang w:val="en-GB"/>
        </w:rPr>
        <w:t xml:space="preserve"> Afghan refugees from areas where CL is highly endemic. </w:t>
      </w:r>
      <w:r>
        <w:rPr>
          <w:sz w:val="22"/>
          <w:lang w:val="en-GB"/>
        </w:rPr>
        <w:t xml:space="preserve">Outbreaks are frequent, for example, early </w:t>
      </w:r>
      <w:smartTag w:uri="urn:schemas-microsoft-com:office:smarttags" w:element="metricconverter">
        <w:smartTagPr>
          <w:attr w:name="ProductID" w:val="2011, in"/>
        </w:smartTagPr>
        <w:r>
          <w:rPr>
            <w:sz w:val="22"/>
            <w:lang w:val="en-GB"/>
          </w:rPr>
          <w:t>2011, in</w:t>
        </w:r>
      </w:smartTag>
      <w:r>
        <w:rPr>
          <w:sz w:val="22"/>
          <w:lang w:val="en-GB"/>
        </w:rPr>
        <w:t xml:space="preserve"> </w:t>
      </w:r>
      <w:proofErr w:type="spellStart"/>
      <w:r w:rsidRPr="00004838">
        <w:rPr>
          <w:sz w:val="22"/>
          <w:lang w:val="en-GB"/>
        </w:rPr>
        <w:t>Mianwali</w:t>
      </w:r>
      <w:proofErr w:type="spellEnd"/>
      <w:r>
        <w:rPr>
          <w:sz w:val="22"/>
          <w:lang w:val="en-GB"/>
        </w:rPr>
        <w:t xml:space="preserve">, </w:t>
      </w:r>
      <w:r w:rsidRPr="00004838">
        <w:rPr>
          <w:sz w:val="22"/>
          <w:lang w:val="en-GB"/>
        </w:rPr>
        <w:t>Punjab province</w:t>
      </w:r>
      <w:r>
        <w:rPr>
          <w:sz w:val="22"/>
          <w:lang w:val="en-GB"/>
        </w:rPr>
        <w:t>,</w:t>
      </w:r>
      <w:r w:rsidRPr="00004838">
        <w:rPr>
          <w:sz w:val="22"/>
          <w:lang w:val="en-GB"/>
        </w:rPr>
        <w:t xml:space="preserve"> which is </w:t>
      </w:r>
      <w:r>
        <w:rPr>
          <w:sz w:val="22"/>
          <w:lang w:val="en-GB"/>
        </w:rPr>
        <w:t xml:space="preserve">a </w:t>
      </w:r>
      <w:r w:rsidRPr="00004838">
        <w:rPr>
          <w:sz w:val="22"/>
          <w:lang w:val="en-GB"/>
        </w:rPr>
        <w:t xml:space="preserve">bordering district with </w:t>
      </w:r>
      <w:proofErr w:type="spellStart"/>
      <w:r w:rsidRPr="00004838">
        <w:rPr>
          <w:sz w:val="22"/>
          <w:lang w:val="en-GB"/>
        </w:rPr>
        <w:t>Kyber</w:t>
      </w:r>
      <w:proofErr w:type="spellEnd"/>
      <w:r w:rsidRPr="00004838">
        <w:rPr>
          <w:sz w:val="22"/>
          <w:lang w:val="en-GB"/>
        </w:rPr>
        <w:t xml:space="preserve"> </w:t>
      </w:r>
      <w:proofErr w:type="spellStart"/>
      <w:r w:rsidRPr="00004838">
        <w:rPr>
          <w:sz w:val="22"/>
          <w:lang w:val="en-GB"/>
        </w:rPr>
        <w:t>Pakhtunkhwa</w:t>
      </w:r>
      <w:proofErr w:type="spellEnd"/>
      <w:r w:rsidRPr="00004838">
        <w:rPr>
          <w:sz w:val="22"/>
          <w:lang w:val="en-GB"/>
        </w:rPr>
        <w:t xml:space="preserve"> province</w:t>
      </w:r>
      <w:r>
        <w:rPr>
          <w:sz w:val="22"/>
          <w:lang w:val="en-GB"/>
        </w:rPr>
        <w:t>,</w:t>
      </w:r>
      <w:r w:rsidRPr="00004838">
        <w:rPr>
          <w:sz w:val="22"/>
          <w:lang w:val="en-GB"/>
        </w:rPr>
        <w:t xml:space="preserve"> and probably cases have come from Afghan refugees residing in the area. This</w:t>
      </w:r>
      <w:r>
        <w:rPr>
          <w:sz w:val="22"/>
          <w:lang w:val="en-GB"/>
        </w:rPr>
        <w:t xml:space="preserve"> was</w:t>
      </w:r>
      <w:r w:rsidRPr="00004838">
        <w:rPr>
          <w:sz w:val="22"/>
          <w:lang w:val="en-GB"/>
        </w:rPr>
        <w:t xml:space="preserve"> the second outbreak in </w:t>
      </w:r>
      <w:smartTag w:uri="urn:schemas-microsoft-com:office:smarttags" w:element="place">
        <w:r w:rsidRPr="00004838">
          <w:rPr>
            <w:sz w:val="22"/>
            <w:lang w:val="en-GB"/>
          </w:rPr>
          <w:t>Punjab</w:t>
        </w:r>
      </w:smartTag>
      <w:r w:rsidRPr="00004838">
        <w:rPr>
          <w:sz w:val="22"/>
          <w:lang w:val="en-GB"/>
        </w:rPr>
        <w:t xml:space="preserve"> province since the first o</w:t>
      </w:r>
      <w:r>
        <w:rPr>
          <w:sz w:val="22"/>
          <w:lang w:val="en-GB"/>
        </w:rPr>
        <w:t>ne,</w:t>
      </w:r>
      <w:r w:rsidRPr="00004838">
        <w:rPr>
          <w:sz w:val="22"/>
          <w:lang w:val="en-GB"/>
        </w:rPr>
        <w:t xml:space="preserve"> in </w:t>
      </w:r>
      <w:proofErr w:type="spellStart"/>
      <w:r w:rsidRPr="00004838">
        <w:rPr>
          <w:sz w:val="22"/>
          <w:lang w:val="en-GB"/>
        </w:rPr>
        <w:t>Chakwal</w:t>
      </w:r>
      <w:proofErr w:type="spellEnd"/>
      <w:r>
        <w:rPr>
          <w:sz w:val="22"/>
          <w:lang w:val="en-GB"/>
        </w:rPr>
        <w:t>,</w:t>
      </w:r>
      <w:r w:rsidRPr="00004838">
        <w:rPr>
          <w:sz w:val="22"/>
          <w:lang w:val="en-GB"/>
        </w:rPr>
        <w:t xml:space="preserve"> in 2004.</w:t>
      </w:r>
      <w:r>
        <w:rPr>
          <w:sz w:val="22"/>
          <w:lang w:val="en-GB"/>
        </w:rPr>
        <w:t xml:space="preserve"> </w:t>
      </w:r>
      <w:r w:rsidRPr="002C75B8">
        <w:rPr>
          <w:sz w:val="22"/>
          <w:lang w:val="en-GB"/>
        </w:rPr>
        <w:t xml:space="preserve">Two causative parasites are present: CL by </w:t>
      </w:r>
      <w:r w:rsidRPr="002C75B8">
        <w:rPr>
          <w:i/>
          <w:sz w:val="22"/>
          <w:lang w:val="en-GB"/>
        </w:rPr>
        <w:t>L. major</w:t>
      </w:r>
      <w:r w:rsidRPr="002C75B8">
        <w:rPr>
          <w:sz w:val="22"/>
          <w:lang w:val="en-GB"/>
        </w:rPr>
        <w:t xml:space="preserve"> is mainly occurring in Baluchistan and neighbo</w:t>
      </w:r>
      <w:r>
        <w:rPr>
          <w:sz w:val="22"/>
          <w:lang w:val="en-GB"/>
        </w:rPr>
        <w:t>u</w:t>
      </w:r>
      <w:r w:rsidRPr="002C75B8">
        <w:rPr>
          <w:sz w:val="22"/>
          <w:lang w:val="en-GB"/>
        </w:rPr>
        <w:t xml:space="preserve">ring Punjab and </w:t>
      </w:r>
      <w:proofErr w:type="spellStart"/>
      <w:r w:rsidRPr="002C75B8">
        <w:rPr>
          <w:sz w:val="22"/>
          <w:lang w:val="en-GB"/>
        </w:rPr>
        <w:t>Sindh</w:t>
      </w:r>
      <w:proofErr w:type="spellEnd"/>
      <w:r w:rsidRPr="002C75B8">
        <w:rPr>
          <w:sz w:val="22"/>
          <w:lang w:val="en-GB"/>
        </w:rPr>
        <w:t xml:space="preserve"> provinces, while CL by </w:t>
      </w:r>
      <w:r w:rsidRPr="002C75B8">
        <w:rPr>
          <w:i/>
          <w:sz w:val="22"/>
          <w:lang w:val="en-GB"/>
        </w:rPr>
        <w:t>L. tropica</w:t>
      </w:r>
      <w:r w:rsidRPr="002C75B8">
        <w:rPr>
          <w:sz w:val="22"/>
          <w:lang w:val="en-GB"/>
        </w:rPr>
        <w:t xml:space="preserve"> has the widest distribution and is prevalent in urban areas of southern Punjab (Multan) and </w:t>
      </w:r>
      <w:proofErr w:type="spellStart"/>
      <w:r w:rsidRPr="002C75B8">
        <w:rPr>
          <w:sz w:val="22"/>
          <w:lang w:val="en-GB"/>
        </w:rPr>
        <w:t>Balochistan</w:t>
      </w:r>
      <w:proofErr w:type="spellEnd"/>
      <w:r w:rsidRPr="002C75B8">
        <w:rPr>
          <w:sz w:val="22"/>
          <w:lang w:val="en-GB"/>
        </w:rPr>
        <w:t xml:space="preserve"> (Quetta), but also focally in the Northern Areas. Cases </w:t>
      </w:r>
      <w:r>
        <w:rPr>
          <w:sz w:val="22"/>
          <w:lang w:val="en-GB"/>
        </w:rPr>
        <w:t>have</w:t>
      </w:r>
      <w:r w:rsidRPr="002C75B8">
        <w:rPr>
          <w:sz w:val="22"/>
          <w:lang w:val="en-GB"/>
        </w:rPr>
        <w:t xml:space="preserve"> increasingly</w:t>
      </w:r>
      <w:r>
        <w:rPr>
          <w:sz w:val="22"/>
          <w:lang w:val="en-GB"/>
        </w:rPr>
        <w:t xml:space="preserve"> been </w:t>
      </w:r>
      <w:r w:rsidRPr="002C75B8">
        <w:rPr>
          <w:sz w:val="22"/>
          <w:lang w:val="en-GB"/>
        </w:rPr>
        <w:t xml:space="preserve">reported from towns of NWFP and </w:t>
      </w:r>
      <w:proofErr w:type="spellStart"/>
      <w:r w:rsidRPr="002C75B8">
        <w:rPr>
          <w:sz w:val="22"/>
          <w:lang w:val="en-GB"/>
        </w:rPr>
        <w:t>Balochistan</w:t>
      </w:r>
      <w:proofErr w:type="spellEnd"/>
      <w:r w:rsidRPr="002C75B8">
        <w:rPr>
          <w:sz w:val="22"/>
          <w:lang w:val="en-GB"/>
        </w:rPr>
        <w:t xml:space="preserve">. In a large survey </w:t>
      </w:r>
      <w:r>
        <w:rPr>
          <w:sz w:val="22"/>
          <w:lang w:val="en-GB"/>
        </w:rPr>
        <w:t xml:space="preserve">held </w:t>
      </w:r>
      <w:r w:rsidRPr="002C75B8">
        <w:rPr>
          <w:sz w:val="22"/>
          <w:lang w:val="en-GB"/>
        </w:rPr>
        <w:t>in 2002</w:t>
      </w:r>
      <w:r>
        <w:rPr>
          <w:sz w:val="22"/>
          <w:lang w:val="en-GB"/>
        </w:rPr>
        <w:t>-</w:t>
      </w:r>
      <w:r w:rsidRPr="002C75B8">
        <w:rPr>
          <w:sz w:val="22"/>
          <w:lang w:val="en-GB"/>
        </w:rPr>
        <w:t>2003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in NWFP province</w:t>
      </w:r>
      <w:r>
        <w:rPr>
          <w:sz w:val="22"/>
          <w:lang w:val="en-GB"/>
        </w:rPr>
        <w:t xml:space="preserve"> [1]</w:t>
      </w:r>
      <w:r w:rsidRPr="002C75B8">
        <w:rPr>
          <w:sz w:val="22"/>
          <w:lang w:val="en-GB"/>
        </w:rPr>
        <w:t>, the prevalence of active CL in refugee camps was found to be 2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>7% and</w:t>
      </w:r>
      <w:r>
        <w:rPr>
          <w:sz w:val="22"/>
          <w:lang w:val="en-GB"/>
        </w:rPr>
        <w:t xml:space="preserve"> the prevalence</w:t>
      </w:r>
      <w:r w:rsidRPr="002C75B8">
        <w:rPr>
          <w:sz w:val="22"/>
          <w:lang w:val="en-GB"/>
        </w:rPr>
        <w:t xml:space="preserve"> of scars 4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>2%. In neighbo</w:t>
      </w:r>
      <w:r>
        <w:rPr>
          <w:sz w:val="22"/>
          <w:lang w:val="en-GB"/>
        </w:rPr>
        <w:t>u</w:t>
      </w:r>
      <w:r w:rsidRPr="002C75B8">
        <w:rPr>
          <w:sz w:val="22"/>
          <w:lang w:val="en-GB"/>
        </w:rPr>
        <w:t>ring villages, active CL was prevalent in 1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>7% of cases, and scars in 4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>9%. Active CL was mostly found in children between 6</w:t>
      </w:r>
      <w:r>
        <w:rPr>
          <w:sz w:val="22"/>
          <w:lang w:val="en-GB"/>
        </w:rPr>
        <w:t xml:space="preserve"> and </w:t>
      </w:r>
      <w:r w:rsidRPr="002C75B8">
        <w:rPr>
          <w:sz w:val="22"/>
          <w:lang w:val="en-GB"/>
        </w:rPr>
        <w:t>15 year</w:t>
      </w:r>
      <w:r>
        <w:rPr>
          <w:sz w:val="22"/>
          <w:lang w:val="en-GB"/>
        </w:rPr>
        <w:t>s old</w:t>
      </w:r>
      <w:r w:rsidRPr="002C75B8">
        <w:rPr>
          <w:sz w:val="22"/>
          <w:lang w:val="en-GB"/>
        </w:rPr>
        <w:t xml:space="preserve">. CL was </w:t>
      </w:r>
      <w:r>
        <w:rPr>
          <w:sz w:val="22"/>
          <w:lang w:val="en-GB"/>
        </w:rPr>
        <w:t xml:space="preserve">strongly </w:t>
      </w:r>
      <w:r w:rsidRPr="002C75B8">
        <w:rPr>
          <w:sz w:val="22"/>
          <w:lang w:val="en-GB"/>
        </w:rPr>
        <w:t xml:space="preserve">associated with poverty.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 xml:space="preserve">In </w:t>
      </w:r>
      <w:smartTag w:uri="urn:schemas-microsoft-com:office:smarttags" w:element="metricconverter">
        <w:smartTagPr>
          <w:attr w:name="ProductID" w:val="1997, a"/>
        </w:smartTagPr>
        <w:r w:rsidRPr="002C75B8">
          <w:rPr>
            <w:sz w:val="22"/>
            <w:lang w:val="en-GB"/>
          </w:rPr>
          <w:t>1997, a</w:t>
        </w:r>
      </w:smartTag>
      <w:r w:rsidRPr="002C75B8">
        <w:rPr>
          <w:sz w:val="22"/>
          <w:lang w:val="en-GB"/>
        </w:rPr>
        <w:t xml:space="preserve"> large </w:t>
      </w:r>
      <w:r>
        <w:rPr>
          <w:sz w:val="22"/>
          <w:lang w:val="en-GB"/>
        </w:rPr>
        <w:t xml:space="preserve">CL </w:t>
      </w:r>
      <w:r w:rsidRPr="002C75B8">
        <w:rPr>
          <w:sz w:val="22"/>
          <w:lang w:val="en-GB"/>
        </w:rPr>
        <w:t xml:space="preserve">outbreak was reported from </w:t>
      </w:r>
      <w:proofErr w:type="spellStart"/>
      <w:r w:rsidRPr="002C75B8">
        <w:rPr>
          <w:sz w:val="22"/>
          <w:lang w:val="en-GB"/>
        </w:rPr>
        <w:t>Timargara</w:t>
      </w:r>
      <w:proofErr w:type="spellEnd"/>
      <w:r w:rsidRPr="002C75B8">
        <w:rPr>
          <w:sz w:val="22"/>
          <w:lang w:val="en-GB"/>
        </w:rPr>
        <w:t xml:space="preserve"> refugee camp in NWFP</w:t>
      </w:r>
      <w:r>
        <w:rPr>
          <w:sz w:val="22"/>
          <w:lang w:val="en-GB"/>
        </w:rPr>
        <w:t xml:space="preserve"> [2]</w:t>
      </w:r>
      <w:r w:rsidRPr="002C75B8">
        <w:rPr>
          <w:sz w:val="22"/>
          <w:lang w:val="en-GB"/>
        </w:rPr>
        <w:t xml:space="preserve">. Survey results showed that 38% of the camp population was affected during the </w:t>
      </w:r>
      <w:smartTag w:uri="urn:schemas-microsoft-com:office:smarttags" w:element="PersonName">
        <w:r w:rsidRPr="002C75B8">
          <w:rPr>
            <w:sz w:val="22"/>
            <w:lang w:val="en-GB"/>
          </w:rPr>
          <w:t>outbreak</w:t>
        </w:r>
      </w:smartTag>
      <w:r w:rsidRPr="002C75B8">
        <w:rPr>
          <w:sz w:val="22"/>
          <w:lang w:val="en-GB"/>
        </w:rPr>
        <w:t xml:space="preserve">, compared </w:t>
      </w:r>
      <w:r>
        <w:rPr>
          <w:sz w:val="22"/>
          <w:lang w:val="en-GB"/>
        </w:rPr>
        <w:t>to</w:t>
      </w:r>
      <w:r w:rsidRPr="002C75B8">
        <w:rPr>
          <w:sz w:val="22"/>
          <w:lang w:val="en-GB"/>
        </w:rPr>
        <w:t xml:space="preserve"> 17% the previous year, suggesting that the </w:t>
      </w:r>
      <w:smartTag w:uri="urn:schemas-microsoft-com:office:smarttags" w:element="PersonName">
        <w:r w:rsidRPr="002C75B8">
          <w:rPr>
            <w:sz w:val="22"/>
            <w:lang w:val="en-GB"/>
          </w:rPr>
          <w:t>outbreak</w:t>
        </w:r>
      </w:smartTag>
      <w:r w:rsidRPr="002C75B8">
        <w:rPr>
          <w:sz w:val="22"/>
          <w:lang w:val="en-GB"/>
        </w:rPr>
        <w:t xml:space="preserve"> originated within the camp. </w:t>
      </w:r>
      <w:r w:rsidRPr="002C75B8">
        <w:rPr>
          <w:i/>
          <w:sz w:val="22"/>
          <w:lang w:val="en-GB"/>
        </w:rPr>
        <w:t>L. tropica</w:t>
      </w:r>
      <w:r w:rsidRPr="002C75B8">
        <w:rPr>
          <w:sz w:val="22"/>
          <w:lang w:val="en-GB"/>
        </w:rPr>
        <w:t xml:space="preserve"> was confirmed</w:t>
      </w:r>
      <w:r>
        <w:rPr>
          <w:sz w:val="22"/>
          <w:lang w:val="en-GB"/>
        </w:rPr>
        <w:t xml:space="preserve"> [2]</w:t>
      </w:r>
      <w:r w:rsidRPr="002C75B8">
        <w:rPr>
          <w:sz w:val="22"/>
          <w:lang w:val="en-GB"/>
        </w:rPr>
        <w:t xml:space="preserve">. An epidemic occurred in </w:t>
      </w:r>
      <w:proofErr w:type="spellStart"/>
      <w:r w:rsidRPr="002C75B8">
        <w:rPr>
          <w:sz w:val="22"/>
          <w:lang w:val="en-GB"/>
        </w:rPr>
        <w:t>Kurrum</w:t>
      </w:r>
      <w:proofErr w:type="spellEnd"/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in the Federally Administered Tribal Area (FATA)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in October 2001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with an estimated 2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>000 cases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 xml:space="preserve"> </w:t>
      </w:r>
      <w:r>
        <w:rPr>
          <w:sz w:val="22"/>
          <w:lang w:val="en-GB"/>
        </w:rPr>
        <w:t>A</w:t>
      </w:r>
      <w:r w:rsidRPr="002C75B8">
        <w:rPr>
          <w:sz w:val="22"/>
          <w:lang w:val="en-GB"/>
        </w:rPr>
        <w:t xml:space="preserve"> WHO conducted survey </w:t>
      </w:r>
      <w:r w:rsidRPr="00562689">
        <w:rPr>
          <w:sz w:val="22"/>
          <w:lang w:val="en-GB"/>
        </w:rPr>
        <w:t xml:space="preserve">showed that the population was new to VL in the last 1-3 years and that they had very little knowledge about its spreading mode or about control measures. Another outbreak, in </w:t>
      </w:r>
      <w:proofErr w:type="spellStart"/>
      <w:r w:rsidRPr="00562689">
        <w:rPr>
          <w:sz w:val="22"/>
          <w:lang w:val="en-GB"/>
        </w:rPr>
        <w:t>Larkana</w:t>
      </w:r>
      <w:proofErr w:type="spellEnd"/>
      <w:r w:rsidRPr="00562689">
        <w:rPr>
          <w:sz w:val="22"/>
          <w:lang w:val="en-GB"/>
        </w:rPr>
        <w:t xml:space="preserve"> and </w:t>
      </w:r>
      <w:proofErr w:type="spellStart"/>
      <w:r w:rsidRPr="00562689">
        <w:rPr>
          <w:sz w:val="22"/>
          <w:lang w:val="en-GB"/>
        </w:rPr>
        <w:t>Dadu</w:t>
      </w:r>
      <w:proofErr w:type="spellEnd"/>
      <w:r w:rsidRPr="00562689">
        <w:rPr>
          <w:sz w:val="22"/>
          <w:lang w:val="en-GB"/>
        </w:rPr>
        <w:t xml:space="preserve"> city, in </w:t>
      </w:r>
      <w:proofErr w:type="spellStart"/>
      <w:r w:rsidRPr="00562689">
        <w:rPr>
          <w:sz w:val="22"/>
          <w:lang w:val="en-GB"/>
        </w:rPr>
        <w:t>Sindh</w:t>
      </w:r>
      <w:proofErr w:type="spellEnd"/>
      <w:r w:rsidRPr="00562689">
        <w:rPr>
          <w:sz w:val="22"/>
          <w:lang w:val="en-GB"/>
        </w:rPr>
        <w:t xml:space="preserve"> province, from December 2001-February 2002 caused an estimated 11,700 cases. The mean age of cases was 17 during this outbreak, and the male-female ratio was 1. Current (2009-2010) high case loads in hospitals suggest another </w:t>
      </w:r>
      <w:smartTag w:uri="urn:schemas-microsoft-com:office:smarttags" w:element="PersonName">
        <w:r w:rsidRPr="00562689">
          <w:rPr>
            <w:sz w:val="22"/>
            <w:lang w:val="en-GB"/>
          </w:rPr>
          <w:t>outbreak</w:t>
        </w:r>
      </w:smartTag>
      <w:r w:rsidRPr="00562689">
        <w:rPr>
          <w:sz w:val="22"/>
          <w:lang w:val="en-GB"/>
        </w:rPr>
        <w:t xml:space="preserve"> in FATA, Khyber</w:t>
      </w:r>
      <w:r w:rsidRPr="002C75B8">
        <w:rPr>
          <w:sz w:val="22"/>
          <w:lang w:val="en-GB"/>
        </w:rPr>
        <w:t xml:space="preserve"> Agency (Bara), </w:t>
      </w:r>
      <w:r>
        <w:rPr>
          <w:sz w:val="22"/>
          <w:lang w:val="en-GB"/>
        </w:rPr>
        <w:t xml:space="preserve">and </w:t>
      </w:r>
      <w:proofErr w:type="spellStart"/>
      <w:r w:rsidRPr="002C75B8">
        <w:rPr>
          <w:sz w:val="22"/>
          <w:lang w:val="en-GB"/>
        </w:rPr>
        <w:t>Torkhum</w:t>
      </w:r>
      <w:proofErr w:type="spellEnd"/>
      <w:r w:rsidRPr="002C75B8">
        <w:rPr>
          <w:sz w:val="22"/>
          <w:lang w:val="en-GB"/>
        </w:rPr>
        <w:t xml:space="preserve"> (bordering </w:t>
      </w:r>
      <w:smartTag w:uri="urn:schemas-microsoft-com:office:smarttags" w:element="country-region">
        <w:smartTag w:uri="urn:schemas-microsoft-com:office:smarttags" w:element="place">
          <w:r w:rsidRPr="002C75B8">
            <w:rPr>
              <w:sz w:val="22"/>
              <w:lang w:val="en-GB"/>
            </w:rPr>
            <w:t>Afghanistan</w:t>
          </w:r>
        </w:smartTag>
      </w:smartTag>
      <w:r w:rsidRPr="002C75B8">
        <w:rPr>
          <w:sz w:val="22"/>
          <w:lang w:val="en-GB"/>
        </w:rPr>
        <w:t xml:space="preserve">). CL is now estimated to affect 15,000-20,000 people in </w:t>
      </w:r>
      <w:smartTag w:uri="urn:schemas-microsoft-com:office:smarttags" w:element="country-region">
        <w:smartTag w:uri="urn:schemas-microsoft-com:office:smarttags" w:element="place">
          <w:r w:rsidRPr="002C75B8">
            <w:rPr>
              <w:sz w:val="22"/>
              <w:lang w:val="en-GB"/>
            </w:rPr>
            <w:t>Pakistan</w:t>
          </w:r>
        </w:smartTag>
      </w:smartTag>
      <w:r>
        <w:rPr>
          <w:sz w:val="22"/>
          <w:lang w:val="en-GB"/>
        </w:rPr>
        <w:t xml:space="preserve"> yearly</w:t>
      </w:r>
      <w:r w:rsidRPr="002C75B8">
        <w:rPr>
          <w:sz w:val="22"/>
          <w:lang w:val="en-GB"/>
        </w:rPr>
        <w:t>.</w:t>
      </w:r>
    </w:p>
    <w:p w:rsidR="00817313" w:rsidRPr="002C75B8" w:rsidRDefault="00817313" w:rsidP="00817313">
      <w:pPr>
        <w:ind w:left="0" w:firstLine="0"/>
        <w:rPr>
          <w:b/>
          <w:noProof/>
          <w:color w:val="1F497D"/>
          <w:sz w:val="22"/>
          <w:lang w:val="en-GB"/>
        </w:rPr>
      </w:pPr>
      <w:r w:rsidRPr="002C75B8">
        <w:rPr>
          <w:b/>
          <w:noProof/>
          <w:color w:val="1F497D"/>
          <w:sz w:val="22"/>
          <w:lang w:val="en-GB"/>
        </w:rPr>
        <w:t xml:space="preserve"> </w:t>
      </w:r>
    </w:p>
    <w:p w:rsidR="00817313" w:rsidRPr="002C75B8" w:rsidRDefault="00817313" w:rsidP="00817313">
      <w:pPr>
        <w:ind w:left="0" w:firstLine="0"/>
        <w:rPr>
          <w:b/>
          <w:noProof/>
          <w:color w:val="1F497D"/>
          <w:sz w:val="22"/>
          <w:lang w:val="en-GB"/>
        </w:rPr>
      </w:pPr>
      <w:r w:rsidRPr="002C75B8">
        <w:rPr>
          <w:sz w:val="22"/>
          <w:lang w:val="en-GB"/>
        </w:rPr>
        <w:t>CL causes severe stigma</w:t>
      </w:r>
      <w:r>
        <w:rPr>
          <w:sz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lang w:val="en-GB"/>
            </w:rPr>
            <w:t>Pakistan</w:t>
          </w:r>
        </w:smartTag>
      </w:smartTag>
      <w:r w:rsidRPr="002C75B8">
        <w:rPr>
          <w:sz w:val="22"/>
          <w:lang w:val="en-GB"/>
        </w:rPr>
        <w:t>. Due to a lack of awareness of the nature and mode of transmission of the disease, people with lesions and scars are victimized and excluded from communal life. Especially young women are affected</w:t>
      </w:r>
      <w:r>
        <w:rPr>
          <w:sz w:val="22"/>
          <w:lang w:val="en-GB"/>
        </w:rPr>
        <w:t xml:space="preserve"> and</w:t>
      </w:r>
      <w:r w:rsidRPr="002C75B8">
        <w:rPr>
          <w:sz w:val="22"/>
          <w:lang w:val="en-GB"/>
        </w:rPr>
        <w:t xml:space="preserve"> are often deemed unfit for marriage and child rearing</w:t>
      </w:r>
      <w:r>
        <w:rPr>
          <w:sz w:val="22"/>
          <w:lang w:val="en-GB"/>
        </w:rPr>
        <w:t xml:space="preserve"> [3]</w:t>
      </w:r>
      <w:r w:rsidRPr="002C75B8">
        <w:rPr>
          <w:sz w:val="22"/>
          <w:lang w:val="en-GB"/>
        </w:rPr>
        <w:t xml:space="preserve">.  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>
        <w:rPr>
          <w:sz w:val="22"/>
          <w:lang w:val="en-GB"/>
        </w:rPr>
        <w:t>No HIV/</w:t>
      </w:r>
      <w:r w:rsidRPr="00F2492B">
        <w:rPr>
          <w:i/>
          <w:iCs/>
          <w:sz w:val="22"/>
          <w:lang w:val="en-GB"/>
        </w:rPr>
        <w:t>Leishmania</w:t>
      </w:r>
      <w:r w:rsidRPr="002C75B8">
        <w:rPr>
          <w:sz w:val="22"/>
          <w:lang w:val="en-GB"/>
        </w:rPr>
        <w:t xml:space="preserve"> co</w:t>
      </w:r>
      <w:r>
        <w:rPr>
          <w:sz w:val="22"/>
          <w:lang w:val="en-GB"/>
        </w:rPr>
        <w:t>-</w:t>
      </w:r>
      <w:r w:rsidRPr="002C75B8">
        <w:rPr>
          <w:sz w:val="22"/>
          <w:lang w:val="en-GB"/>
        </w:rPr>
        <w:t xml:space="preserve">infection has been reported.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</w:p>
    <w:p w:rsidR="00817313" w:rsidRPr="002C75B8" w:rsidRDefault="00817313" w:rsidP="00817313">
      <w:pPr>
        <w:spacing w:line="360" w:lineRule="auto"/>
        <w:ind w:left="0" w:firstLine="0"/>
        <w:rPr>
          <w:sz w:val="22"/>
          <w:lang w:val="en-GB"/>
        </w:rPr>
      </w:pPr>
      <w:r w:rsidRPr="002C75B8">
        <w:rPr>
          <w:b/>
          <w:sz w:val="22"/>
          <w:lang w:val="en-GB"/>
        </w:rPr>
        <w:t xml:space="preserve">PARASITOLOGICAL INFORMATION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694"/>
        <w:gridCol w:w="2118"/>
        <w:gridCol w:w="3748"/>
      </w:tblGrid>
      <w:tr w:rsidR="00817313" w:rsidRPr="002C75B8" w:rsidTr="00A7768B">
        <w:trPr>
          <w:trHeight w:val="413"/>
        </w:trPr>
        <w:tc>
          <w:tcPr>
            <w:tcW w:w="1728" w:type="dxa"/>
            <w:vAlign w:val="center"/>
          </w:tcPr>
          <w:p w:rsidR="00817313" w:rsidRPr="002C75B8" w:rsidRDefault="00817313" w:rsidP="00A7768B">
            <w:pPr>
              <w:ind w:left="0" w:firstLine="0"/>
              <w:jc w:val="center"/>
              <w:rPr>
                <w:b/>
                <w:iCs/>
                <w:sz w:val="22"/>
                <w:lang w:val="en-GB"/>
              </w:rPr>
            </w:pPr>
            <w:r w:rsidRPr="002C75B8">
              <w:rPr>
                <w:b/>
                <w:iCs/>
                <w:sz w:val="22"/>
                <w:lang w:val="en-GB"/>
              </w:rPr>
              <w:t>Leishmania species</w:t>
            </w:r>
          </w:p>
        </w:tc>
        <w:tc>
          <w:tcPr>
            <w:tcW w:w="1694" w:type="dxa"/>
            <w:vAlign w:val="center"/>
          </w:tcPr>
          <w:p w:rsidR="00817313" w:rsidRPr="002C75B8" w:rsidRDefault="00817313" w:rsidP="00A7768B">
            <w:pPr>
              <w:ind w:left="0" w:firstLine="0"/>
              <w:jc w:val="center"/>
              <w:rPr>
                <w:b/>
                <w:sz w:val="22"/>
                <w:lang w:val="en-GB"/>
              </w:rPr>
            </w:pPr>
            <w:r w:rsidRPr="002C75B8">
              <w:rPr>
                <w:b/>
                <w:sz w:val="22"/>
                <w:lang w:val="en-GB"/>
              </w:rPr>
              <w:t>Clinical form</w:t>
            </w:r>
          </w:p>
        </w:tc>
        <w:tc>
          <w:tcPr>
            <w:tcW w:w="0" w:type="auto"/>
            <w:vAlign w:val="center"/>
          </w:tcPr>
          <w:p w:rsidR="00817313" w:rsidRPr="002C75B8" w:rsidRDefault="00817313" w:rsidP="00A7768B">
            <w:pPr>
              <w:ind w:left="0" w:firstLine="0"/>
              <w:jc w:val="center"/>
              <w:rPr>
                <w:b/>
                <w:iCs/>
                <w:sz w:val="22"/>
                <w:lang w:val="en-GB"/>
              </w:rPr>
            </w:pPr>
            <w:r w:rsidRPr="002C75B8">
              <w:rPr>
                <w:b/>
                <w:iCs/>
                <w:sz w:val="22"/>
                <w:lang w:val="en-GB"/>
              </w:rPr>
              <w:t>Vector species</w:t>
            </w:r>
          </w:p>
        </w:tc>
        <w:tc>
          <w:tcPr>
            <w:tcW w:w="3748" w:type="dxa"/>
            <w:vAlign w:val="center"/>
          </w:tcPr>
          <w:p w:rsidR="00817313" w:rsidRPr="002C75B8" w:rsidRDefault="00817313" w:rsidP="00A7768B">
            <w:pPr>
              <w:ind w:left="0" w:firstLine="0"/>
              <w:jc w:val="center"/>
              <w:rPr>
                <w:b/>
                <w:iCs/>
                <w:sz w:val="22"/>
                <w:lang w:val="en-GB"/>
              </w:rPr>
            </w:pPr>
            <w:r w:rsidRPr="002C75B8">
              <w:rPr>
                <w:b/>
                <w:iCs/>
                <w:sz w:val="22"/>
                <w:lang w:val="en-GB"/>
              </w:rPr>
              <w:t>Reservoirs</w:t>
            </w:r>
          </w:p>
        </w:tc>
      </w:tr>
      <w:tr w:rsidR="00817313" w:rsidRPr="002C75B8" w:rsidTr="00A7768B">
        <w:trPr>
          <w:trHeight w:val="413"/>
        </w:trPr>
        <w:tc>
          <w:tcPr>
            <w:tcW w:w="1728" w:type="dxa"/>
            <w:vAlign w:val="center"/>
          </w:tcPr>
          <w:p w:rsidR="00817313" w:rsidRPr="002C75B8" w:rsidRDefault="00817313" w:rsidP="00A7768B">
            <w:pPr>
              <w:spacing w:line="360" w:lineRule="auto"/>
              <w:ind w:left="0" w:firstLine="0"/>
              <w:rPr>
                <w:i/>
                <w:iCs/>
                <w:sz w:val="22"/>
                <w:lang w:val="en-GB"/>
              </w:rPr>
            </w:pPr>
            <w:r w:rsidRPr="002C75B8">
              <w:rPr>
                <w:i/>
                <w:iCs/>
                <w:sz w:val="22"/>
                <w:lang w:val="en-GB"/>
              </w:rPr>
              <w:t>L. infantum</w:t>
            </w:r>
          </w:p>
        </w:tc>
        <w:tc>
          <w:tcPr>
            <w:tcW w:w="1694" w:type="dxa"/>
            <w:vAlign w:val="center"/>
          </w:tcPr>
          <w:p w:rsidR="00817313" w:rsidRPr="002C75B8" w:rsidRDefault="00817313" w:rsidP="00A7768B">
            <w:pPr>
              <w:spacing w:line="360" w:lineRule="auto"/>
              <w:ind w:left="0" w:firstLine="0"/>
              <w:rPr>
                <w:sz w:val="22"/>
                <w:lang w:val="en-GB"/>
              </w:rPr>
            </w:pPr>
            <w:r w:rsidRPr="002C75B8">
              <w:rPr>
                <w:sz w:val="22"/>
                <w:lang w:val="en-GB"/>
              </w:rPr>
              <w:t xml:space="preserve">ZVL </w:t>
            </w:r>
          </w:p>
        </w:tc>
        <w:tc>
          <w:tcPr>
            <w:tcW w:w="0" w:type="auto"/>
            <w:vAlign w:val="center"/>
          </w:tcPr>
          <w:p w:rsidR="00817313" w:rsidRPr="002C75B8" w:rsidRDefault="00817313" w:rsidP="00A7768B">
            <w:pPr>
              <w:spacing w:line="360" w:lineRule="auto"/>
              <w:ind w:left="0" w:firstLine="0"/>
              <w:rPr>
                <w:i/>
                <w:iCs/>
                <w:sz w:val="22"/>
                <w:lang w:val="en-GB"/>
              </w:rPr>
            </w:pPr>
            <w:r w:rsidRPr="002C75B8">
              <w:rPr>
                <w:i/>
                <w:iCs/>
                <w:sz w:val="22"/>
                <w:lang w:val="en-GB"/>
              </w:rPr>
              <w:t xml:space="preserve">unknown </w:t>
            </w:r>
          </w:p>
        </w:tc>
        <w:tc>
          <w:tcPr>
            <w:tcW w:w="3748" w:type="dxa"/>
            <w:vAlign w:val="center"/>
          </w:tcPr>
          <w:p w:rsidR="00817313" w:rsidRPr="00DE59FA" w:rsidRDefault="00817313" w:rsidP="00A7768B">
            <w:pPr>
              <w:spacing w:line="360" w:lineRule="auto"/>
              <w:ind w:left="0" w:firstLine="0"/>
              <w:rPr>
                <w:i/>
                <w:iCs/>
                <w:sz w:val="22"/>
                <w:lang w:val="en-GB"/>
              </w:rPr>
            </w:pPr>
            <w:proofErr w:type="spellStart"/>
            <w:r w:rsidRPr="00DE59FA">
              <w:rPr>
                <w:i/>
                <w:iCs/>
                <w:sz w:val="22"/>
                <w:lang w:val="en-GB"/>
              </w:rPr>
              <w:t>Canis</w:t>
            </w:r>
            <w:proofErr w:type="spellEnd"/>
            <w:r w:rsidRPr="00DE59FA">
              <w:rPr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DE59FA">
              <w:rPr>
                <w:i/>
                <w:iCs/>
                <w:sz w:val="22"/>
                <w:lang w:val="en-GB"/>
              </w:rPr>
              <w:t>familiaris</w:t>
            </w:r>
            <w:proofErr w:type="spellEnd"/>
          </w:p>
        </w:tc>
      </w:tr>
      <w:tr w:rsidR="00817313" w:rsidRPr="002C75B8" w:rsidTr="00A7768B">
        <w:trPr>
          <w:trHeight w:val="440"/>
        </w:trPr>
        <w:tc>
          <w:tcPr>
            <w:tcW w:w="1728" w:type="dxa"/>
            <w:vAlign w:val="center"/>
          </w:tcPr>
          <w:p w:rsidR="00817313" w:rsidRPr="002C75B8" w:rsidRDefault="00817313" w:rsidP="00A7768B">
            <w:pPr>
              <w:spacing w:line="360" w:lineRule="auto"/>
              <w:ind w:left="0" w:firstLine="0"/>
              <w:rPr>
                <w:i/>
                <w:iCs/>
                <w:sz w:val="22"/>
                <w:lang w:val="en-GB"/>
              </w:rPr>
            </w:pPr>
            <w:r w:rsidRPr="002C75B8">
              <w:rPr>
                <w:i/>
                <w:iCs/>
                <w:sz w:val="22"/>
                <w:lang w:val="en-GB"/>
              </w:rPr>
              <w:t xml:space="preserve">L. tropica </w:t>
            </w:r>
          </w:p>
        </w:tc>
        <w:tc>
          <w:tcPr>
            <w:tcW w:w="1694" w:type="dxa"/>
            <w:vAlign w:val="center"/>
          </w:tcPr>
          <w:p w:rsidR="00817313" w:rsidRPr="002C75B8" w:rsidRDefault="00817313" w:rsidP="00A7768B">
            <w:pPr>
              <w:spacing w:line="360" w:lineRule="auto"/>
              <w:ind w:left="0" w:firstLine="0"/>
              <w:rPr>
                <w:iCs/>
                <w:sz w:val="22"/>
                <w:lang w:val="en-GB"/>
              </w:rPr>
            </w:pPr>
            <w:r w:rsidRPr="002C75B8">
              <w:rPr>
                <w:iCs/>
                <w:sz w:val="22"/>
                <w:lang w:val="en-GB"/>
              </w:rPr>
              <w:t>ACL</w:t>
            </w:r>
          </w:p>
        </w:tc>
        <w:tc>
          <w:tcPr>
            <w:tcW w:w="0" w:type="auto"/>
            <w:vAlign w:val="center"/>
          </w:tcPr>
          <w:p w:rsidR="00817313" w:rsidRPr="002C75B8" w:rsidRDefault="00817313" w:rsidP="00A7768B">
            <w:pPr>
              <w:spacing w:line="360" w:lineRule="auto"/>
              <w:ind w:left="0" w:firstLine="0"/>
              <w:rPr>
                <w:i/>
                <w:sz w:val="22"/>
                <w:lang w:val="en-GB"/>
              </w:rPr>
            </w:pPr>
            <w:proofErr w:type="spellStart"/>
            <w:r w:rsidRPr="002C75B8">
              <w:rPr>
                <w:i/>
                <w:sz w:val="22"/>
                <w:lang w:val="en-GB"/>
              </w:rPr>
              <w:t>P.sergenti</w:t>
            </w:r>
            <w:proofErr w:type="spellEnd"/>
            <w:r w:rsidRPr="002C75B8">
              <w:rPr>
                <w:i/>
                <w:sz w:val="22"/>
                <w:lang w:val="en-GB"/>
              </w:rPr>
              <w:t> </w:t>
            </w:r>
          </w:p>
        </w:tc>
        <w:tc>
          <w:tcPr>
            <w:tcW w:w="3748" w:type="dxa"/>
            <w:vAlign w:val="center"/>
          </w:tcPr>
          <w:p w:rsidR="00817313" w:rsidRPr="002C75B8" w:rsidRDefault="00817313" w:rsidP="00A7768B">
            <w:pPr>
              <w:spacing w:line="360" w:lineRule="auto"/>
              <w:ind w:left="0" w:firstLine="0"/>
              <w:rPr>
                <w:sz w:val="22"/>
                <w:lang w:val="en-GB"/>
              </w:rPr>
            </w:pPr>
            <w:r w:rsidRPr="002C75B8">
              <w:rPr>
                <w:sz w:val="22"/>
                <w:lang w:val="en-GB"/>
              </w:rPr>
              <w:t>Human</w:t>
            </w:r>
          </w:p>
        </w:tc>
      </w:tr>
      <w:tr w:rsidR="00817313" w:rsidRPr="00F2492B" w:rsidTr="00A7768B">
        <w:trPr>
          <w:trHeight w:val="440"/>
        </w:trPr>
        <w:tc>
          <w:tcPr>
            <w:tcW w:w="1728" w:type="dxa"/>
            <w:vAlign w:val="center"/>
          </w:tcPr>
          <w:p w:rsidR="00817313" w:rsidRPr="002C75B8" w:rsidRDefault="00817313" w:rsidP="00A7768B">
            <w:pPr>
              <w:ind w:left="0" w:firstLine="0"/>
              <w:rPr>
                <w:i/>
                <w:iCs/>
                <w:sz w:val="22"/>
                <w:lang w:val="en-GB"/>
              </w:rPr>
            </w:pPr>
            <w:r w:rsidRPr="002C75B8">
              <w:rPr>
                <w:i/>
                <w:iCs/>
                <w:sz w:val="22"/>
                <w:lang w:val="en-GB"/>
              </w:rPr>
              <w:t>L. major</w:t>
            </w:r>
          </w:p>
        </w:tc>
        <w:tc>
          <w:tcPr>
            <w:tcW w:w="1694" w:type="dxa"/>
            <w:vAlign w:val="center"/>
          </w:tcPr>
          <w:p w:rsidR="00817313" w:rsidRPr="002C75B8" w:rsidRDefault="00817313" w:rsidP="00A7768B">
            <w:pPr>
              <w:ind w:left="0" w:firstLine="0"/>
              <w:rPr>
                <w:iCs/>
                <w:sz w:val="22"/>
                <w:lang w:val="en-GB"/>
              </w:rPr>
            </w:pPr>
            <w:r w:rsidRPr="002C75B8">
              <w:rPr>
                <w:iCs/>
                <w:sz w:val="22"/>
                <w:lang w:val="en-GB"/>
              </w:rPr>
              <w:t>ZCL</w:t>
            </w:r>
          </w:p>
        </w:tc>
        <w:tc>
          <w:tcPr>
            <w:tcW w:w="0" w:type="auto"/>
            <w:vAlign w:val="center"/>
          </w:tcPr>
          <w:p w:rsidR="00817313" w:rsidRPr="002C75B8" w:rsidRDefault="00817313" w:rsidP="00A7768B">
            <w:pPr>
              <w:ind w:left="0" w:firstLine="0"/>
              <w:rPr>
                <w:i/>
                <w:sz w:val="22"/>
                <w:lang w:val="en-GB"/>
              </w:rPr>
            </w:pPr>
            <w:proofErr w:type="spellStart"/>
            <w:r w:rsidRPr="002C75B8">
              <w:rPr>
                <w:i/>
                <w:sz w:val="22"/>
                <w:lang w:val="en-GB"/>
              </w:rPr>
              <w:t>P.papatasi</w:t>
            </w:r>
            <w:proofErr w:type="spellEnd"/>
            <w:r w:rsidRPr="002C75B8">
              <w:rPr>
                <w:i/>
                <w:sz w:val="22"/>
                <w:lang w:val="en-GB"/>
              </w:rPr>
              <w:t xml:space="preserve">, </w:t>
            </w:r>
            <w:proofErr w:type="spellStart"/>
            <w:r w:rsidRPr="002C75B8">
              <w:rPr>
                <w:i/>
                <w:sz w:val="22"/>
                <w:lang w:val="en-GB"/>
              </w:rPr>
              <w:t>P.salehi</w:t>
            </w:r>
            <w:proofErr w:type="spellEnd"/>
          </w:p>
        </w:tc>
        <w:tc>
          <w:tcPr>
            <w:tcW w:w="3748" w:type="dxa"/>
            <w:vAlign w:val="center"/>
          </w:tcPr>
          <w:p w:rsidR="00817313" w:rsidRPr="00F2492B" w:rsidRDefault="00817313" w:rsidP="00A7768B">
            <w:pPr>
              <w:ind w:left="0" w:firstLine="0"/>
              <w:jc w:val="left"/>
              <w:rPr>
                <w:i/>
                <w:sz w:val="22"/>
                <w:lang w:val="pt-BR"/>
              </w:rPr>
            </w:pPr>
            <w:r w:rsidRPr="00F2492B">
              <w:rPr>
                <w:i/>
                <w:sz w:val="22"/>
                <w:lang w:val="pt-BR"/>
              </w:rPr>
              <w:t>M</w:t>
            </w:r>
            <w:r>
              <w:rPr>
                <w:i/>
                <w:sz w:val="22"/>
                <w:lang w:val="pt-BR"/>
              </w:rPr>
              <w:t>eriones</w:t>
            </w:r>
            <w:r w:rsidRPr="00F2492B">
              <w:rPr>
                <w:i/>
                <w:sz w:val="22"/>
                <w:lang w:val="pt-BR"/>
              </w:rPr>
              <w:t xml:space="preserve"> hurrianae, R</w:t>
            </w:r>
            <w:r>
              <w:rPr>
                <w:i/>
                <w:sz w:val="22"/>
                <w:lang w:val="pt-BR"/>
              </w:rPr>
              <w:t>hombomys</w:t>
            </w:r>
            <w:r w:rsidRPr="00F2492B">
              <w:rPr>
                <w:i/>
                <w:sz w:val="22"/>
                <w:lang w:val="pt-BR"/>
              </w:rPr>
              <w:t>. opimus, T</w:t>
            </w:r>
            <w:r>
              <w:rPr>
                <w:i/>
                <w:sz w:val="22"/>
                <w:lang w:val="pt-BR"/>
              </w:rPr>
              <w:t>atera</w:t>
            </w:r>
            <w:r w:rsidRPr="00F2492B">
              <w:rPr>
                <w:i/>
                <w:sz w:val="22"/>
                <w:lang w:val="pt-BR"/>
              </w:rPr>
              <w:t xml:space="preserve"> indica</w:t>
            </w:r>
          </w:p>
        </w:tc>
      </w:tr>
    </w:tbl>
    <w:p w:rsidR="00817313" w:rsidRDefault="00817313" w:rsidP="00817313">
      <w:pPr>
        <w:ind w:left="0" w:firstLine="0"/>
        <w:rPr>
          <w:sz w:val="22"/>
          <w:lang w:val="pt-BR"/>
        </w:rPr>
      </w:pPr>
    </w:p>
    <w:p w:rsidR="00817313" w:rsidRDefault="00817313" w:rsidP="00817313">
      <w:pPr>
        <w:ind w:left="0" w:firstLine="0"/>
        <w:rPr>
          <w:b/>
          <w:bCs/>
          <w:sz w:val="22"/>
          <w:lang w:val="en-GB"/>
        </w:rPr>
      </w:pPr>
    </w:p>
    <w:p w:rsidR="00817313" w:rsidRDefault="00817313" w:rsidP="00817313">
      <w:pPr>
        <w:ind w:left="0" w:firstLine="0"/>
        <w:rPr>
          <w:b/>
          <w:bCs/>
          <w:sz w:val="22"/>
          <w:lang w:val="en-GB"/>
        </w:rPr>
      </w:pPr>
      <w:r w:rsidRPr="00F2492B">
        <w:rPr>
          <w:b/>
          <w:bCs/>
          <w:sz w:val="22"/>
          <w:lang w:val="en-GB"/>
        </w:rPr>
        <w:t>MAPS AND TRENDS</w:t>
      </w:r>
    </w:p>
    <w:p w:rsidR="00817313" w:rsidRPr="00F2492B" w:rsidRDefault="00817313" w:rsidP="00817313">
      <w:pPr>
        <w:ind w:left="0" w:firstLine="0"/>
        <w:rPr>
          <w:b/>
          <w:bCs/>
          <w:sz w:val="22"/>
          <w:lang w:val="en-GB"/>
        </w:rPr>
      </w:pPr>
    </w:p>
    <w:p w:rsidR="00817313" w:rsidRDefault="00817313" w:rsidP="00817313">
      <w:pPr>
        <w:ind w:left="0" w:firstLine="0"/>
        <w:rPr>
          <w:b/>
          <w:sz w:val="22"/>
          <w:lang w:val="en-GB"/>
        </w:rPr>
      </w:pPr>
      <w:r>
        <w:rPr>
          <w:b/>
          <w:sz w:val="22"/>
          <w:lang w:val="en-GB"/>
        </w:rPr>
        <w:t>Cutaneous leishmaniasis: local cases</w:t>
      </w:r>
    </w:p>
    <w:p w:rsidR="00817313" w:rsidRDefault="00817313" w:rsidP="00817313">
      <w:pPr>
        <w:ind w:left="0" w:firstLine="0"/>
        <w:rPr>
          <w:b/>
          <w:sz w:val="22"/>
          <w:lang w:val="en-GB"/>
        </w:rPr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149225</wp:posOffset>
            </wp:positionV>
            <wp:extent cx="3157855" cy="2233295"/>
            <wp:effectExtent l="1905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149225</wp:posOffset>
            </wp:positionV>
            <wp:extent cx="3314700" cy="234378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4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>Cutaneous leishmaniasis: refugee camps</w:t>
      </w: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102235</wp:posOffset>
            </wp:positionV>
            <wp:extent cx="3258820" cy="230314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102235</wp:posOffset>
            </wp:positionV>
            <wp:extent cx="3329940" cy="2354580"/>
            <wp:effectExtent l="1905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  <w:r>
        <w:rPr>
          <w:b/>
          <w:sz w:val="22"/>
          <w:lang w:val="en-GB"/>
        </w:rPr>
        <w:t>C</w:t>
      </w:r>
      <w:r>
        <w:rPr>
          <w:b/>
          <w:sz w:val="22"/>
          <w:lang w:val="en-GB"/>
        </w:rPr>
        <w:t>utaneous leishmaniasis</w:t>
      </w:r>
      <w:r>
        <w:rPr>
          <w:b/>
          <w:sz w:val="22"/>
          <w:lang w:val="en-GB"/>
        </w:rPr>
        <w:t xml:space="preserve"> trend</w:t>
      </w:r>
    </w:p>
    <w:p w:rsidR="00817313" w:rsidRDefault="00817313" w:rsidP="00817313">
      <w:pPr>
        <w:spacing w:line="360" w:lineRule="auto"/>
        <w:ind w:left="0" w:firstLine="0"/>
        <w:rPr>
          <w:b/>
          <w:sz w:val="22"/>
          <w:lang w:val="en-GB"/>
        </w:rPr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21590</wp:posOffset>
            </wp:positionV>
            <wp:extent cx="6191885" cy="2256155"/>
            <wp:effectExtent l="0" t="0" r="0" b="0"/>
            <wp:wrapNone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817313" w:rsidRPr="002C75B8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133985</wp:posOffset>
            </wp:positionV>
            <wp:extent cx="5141595" cy="2552065"/>
            <wp:effectExtent l="0" t="0" r="0" b="0"/>
            <wp:wrapNone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b/>
          <w:sz w:val="22"/>
          <w:lang w:val="en-GB"/>
        </w:rPr>
        <w:t xml:space="preserve">Cutaneous leishmaniasis cases according to infection origin </w:t>
      </w: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Pr="002C75B8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  <w:r w:rsidRPr="002C75B8">
        <w:rPr>
          <w:b/>
          <w:sz w:val="22"/>
          <w:lang w:val="en-GB"/>
        </w:rPr>
        <w:lastRenderedPageBreak/>
        <w:t>CONTROL</w:t>
      </w:r>
    </w:p>
    <w:p w:rsidR="00817313" w:rsidRPr="002C75B8" w:rsidRDefault="00817313" w:rsidP="00817313">
      <w:pPr>
        <w:ind w:left="0" w:firstLine="0"/>
        <w:rPr>
          <w:color w:val="000000"/>
          <w:sz w:val="22"/>
          <w:lang w:val="en-GB"/>
        </w:rPr>
      </w:pPr>
      <w:r w:rsidRPr="002C75B8">
        <w:rPr>
          <w:bCs/>
          <w:color w:val="000000"/>
          <w:sz w:val="22"/>
          <w:lang w:val="en-GB"/>
        </w:rPr>
        <w:t xml:space="preserve">The notification of leishmaniasis is not mandatory in the country. There is no national </w:t>
      </w:r>
      <w:r>
        <w:rPr>
          <w:bCs/>
          <w:color w:val="000000"/>
          <w:sz w:val="22"/>
          <w:lang w:val="en-GB"/>
        </w:rPr>
        <w:t>l</w:t>
      </w:r>
      <w:r w:rsidRPr="002C75B8">
        <w:rPr>
          <w:bCs/>
          <w:color w:val="000000"/>
          <w:sz w:val="22"/>
          <w:lang w:val="en-GB"/>
        </w:rPr>
        <w:t>eishmaniasis control program</w:t>
      </w:r>
      <w:r>
        <w:rPr>
          <w:bCs/>
          <w:color w:val="000000"/>
          <w:sz w:val="22"/>
          <w:lang w:val="en-GB"/>
        </w:rPr>
        <w:t xml:space="preserve"> and</w:t>
      </w:r>
      <w:r w:rsidRPr="002C75B8">
        <w:rPr>
          <w:bCs/>
          <w:color w:val="000000"/>
          <w:sz w:val="22"/>
          <w:lang w:val="en-GB"/>
        </w:rPr>
        <w:t xml:space="preserve"> no leishmaniasis vector control program, but </w:t>
      </w:r>
      <w:proofErr w:type="spellStart"/>
      <w:r w:rsidRPr="002C75B8">
        <w:rPr>
          <w:bCs/>
          <w:color w:val="000000"/>
          <w:sz w:val="22"/>
          <w:lang w:val="en-GB"/>
        </w:rPr>
        <w:t>bednet</w:t>
      </w:r>
      <w:proofErr w:type="spellEnd"/>
      <w:r w:rsidRPr="002C75B8">
        <w:rPr>
          <w:bCs/>
          <w:color w:val="000000"/>
          <w:sz w:val="22"/>
          <w:lang w:val="en-GB"/>
        </w:rPr>
        <w:t xml:space="preserve"> distribution takes place in refugee camps. There is no leishmaniasis reservoir program. </w:t>
      </w:r>
    </w:p>
    <w:p w:rsidR="00817313" w:rsidRPr="002C75B8" w:rsidRDefault="00817313" w:rsidP="00817313">
      <w:pPr>
        <w:spacing w:line="480" w:lineRule="auto"/>
        <w:ind w:left="0" w:firstLine="0"/>
        <w:rPr>
          <w:b/>
          <w:sz w:val="22"/>
          <w:lang w:val="en-GB"/>
        </w:rPr>
      </w:pPr>
    </w:p>
    <w:p w:rsidR="00817313" w:rsidRPr="002C75B8" w:rsidRDefault="00817313" w:rsidP="00817313">
      <w:pPr>
        <w:spacing w:line="480" w:lineRule="auto"/>
        <w:ind w:left="0" w:firstLine="0"/>
        <w:rPr>
          <w:b/>
          <w:color w:val="000000"/>
          <w:sz w:val="22"/>
          <w:lang w:val="en-GB"/>
        </w:rPr>
      </w:pPr>
      <w:r w:rsidRPr="002C75B8">
        <w:rPr>
          <w:b/>
          <w:color w:val="000000"/>
          <w:sz w:val="22"/>
          <w:lang w:val="en-GB"/>
        </w:rPr>
        <w:t xml:space="preserve">DIAGNOSIS, TREATMENT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F2492B">
        <w:rPr>
          <w:b/>
          <w:bCs/>
          <w:sz w:val="22"/>
          <w:lang w:val="en-GB"/>
        </w:rPr>
        <w:t>Diagnosis</w:t>
      </w:r>
      <w:r w:rsidRPr="002C75B8">
        <w:rPr>
          <w:sz w:val="22"/>
          <w:lang w:val="en-GB"/>
        </w:rPr>
        <w:t xml:space="preserve"> 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562689">
        <w:rPr>
          <w:sz w:val="22"/>
        </w:rPr>
        <w:t xml:space="preserve">CL: </w:t>
      </w:r>
      <w:proofErr w:type="spellStart"/>
      <w:r w:rsidRPr="00562689">
        <w:rPr>
          <w:sz w:val="22"/>
        </w:rPr>
        <w:t>mostly</w:t>
      </w:r>
      <w:proofErr w:type="spellEnd"/>
      <w:r w:rsidRPr="00562689">
        <w:rPr>
          <w:sz w:val="22"/>
        </w:rPr>
        <w:t xml:space="preserve"> </w:t>
      </w:r>
      <w:proofErr w:type="spellStart"/>
      <w:r w:rsidRPr="00562689">
        <w:rPr>
          <w:sz w:val="22"/>
        </w:rPr>
        <w:t>on</w:t>
      </w:r>
      <w:proofErr w:type="spellEnd"/>
      <w:r w:rsidRPr="00562689">
        <w:rPr>
          <w:sz w:val="22"/>
        </w:rPr>
        <w:t xml:space="preserve"> </w:t>
      </w:r>
      <w:proofErr w:type="spellStart"/>
      <w:r w:rsidRPr="00562689">
        <w:rPr>
          <w:sz w:val="22"/>
        </w:rPr>
        <w:t>clinical</w:t>
      </w:r>
      <w:proofErr w:type="spellEnd"/>
      <w:r w:rsidRPr="00562689">
        <w:rPr>
          <w:sz w:val="22"/>
        </w:rPr>
        <w:t xml:space="preserve"> </w:t>
      </w:r>
      <w:proofErr w:type="spellStart"/>
      <w:r w:rsidRPr="00562689">
        <w:rPr>
          <w:sz w:val="22"/>
        </w:rPr>
        <w:t>grounds</w:t>
      </w:r>
      <w:proofErr w:type="spellEnd"/>
      <w:r w:rsidRPr="00562689">
        <w:rPr>
          <w:sz w:val="22"/>
        </w:rPr>
        <w:t xml:space="preserve">. </w:t>
      </w:r>
      <w:proofErr w:type="spellStart"/>
      <w:r w:rsidRPr="00562689">
        <w:rPr>
          <w:sz w:val="22"/>
        </w:rPr>
        <w:t>Confirmation</w:t>
      </w:r>
      <w:proofErr w:type="spellEnd"/>
      <w:r w:rsidRPr="00562689">
        <w:rPr>
          <w:sz w:val="22"/>
        </w:rPr>
        <w:t xml:space="preserve"> </w:t>
      </w:r>
      <w:proofErr w:type="spellStart"/>
      <w:r w:rsidRPr="00562689">
        <w:rPr>
          <w:sz w:val="22"/>
        </w:rPr>
        <w:t>by</w:t>
      </w:r>
      <w:proofErr w:type="spellEnd"/>
      <w:r w:rsidRPr="00562689">
        <w:rPr>
          <w:sz w:val="22"/>
        </w:rPr>
        <w:t xml:space="preserve"> </w:t>
      </w:r>
      <w:proofErr w:type="spellStart"/>
      <w:r w:rsidRPr="00562689">
        <w:rPr>
          <w:sz w:val="22"/>
        </w:rPr>
        <w:t>microscopic</w:t>
      </w:r>
      <w:proofErr w:type="spellEnd"/>
      <w:r w:rsidRPr="00562689">
        <w:rPr>
          <w:sz w:val="22"/>
        </w:rPr>
        <w:t xml:space="preserve"> </w:t>
      </w:r>
      <w:proofErr w:type="spellStart"/>
      <w:r w:rsidRPr="00562689">
        <w:rPr>
          <w:sz w:val="22"/>
        </w:rPr>
        <w:t>examination</w:t>
      </w:r>
      <w:proofErr w:type="spellEnd"/>
      <w:r w:rsidRPr="00562689">
        <w:rPr>
          <w:sz w:val="22"/>
        </w:rPr>
        <w:t xml:space="preserve"> of a </w:t>
      </w:r>
      <w:proofErr w:type="spellStart"/>
      <w:r w:rsidRPr="00562689">
        <w:rPr>
          <w:sz w:val="22"/>
        </w:rPr>
        <w:t>skin</w:t>
      </w:r>
      <w:proofErr w:type="spellEnd"/>
      <w:r w:rsidRPr="00562689">
        <w:rPr>
          <w:sz w:val="22"/>
        </w:rPr>
        <w:t xml:space="preserve"> </w:t>
      </w:r>
      <w:proofErr w:type="spellStart"/>
      <w:r>
        <w:rPr>
          <w:sz w:val="22"/>
        </w:rPr>
        <w:t>lesio</w:t>
      </w:r>
      <w:r>
        <w:rPr>
          <w:sz w:val="22"/>
        </w:rPr>
        <w:t>n</w:t>
      </w:r>
      <w:proofErr w:type="spellEnd"/>
      <w:r>
        <w:rPr>
          <w:sz w:val="22"/>
        </w:rPr>
        <w:t xml:space="preserve"> </w:t>
      </w:r>
      <w:proofErr w:type="spellStart"/>
      <w:r w:rsidRPr="00562689">
        <w:rPr>
          <w:sz w:val="22"/>
        </w:rPr>
        <w:t>sample</w:t>
      </w:r>
      <w:proofErr w:type="spellEnd"/>
      <w:r w:rsidRPr="002C75B8">
        <w:rPr>
          <w:bCs/>
          <w:sz w:val="22"/>
          <w:lang w:val="en-GB"/>
        </w:rPr>
        <w:t xml:space="preserve">. </w:t>
      </w:r>
      <w:r w:rsidRPr="002C75B8">
        <w:rPr>
          <w:sz w:val="22"/>
          <w:lang w:val="en-GB"/>
        </w:rPr>
        <w:t xml:space="preserve"> </w:t>
      </w:r>
    </w:p>
    <w:p w:rsidR="00817313" w:rsidRPr="002C75B8" w:rsidRDefault="00817313" w:rsidP="00817313">
      <w:pPr>
        <w:ind w:left="0" w:firstLine="0"/>
        <w:rPr>
          <w:color w:val="000000"/>
          <w:sz w:val="22"/>
          <w:lang w:val="en-GB"/>
        </w:rPr>
      </w:pPr>
    </w:p>
    <w:p w:rsidR="00817313" w:rsidRPr="00F2492B" w:rsidRDefault="00817313" w:rsidP="00817313">
      <w:pPr>
        <w:ind w:left="0" w:firstLine="0"/>
        <w:rPr>
          <w:b/>
          <w:bCs/>
          <w:color w:val="000000"/>
          <w:sz w:val="22"/>
          <w:lang w:val="en-GB"/>
        </w:rPr>
      </w:pPr>
      <w:r w:rsidRPr="00F2492B">
        <w:rPr>
          <w:b/>
          <w:bCs/>
          <w:color w:val="000000"/>
          <w:sz w:val="22"/>
          <w:lang w:val="en-GB"/>
        </w:rPr>
        <w:t>Treatment</w:t>
      </w:r>
    </w:p>
    <w:p w:rsidR="00817313" w:rsidRDefault="00817313" w:rsidP="00817313">
      <w:pPr>
        <w:ind w:left="360" w:hanging="360"/>
        <w:rPr>
          <w:bCs/>
          <w:color w:val="000000"/>
          <w:sz w:val="22"/>
          <w:lang w:val="en-GB"/>
        </w:rPr>
      </w:pPr>
      <w:r w:rsidRPr="00562689">
        <w:rPr>
          <w:color w:val="000000"/>
          <w:sz w:val="22"/>
          <w:lang w:val="en-GB"/>
        </w:rPr>
        <w:t>CL</w:t>
      </w:r>
      <w:r w:rsidRPr="00562689">
        <w:rPr>
          <w:bCs/>
          <w:color w:val="000000"/>
          <w:sz w:val="22"/>
          <w:lang w:val="en-GB"/>
        </w:rPr>
        <w:t>:</w:t>
      </w:r>
      <w:r w:rsidRPr="002C75B8">
        <w:rPr>
          <w:bCs/>
          <w:color w:val="000000"/>
          <w:sz w:val="22"/>
          <w:lang w:val="en-GB"/>
        </w:rPr>
        <w:t xml:space="preserve"> </w:t>
      </w:r>
      <w:r w:rsidRPr="002C75B8">
        <w:rPr>
          <w:color w:val="000000"/>
          <w:sz w:val="22"/>
          <w:lang w:val="en-GB"/>
        </w:rPr>
        <w:t xml:space="preserve">antimonials, intralesional </w:t>
      </w:r>
      <w:r w:rsidRPr="002C75B8">
        <w:rPr>
          <w:bCs/>
          <w:color w:val="000000"/>
          <w:sz w:val="22"/>
          <w:lang w:val="en-GB"/>
        </w:rPr>
        <w:t xml:space="preserve">or systemic (20 mg </w:t>
      </w:r>
      <w:proofErr w:type="spellStart"/>
      <w:r w:rsidRPr="002C75B8">
        <w:rPr>
          <w:bCs/>
          <w:color w:val="000000"/>
          <w:sz w:val="22"/>
          <w:lang w:val="en-GB"/>
        </w:rPr>
        <w:t>Sb</w:t>
      </w:r>
      <w:r w:rsidRPr="002C75B8">
        <w:rPr>
          <w:bCs/>
          <w:color w:val="000000"/>
          <w:sz w:val="22"/>
          <w:vertAlign w:val="superscript"/>
          <w:lang w:val="en-GB"/>
        </w:rPr>
        <w:t>v</w:t>
      </w:r>
      <w:proofErr w:type="spellEnd"/>
      <w:r w:rsidRPr="002C75B8">
        <w:rPr>
          <w:bCs/>
          <w:color w:val="000000"/>
          <w:sz w:val="22"/>
          <w:lang w:val="en-GB"/>
        </w:rPr>
        <w:t>/kg</w:t>
      </w:r>
      <w:r>
        <w:rPr>
          <w:bCs/>
          <w:color w:val="000000"/>
          <w:sz w:val="22"/>
          <w:lang w:val="en-GB"/>
        </w:rPr>
        <w:t>/day</w:t>
      </w:r>
      <w:r w:rsidRPr="002C75B8">
        <w:rPr>
          <w:bCs/>
          <w:color w:val="000000"/>
          <w:sz w:val="22"/>
          <w:lang w:val="en-GB"/>
        </w:rPr>
        <w:t xml:space="preserve">). Cure rate for local therapy is </w:t>
      </w:r>
    </w:p>
    <w:p w:rsidR="00817313" w:rsidRPr="002C75B8" w:rsidRDefault="00817313" w:rsidP="00817313">
      <w:pPr>
        <w:ind w:left="360" w:hanging="360"/>
        <w:rPr>
          <w:color w:val="000000"/>
          <w:sz w:val="22"/>
          <w:lang w:val="en-GB"/>
        </w:rPr>
      </w:pPr>
      <w:proofErr w:type="gramStart"/>
      <w:r w:rsidRPr="002C75B8">
        <w:rPr>
          <w:bCs/>
          <w:color w:val="000000"/>
          <w:sz w:val="22"/>
          <w:lang w:val="en-GB"/>
        </w:rPr>
        <w:t>94%</w:t>
      </w:r>
      <w:r>
        <w:rPr>
          <w:bCs/>
          <w:color w:val="000000"/>
          <w:sz w:val="22"/>
          <w:lang w:val="en-GB"/>
        </w:rPr>
        <w:t xml:space="preserve"> and 95% </w:t>
      </w:r>
      <w:r w:rsidRPr="002C75B8">
        <w:rPr>
          <w:bCs/>
          <w:color w:val="000000"/>
          <w:sz w:val="22"/>
          <w:lang w:val="en-GB"/>
        </w:rPr>
        <w:t>for systemic therapy.</w:t>
      </w:r>
      <w:proofErr w:type="gramEnd"/>
      <w:r w:rsidRPr="002C75B8">
        <w:rPr>
          <w:bCs/>
          <w:color w:val="000000"/>
          <w:sz w:val="22"/>
          <w:lang w:val="en-GB"/>
        </w:rPr>
        <w:t xml:space="preserve"> In FATA, thermal therapy is use</w:t>
      </w:r>
      <w:r>
        <w:rPr>
          <w:bCs/>
          <w:color w:val="000000"/>
          <w:sz w:val="22"/>
          <w:lang w:val="en-GB"/>
        </w:rPr>
        <w:t>d</w:t>
      </w:r>
      <w:r w:rsidRPr="002C75B8">
        <w:rPr>
          <w:bCs/>
          <w:color w:val="000000"/>
          <w:sz w:val="22"/>
          <w:lang w:val="en-GB"/>
        </w:rPr>
        <w:t xml:space="preserve">. </w:t>
      </w:r>
    </w:p>
    <w:p w:rsidR="00817313" w:rsidRPr="002C75B8" w:rsidRDefault="00817313" w:rsidP="00817313">
      <w:pPr>
        <w:spacing w:line="360" w:lineRule="auto"/>
        <w:ind w:left="0" w:firstLine="0"/>
        <w:rPr>
          <w:b/>
          <w:bCs/>
          <w:sz w:val="22"/>
          <w:lang w:val="en-GB"/>
        </w:rPr>
      </w:pPr>
    </w:p>
    <w:p w:rsidR="00817313" w:rsidRPr="002C75B8" w:rsidRDefault="00817313" w:rsidP="00817313">
      <w:pPr>
        <w:spacing w:line="360" w:lineRule="auto"/>
        <w:ind w:left="0" w:firstLine="0"/>
        <w:rPr>
          <w:b/>
          <w:bCs/>
          <w:sz w:val="22"/>
          <w:lang w:val="en-GB"/>
        </w:rPr>
      </w:pPr>
      <w:r w:rsidRPr="002C75B8">
        <w:rPr>
          <w:b/>
          <w:bCs/>
          <w:sz w:val="22"/>
          <w:lang w:val="en-GB"/>
        </w:rPr>
        <w:t>ACCESS TO CARE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 xml:space="preserve">An estimated 72% of patients are unable to access medical treatment, mainly because treatment is only provided for free in a few hospitals and </w:t>
      </w:r>
      <w:r>
        <w:rPr>
          <w:sz w:val="22"/>
          <w:lang w:val="en-GB"/>
        </w:rPr>
        <w:t xml:space="preserve">in </w:t>
      </w:r>
      <w:r w:rsidRPr="002C75B8">
        <w:rPr>
          <w:sz w:val="22"/>
          <w:lang w:val="en-GB"/>
        </w:rPr>
        <w:t xml:space="preserve">treatment </w:t>
      </w:r>
      <w:proofErr w:type="spellStart"/>
      <w:r w:rsidRPr="002C75B8">
        <w:rPr>
          <w:sz w:val="22"/>
          <w:lang w:val="en-GB"/>
        </w:rPr>
        <w:t>cente</w:t>
      </w:r>
      <w:r>
        <w:rPr>
          <w:sz w:val="22"/>
          <w:lang w:val="en-GB"/>
        </w:rPr>
        <w:t>r</w:t>
      </w:r>
      <w:r w:rsidRPr="002C75B8">
        <w:rPr>
          <w:sz w:val="22"/>
          <w:lang w:val="en-GB"/>
        </w:rPr>
        <w:t>s</w:t>
      </w:r>
      <w:proofErr w:type="spellEnd"/>
      <w:r w:rsidRPr="002C75B8">
        <w:rPr>
          <w:sz w:val="22"/>
          <w:lang w:val="en-GB"/>
        </w:rPr>
        <w:t xml:space="preserve"> in refugee camps. Most government hospitals do not have any drugs </w:t>
      </w:r>
      <w:r>
        <w:rPr>
          <w:sz w:val="22"/>
          <w:lang w:val="en-GB"/>
        </w:rPr>
        <w:t>or</w:t>
      </w:r>
      <w:r w:rsidRPr="002C75B8">
        <w:rPr>
          <w:sz w:val="22"/>
          <w:lang w:val="en-GB"/>
        </w:rPr>
        <w:t xml:space="preserve"> skilled staff for the treatment of leishmaniasis. Patients cannot afford to buy the drugs themselves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nor </w:t>
      </w:r>
      <w:r>
        <w:rPr>
          <w:sz w:val="22"/>
          <w:lang w:val="en-GB"/>
        </w:rPr>
        <w:t xml:space="preserve">can they </w:t>
      </w:r>
      <w:r>
        <w:rPr>
          <w:sz w:val="22"/>
          <w:lang w:val="en-GB"/>
        </w:rPr>
        <w:t xml:space="preserve">pay </w:t>
      </w:r>
      <w:r w:rsidRPr="002C75B8">
        <w:rPr>
          <w:sz w:val="22"/>
          <w:lang w:val="en-GB"/>
        </w:rPr>
        <w:t>the cost of trave</w:t>
      </w:r>
      <w:r>
        <w:rPr>
          <w:sz w:val="22"/>
          <w:lang w:val="en-GB"/>
        </w:rPr>
        <w:t>l</w:t>
      </w:r>
      <w:r w:rsidRPr="002C75B8">
        <w:rPr>
          <w:sz w:val="22"/>
          <w:lang w:val="en-GB"/>
        </w:rPr>
        <w:t>ling long distances in order to access free treatment. Most patients suffer</w:t>
      </w:r>
      <w:r>
        <w:rPr>
          <w:sz w:val="22"/>
          <w:lang w:val="en-GB"/>
        </w:rPr>
        <w:t xml:space="preserve"> major</w:t>
      </w:r>
      <w:r w:rsidRPr="002C75B8">
        <w:rPr>
          <w:sz w:val="22"/>
          <w:lang w:val="en-GB"/>
        </w:rPr>
        <w:t xml:space="preserve"> economic </w:t>
      </w:r>
      <w:r>
        <w:rPr>
          <w:sz w:val="22"/>
          <w:lang w:val="en-GB"/>
        </w:rPr>
        <w:t>loss</w:t>
      </w:r>
      <w:r w:rsidRPr="002C75B8">
        <w:rPr>
          <w:sz w:val="22"/>
          <w:lang w:val="en-GB"/>
        </w:rPr>
        <w:t xml:space="preserve"> when spending time away from home. Between 2000 and 2005, 22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>126 people of the local population sought free treatment in the Afghan refugee camps. Gender inequality in seeking treatment is very common; women are often not allowed treatment by their husbands. There is a great lack of awareness of leishmaniasis</w:t>
      </w:r>
      <w:r>
        <w:rPr>
          <w:sz w:val="22"/>
          <w:lang w:val="en-GB"/>
        </w:rPr>
        <w:t>,</w:t>
      </w:r>
      <w:r w:rsidRPr="002C75B8">
        <w:rPr>
          <w:sz w:val="22"/>
          <w:lang w:val="en-GB"/>
        </w:rPr>
        <w:t xml:space="preserve"> which causes many to not seek treatment at all. An estimated 20-30% of patients use the pr</w:t>
      </w:r>
      <w:r>
        <w:rPr>
          <w:sz w:val="22"/>
          <w:lang w:val="en-GB"/>
        </w:rPr>
        <w:t>i</w:t>
      </w:r>
      <w:r w:rsidRPr="002C75B8">
        <w:rPr>
          <w:sz w:val="22"/>
          <w:lang w:val="en-GB"/>
        </w:rPr>
        <w:t xml:space="preserve">vate sector for diagnosis and treatment, which is mostly substandard.  </w:t>
      </w:r>
    </w:p>
    <w:p w:rsidR="00817313" w:rsidRPr="002C75B8" w:rsidRDefault="00817313" w:rsidP="00817313">
      <w:pPr>
        <w:spacing w:line="360" w:lineRule="auto"/>
        <w:ind w:left="0" w:firstLine="0"/>
        <w:rPr>
          <w:b/>
          <w:bCs/>
          <w:sz w:val="22"/>
          <w:lang w:val="en-GB"/>
        </w:rPr>
      </w:pPr>
    </w:p>
    <w:p w:rsidR="00817313" w:rsidRPr="002C75B8" w:rsidRDefault="00817313" w:rsidP="00817313">
      <w:pPr>
        <w:spacing w:line="360" w:lineRule="auto"/>
        <w:ind w:left="0" w:firstLine="0"/>
        <w:rPr>
          <w:b/>
          <w:bCs/>
          <w:sz w:val="22"/>
          <w:lang w:val="en-GB"/>
        </w:rPr>
      </w:pPr>
      <w:r w:rsidRPr="002C75B8">
        <w:rPr>
          <w:b/>
          <w:bCs/>
          <w:sz w:val="22"/>
          <w:lang w:val="en-GB"/>
        </w:rPr>
        <w:t xml:space="preserve">DRUG ACCESS </w:t>
      </w:r>
    </w:p>
    <w:p w:rsidR="00817313" w:rsidRPr="002C75B8" w:rsidRDefault="00817313" w:rsidP="0081731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GB"/>
        </w:rPr>
      </w:pPr>
      <w:r w:rsidRPr="002C75B8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Meglumine antimoniate and sodium stibogluconate are included in the National Essential Drug List for CL. </w:t>
      </w:r>
      <w:r w:rsidRPr="002C75B8">
        <w:rPr>
          <w:rFonts w:ascii="Arial" w:hAnsi="Arial" w:cs="Arial"/>
          <w:sz w:val="22"/>
          <w:szCs w:val="22"/>
          <w:lang w:val="en-GB"/>
        </w:rPr>
        <w:t xml:space="preserve">Antimonials are difficult to obtain and not widely available in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rFonts w:ascii="Arial" w:hAnsi="Arial" w:cs="Arial"/>
              <w:sz w:val="22"/>
              <w:szCs w:val="22"/>
              <w:lang w:val="en-GB"/>
            </w:rPr>
            <w:t>Pakistan</w:t>
          </w:r>
        </w:smartTag>
      </w:smartTag>
      <w:r w:rsidRPr="002C75B8">
        <w:rPr>
          <w:rFonts w:ascii="Arial" w:hAnsi="Arial" w:cs="Arial"/>
          <w:sz w:val="22"/>
          <w:szCs w:val="22"/>
          <w:lang w:val="en-GB"/>
        </w:rPr>
        <w:t>. Meglumine antimoniate (</w:t>
      </w:r>
      <w:proofErr w:type="spellStart"/>
      <w:r w:rsidRPr="002C75B8">
        <w:rPr>
          <w:rFonts w:ascii="Arial" w:hAnsi="Arial" w:cs="Arial"/>
          <w:sz w:val="22"/>
          <w:szCs w:val="22"/>
          <w:lang w:val="en-GB"/>
        </w:rPr>
        <w:t>Meglutin</w:t>
      </w:r>
      <w:proofErr w:type="spellEnd"/>
      <w:r w:rsidRPr="002C75B8">
        <w:rPr>
          <w:rFonts w:ascii="Arial" w:hAnsi="Arial" w:cs="Arial"/>
          <w:sz w:val="22"/>
          <w:szCs w:val="22"/>
          <w:lang w:val="en-GB"/>
        </w:rPr>
        <w:t xml:space="preserve">, Star Laboratories, </w:t>
      </w:r>
      <w:proofErr w:type="gramStart"/>
      <w:smartTag w:uri="urn:schemas-microsoft-com:office:smarttags" w:element="place">
        <w:smartTag w:uri="urn:schemas-microsoft-com:office:smarttags" w:element="country-region">
          <w:r w:rsidRPr="002C75B8">
            <w:rPr>
              <w:rFonts w:ascii="Arial" w:hAnsi="Arial" w:cs="Arial"/>
              <w:sz w:val="22"/>
              <w:szCs w:val="22"/>
              <w:lang w:val="en-GB"/>
            </w:rPr>
            <w:t>Pakistan</w:t>
          </w:r>
        </w:smartTag>
      </w:smartTag>
      <w:proofErr w:type="gramEnd"/>
      <w:r w:rsidRPr="002C75B8">
        <w:rPr>
          <w:rFonts w:ascii="Arial" w:hAnsi="Arial" w:cs="Arial"/>
          <w:sz w:val="22"/>
          <w:szCs w:val="22"/>
          <w:lang w:val="en-GB"/>
        </w:rPr>
        <w:t>) was recently registered and is sold in some private pharmacies and illegal drugs markets for 0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2C75B8">
        <w:rPr>
          <w:rFonts w:ascii="Arial" w:hAnsi="Arial" w:cs="Arial"/>
          <w:sz w:val="22"/>
          <w:szCs w:val="22"/>
          <w:lang w:val="en-GB"/>
        </w:rPr>
        <w:t xml:space="preserve">6 </w:t>
      </w:r>
      <w:r>
        <w:rPr>
          <w:rFonts w:ascii="Arial" w:hAnsi="Arial" w:cs="Arial"/>
          <w:sz w:val="22"/>
          <w:szCs w:val="22"/>
          <w:lang w:val="en-GB"/>
        </w:rPr>
        <w:t xml:space="preserve">and </w:t>
      </w:r>
      <w:r w:rsidRPr="002C75B8">
        <w:rPr>
          <w:rFonts w:ascii="Arial" w:hAnsi="Arial" w:cs="Arial"/>
          <w:sz w:val="22"/>
          <w:szCs w:val="22"/>
          <w:lang w:val="en-GB"/>
        </w:rPr>
        <w:t>1</w:t>
      </w:r>
      <w:r>
        <w:rPr>
          <w:rFonts w:ascii="Arial" w:hAnsi="Arial" w:cs="Arial"/>
          <w:sz w:val="22"/>
          <w:szCs w:val="22"/>
          <w:lang w:val="en-GB"/>
        </w:rPr>
        <w:t>.7-3 USD per vial respectively. Glucantime (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Sanofi</w:t>
      </w:r>
      <w:proofErr w:type="spellEnd"/>
      <w:r w:rsidRPr="002C75B8">
        <w:rPr>
          <w:rFonts w:ascii="Arial" w:hAnsi="Arial" w:cs="Arial"/>
          <w:sz w:val="22"/>
          <w:szCs w:val="22"/>
          <w:lang w:val="en-GB"/>
        </w:rPr>
        <w:t xml:space="preserve">) is smuggled into </w:t>
      </w:r>
      <w:smartTag w:uri="urn:schemas-microsoft-com:office:smarttags" w:element="country-region">
        <w:smartTag w:uri="urn:schemas-microsoft-com:office:smarttags" w:element="place">
          <w:r w:rsidRPr="002C75B8">
            <w:rPr>
              <w:rFonts w:ascii="Arial" w:hAnsi="Arial" w:cs="Arial"/>
              <w:sz w:val="22"/>
              <w:szCs w:val="22"/>
              <w:lang w:val="en-GB"/>
            </w:rPr>
            <w:t>Pakistan</w:t>
          </w:r>
        </w:smartTag>
      </w:smartTag>
      <w:r w:rsidRPr="002C75B8">
        <w:rPr>
          <w:rFonts w:ascii="Arial" w:hAnsi="Arial" w:cs="Arial"/>
          <w:sz w:val="22"/>
          <w:szCs w:val="22"/>
          <w:lang w:val="en-GB"/>
        </w:rPr>
        <w:t xml:space="preserve"> and sold for 4-5 USD per vial (leading to a treatment cost of around 150 USD for systemic CL treatment)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817313" w:rsidRPr="002C75B8" w:rsidRDefault="00817313" w:rsidP="0081731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:rsidR="00817313" w:rsidRPr="002C75B8" w:rsidRDefault="00817313" w:rsidP="00817313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GB"/>
        </w:rPr>
      </w:pPr>
    </w:p>
    <w:p w:rsidR="00817313" w:rsidRPr="002C75B8" w:rsidRDefault="00817313" w:rsidP="00817313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GB"/>
        </w:rPr>
      </w:pPr>
      <w:r w:rsidRPr="002C75B8">
        <w:rPr>
          <w:rFonts w:ascii="Arial" w:hAnsi="Arial" w:cs="Arial"/>
          <w:b/>
          <w:sz w:val="22"/>
          <w:szCs w:val="22"/>
          <w:lang w:val="en-GB"/>
        </w:rPr>
        <w:t>Sources of information</w:t>
      </w:r>
    </w:p>
    <w:p w:rsidR="00817313" w:rsidRPr="002C75B8" w:rsidRDefault="00817313" w:rsidP="0081731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:rsidR="00817313" w:rsidRPr="002C75B8" w:rsidRDefault="00817313" w:rsidP="00817313">
      <w:pPr>
        <w:numPr>
          <w:ilvl w:val="0"/>
          <w:numId w:val="5"/>
        </w:numPr>
        <w:rPr>
          <w:sz w:val="22"/>
          <w:lang w:val="en-GB"/>
        </w:rPr>
      </w:pPr>
      <w:r w:rsidRPr="002C75B8">
        <w:rPr>
          <w:sz w:val="22"/>
          <w:lang w:val="en-GB"/>
        </w:rPr>
        <w:t xml:space="preserve">Dr </w:t>
      </w:r>
      <w:proofErr w:type="spellStart"/>
      <w:r w:rsidRPr="002C75B8">
        <w:rPr>
          <w:sz w:val="22"/>
          <w:lang w:val="en-GB"/>
        </w:rPr>
        <w:t>Akhtar</w:t>
      </w:r>
      <w:proofErr w:type="spellEnd"/>
      <w:r w:rsidRPr="002C75B8">
        <w:rPr>
          <w:sz w:val="22"/>
          <w:lang w:val="en-GB"/>
        </w:rPr>
        <w:t xml:space="preserve"> </w:t>
      </w:r>
      <w:proofErr w:type="spellStart"/>
      <w:r w:rsidRPr="002C75B8">
        <w:rPr>
          <w:sz w:val="22"/>
          <w:lang w:val="en-GB"/>
        </w:rPr>
        <w:t>Muneer</w:t>
      </w:r>
      <w:proofErr w:type="spellEnd"/>
      <w:r w:rsidRPr="002C75B8">
        <w:rPr>
          <w:sz w:val="22"/>
          <w:lang w:val="en-GB"/>
        </w:rPr>
        <w:t>, Kuwait Teaching Hospital (Leishmaniasis Reference centre, NWFP)</w:t>
      </w:r>
      <w:r>
        <w:rPr>
          <w:sz w:val="22"/>
          <w:lang w:val="en-GB"/>
        </w:rPr>
        <w:t>.</w:t>
      </w:r>
    </w:p>
    <w:p w:rsidR="00817313" w:rsidRPr="002C75B8" w:rsidRDefault="00817313" w:rsidP="00817313">
      <w:pPr>
        <w:numPr>
          <w:ilvl w:val="0"/>
          <w:numId w:val="5"/>
        </w:numPr>
        <w:rPr>
          <w:sz w:val="22"/>
          <w:lang w:val="en-GB"/>
        </w:rPr>
      </w:pPr>
      <w:r w:rsidRPr="002C75B8">
        <w:rPr>
          <w:sz w:val="22"/>
          <w:lang w:val="en-GB"/>
        </w:rPr>
        <w:t xml:space="preserve">Dr </w:t>
      </w:r>
      <w:proofErr w:type="spellStart"/>
      <w:r w:rsidRPr="002C75B8">
        <w:rPr>
          <w:sz w:val="22"/>
          <w:lang w:val="en-GB"/>
        </w:rPr>
        <w:t>Nazma</w:t>
      </w:r>
      <w:proofErr w:type="spellEnd"/>
      <w:r w:rsidRPr="002C75B8">
        <w:rPr>
          <w:sz w:val="22"/>
          <w:lang w:val="en-GB"/>
        </w:rPr>
        <w:t xml:space="preserve"> </w:t>
      </w:r>
      <w:proofErr w:type="spellStart"/>
      <w:r w:rsidRPr="002C75B8">
        <w:rPr>
          <w:sz w:val="22"/>
          <w:lang w:val="en-GB"/>
        </w:rPr>
        <w:t>Habib</w:t>
      </w:r>
      <w:proofErr w:type="spellEnd"/>
      <w:r w:rsidRPr="002C75B8">
        <w:rPr>
          <w:sz w:val="22"/>
          <w:lang w:val="en-GB"/>
        </w:rPr>
        <w:t xml:space="preserve"> Khan, </w:t>
      </w:r>
      <w:smartTag w:uri="urn:schemas-microsoft-com:office:smarttags" w:element="PlaceName">
        <w:r w:rsidRPr="002C75B8">
          <w:rPr>
            <w:sz w:val="22"/>
            <w:lang w:val="en-GB"/>
          </w:rPr>
          <w:t>London</w:t>
        </w:r>
      </w:smartTag>
      <w:r w:rsidRPr="002C75B8">
        <w:rPr>
          <w:sz w:val="22"/>
          <w:lang w:val="en-GB"/>
        </w:rPr>
        <w:t xml:space="preserve"> </w:t>
      </w:r>
      <w:smartTag w:uri="urn:schemas-microsoft-com:office:smarttags" w:element="PlaceType">
        <w:r w:rsidRPr="002C75B8">
          <w:rPr>
            <w:sz w:val="22"/>
            <w:lang w:val="en-GB"/>
          </w:rPr>
          <w:t>School</w:t>
        </w:r>
      </w:smartTag>
      <w:r w:rsidRPr="002C75B8">
        <w:rPr>
          <w:sz w:val="22"/>
          <w:lang w:val="en-GB"/>
        </w:rPr>
        <w:t xml:space="preserve"> of Hygiene and Tropical </w:t>
      </w:r>
      <w:smartTag w:uri="urn:schemas-microsoft-com:office:smarttags" w:element="place">
        <w:smartTag w:uri="urn:schemas-microsoft-com:office:smarttags" w:element="City">
          <w:r w:rsidRPr="002C75B8">
            <w:rPr>
              <w:sz w:val="22"/>
              <w:lang w:val="en-GB"/>
            </w:rPr>
            <w:t>Medicine</w:t>
          </w:r>
        </w:smartTag>
        <w:r>
          <w:rPr>
            <w:sz w:val="22"/>
            <w:lang w:val="en-GB"/>
          </w:rPr>
          <w:t xml:space="preserve">, </w:t>
        </w:r>
        <w:smartTag w:uri="urn:schemas-microsoft-com:office:smarttags" w:element="country-region">
          <w:r>
            <w:rPr>
              <w:sz w:val="22"/>
              <w:lang w:val="en-GB"/>
            </w:rPr>
            <w:t>UK</w:t>
          </w:r>
        </w:smartTag>
      </w:smartTag>
      <w:r>
        <w:rPr>
          <w:sz w:val="22"/>
          <w:lang w:val="en-GB"/>
        </w:rPr>
        <w:t>.</w:t>
      </w:r>
    </w:p>
    <w:p w:rsidR="00817313" w:rsidRDefault="00817313" w:rsidP="00817313">
      <w:pPr>
        <w:numPr>
          <w:ilvl w:val="0"/>
          <w:numId w:val="5"/>
        </w:numPr>
        <w:rPr>
          <w:sz w:val="22"/>
          <w:lang w:val="en-GB"/>
        </w:rPr>
      </w:pPr>
      <w:r>
        <w:rPr>
          <w:sz w:val="22"/>
          <w:lang w:val="en-GB"/>
        </w:rPr>
        <w:t xml:space="preserve">Dr </w:t>
      </w:r>
      <w:proofErr w:type="spellStart"/>
      <w:r w:rsidRPr="002C75B8">
        <w:rPr>
          <w:sz w:val="22"/>
          <w:lang w:val="en-GB"/>
        </w:rPr>
        <w:t>Azam</w:t>
      </w:r>
      <w:proofErr w:type="spellEnd"/>
      <w:r w:rsidRPr="002C75B8">
        <w:rPr>
          <w:sz w:val="22"/>
          <w:lang w:val="en-GB"/>
        </w:rPr>
        <w:t xml:space="preserve"> </w:t>
      </w:r>
      <w:proofErr w:type="spellStart"/>
      <w:r w:rsidRPr="002C75B8">
        <w:rPr>
          <w:sz w:val="22"/>
          <w:lang w:val="en-GB"/>
        </w:rPr>
        <w:t>Samdani</w:t>
      </w:r>
      <w:proofErr w:type="spellEnd"/>
      <w:r w:rsidRPr="002C75B8">
        <w:rPr>
          <w:sz w:val="22"/>
          <w:lang w:val="en-GB"/>
        </w:rPr>
        <w:t xml:space="preserve">, head of dept of dermatology, Aga Khan </w:t>
      </w:r>
      <w:proofErr w:type="gramStart"/>
      <w:r w:rsidRPr="002C75B8">
        <w:rPr>
          <w:sz w:val="22"/>
          <w:lang w:val="en-GB"/>
        </w:rPr>
        <w:t>hospital</w:t>
      </w:r>
      <w:proofErr w:type="gramEnd"/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 xml:space="preserve"> </w:t>
      </w:r>
    </w:p>
    <w:p w:rsidR="00817313" w:rsidRPr="0098173F" w:rsidRDefault="00817313" w:rsidP="00817313">
      <w:pPr>
        <w:numPr>
          <w:ilvl w:val="0"/>
          <w:numId w:val="5"/>
        </w:numPr>
        <w:autoSpaceDE w:val="0"/>
        <w:autoSpaceDN w:val="0"/>
        <w:adjustRightInd w:val="0"/>
        <w:rPr>
          <w:i/>
          <w:iCs/>
          <w:sz w:val="22"/>
          <w:lang w:val="en-GB"/>
        </w:rPr>
      </w:pPr>
      <w:r>
        <w:rPr>
          <w:sz w:val="22"/>
          <w:lang w:val="en-GB"/>
        </w:rPr>
        <w:t xml:space="preserve">Dr </w:t>
      </w:r>
      <w:proofErr w:type="spellStart"/>
      <w:r w:rsidRPr="0098173F">
        <w:rPr>
          <w:sz w:val="22"/>
          <w:lang w:val="en-GB"/>
        </w:rPr>
        <w:t>Chaudhry</w:t>
      </w:r>
      <w:proofErr w:type="spellEnd"/>
      <w:r w:rsidRPr="0098173F">
        <w:rPr>
          <w:sz w:val="22"/>
          <w:lang w:val="en-GB"/>
        </w:rPr>
        <w:t xml:space="preserve"> Muhammad </w:t>
      </w:r>
      <w:proofErr w:type="spellStart"/>
      <w:r w:rsidRPr="0098173F">
        <w:rPr>
          <w:sz w:val="22"/>
          <w:lang w:val="en-GB"/>
        </w:rPr>
        <w:t>Arif</w:t>
      </w:r>
      <w:proofErr w:type="spellEnd"/>
      <w:r w:rsidRPr="0098173F">
        <w:rPr>
          <w:sz w:val="22"/>
          <w:lang w:val="en-GB"/>
        </w:rPr>
        <w:t xml:space="preserve"> </w:t>
      </w:r>
      <w:proofErr w:type="spellStart"/>
      <w:r w:rsidRPr="0098173F">
        <w:rPr>
          <w:sz w:val="22"/>
          <w:lang w:val="en-GB"/>
        </w:rPr>
        <w:t>Munir</w:t>
      </w:r>
      <w:proofErr w:type="spellEnd"/>
      <w:r w:rsidRPr="0098173F">
        <w:rPr>
          <w:sz w:val="22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98173F">
            <w:rPr>
              <w:sz w:val="22"/>
              <w:lang w:val="en-GB"/>
            </w:rPr>
            <w:t>Pakistan</w:t>
          </w:r>
        </w:smartTag>
      </w:smartTag>
      <w:r w:rsidRPr="0098173F">
        <w:rPr>
          <w:sz w:val="22"/>
          <w:lang w:val="en-GB"/>
        </w:rPr>
        <w:t xml:space="preserve"> Medical Research Council, Off Constitution. </w:t>
      </w:r>
      <w:r w:rsidRPr="0098173F">
        <w:rPr>
          <w:i/>
          <w:iCs/>
          <w:sz w:val="22"/>
          <w:lang w:val="en-GB"/>
        </w:rPr>
        <w:t xml:space="preserve">WHO Consultative meeting on Cutaneous Leishmaniasis in EMRO countries, </w:t>
      </w:r>
      <w:smartTag w:uri="urn:schemas-microsoft-com:office:smarttags" w:element="City">
        <w:smartTag w:uri="urn:schemas-microsoft-com:office:smarttags" w:element="place">
          <w:r w:rsidRPr="0098173F">
            <w:rPr>
              <w:i/>
              <w:iCs/>
              <w:sz w:val="22"/>
              <w:lang w:val="en-GB"/>
            </w:rPr>
            <w:t>Geneva</w:t>
          </w:r>
        </w:smartTag>
      </w:smartTag>
      <w:r w:rsidRPr="0098173F">
        <w:rPr>
          <w:i/>
          <w:iCs/>
          <w:sz w:val="22"/>
          <w:lang w:val="en-GB"/>
        </w:rPr>
        <w:t>, 30 April to 2 May 2007</w:t>
      </w:r>
      <w:r>
        <w:rPr>
          <w:i/>
          <w:iCs/>
          <w:sz w:val="22"/>
          <w:lang w:val="en-GB"/>
        </w:rPr>
        <w:t>.</w:t>
      </w:r>
    </w:p>
    <w:p w:rsidR="00817313" w:rsidRDefault="00817313" w:rsidP="00817313">
      <w:pPr>
        <w:ind w:left="0" w:firstLine="0"/>
        <w:rPr>
          <w:sz w:val="22"/>
          <w:lang w:val="en-GB"/>
        </w:rPr>
      </w:pPr>
    </w:p>
    <w:p w:rsidR="00817313" w:rsidRDefault="00817313" w:rsidP="00817313">
      <w:pPr>
        <w:ind w:left="0" w:firstLine="0"/>
        <w:rPr>
          <w:sz w:val="22"/>
          <w:lang w:val="en-GB"/>
        </w:rPr>
      </w:pPr>
    </w:p>
    <w:p w:rsidR="00817313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1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 xml:space="preserve"> </w:t>
      </w:r>
      <w:proofErr w:type="spellStart"/>
      <w:r w:rsidRPr="003A1C5E">
        <w:rPr>
          <w:sz w:val="22"/>
          <w:lang w:val="en-GB"/>
        </w:rPr>
        <w:t>Brooker</w:t>
      </w:r>
      <w:proofErr w:type="spellEnd"/>
      <w:r w:rsidRPr="003A1C5E">
        <w:rPr>
          <w:sz w:val="22"/>
          <w:lang w:val="en-GB"/>
        </w:rPr>
        <w:t xml:space="preserve"> S, Mohammed N, </w:t>
      </w:r>
      <w:proofErr w:type="spellStart"/>
      <w:r w:rsidRPr="003A1C5E">
        <w:rPr>
          <w:sz w:val="22"/>
          <w:lang w:val="en-GB"/>
        </w:rPr>
        <w:t>Adil</w:t>
      </w:r>
      <w:proofErr w:type="spellEnd"/>
      <w:r w:rsidRPr="003A1C5E">
        <w:rPr>
          <w:sz w:val="22"/>
          <w:lang w:val="en-GB"/>
        </w:rPr>
        <w:t xml:space="preserve"> K, </w:t>
      </w:r>
      <w:proofErr w:type="spellStart"/>
      <w:r w:rsidRPr="003A1C5E">
        <w:rPr>
          <w:sz w:val="22"/>
          <w:lang w:val="en-GB"/>
        </w:rPr>
        <w:t>Agha</w:t>
      </w:r>
      <w:proofErr w:type="spellEnd"/>
      <w:r w:rsidRPr="003A1C5E">
        <w:rPr>
          <w:sz w:val="22"/>
          <w:lang w:val="en-GB"/>
        </w:rPr>
        <w:t xml:space="preserve"> S, </w:t>
      </w:r>
      <w:proofErr w:type="spellStart"/>
      <w:r w:rsidRPr="003A1C5E">
        <w:rPr>
          <w:sz w:val="22"/>
          <w:lang w:val="en-GB"/>
        </w:rPr>
        <w:t>Reithinger</w:t>
      </w:r>
      <w:proofErr w:type="spellEnd"/>
      <w:r w:rsidRPr="003A1C5E">
        <w:rPr>
          <w:sz w:val="22"/>
          <w:lang w:val="en-GB"/>
        </w:rPr>
        <w:t xml:space="preserve"> R </w:t>
      </w:r>
      <w:r>
        <w:rPr>
          <w:sz w:val="22"/>
          <w:lang w:val="en-GB"/>
        </w:rPr>
        <w:t>et al (2004)</w:t>
      </w:r>
      <w:r w:rsidRPr="003A1C5E">
        <w:rPr>
          <w:sz w:val="22"/>
          <w:lang w:val="en-GB"/>
        </w:rPr>
        <w:t xml:space="preserve">. </w:t>
      </w:r>
      <w:proofErr w:type="gramStart"/>
      <w:r w:rsidRPr="003A1C5E">
        <w:rPr>
          <w:sz w:val="22"/>
          <w:lang w:val="en-GB"/>
        </w:rPr>
        <w:t>Le</w:t>
      </w:r>
      <w:r w:rsidRPr="002C75B8">
        <w:rPr>
          <w:sz w:val="22"/>
          <w:lang w:val="en-GB"/>
        </w:rPr>
        <w:t>ishmaniasis in refugee and local Pakistani populations.</w:t>
      </w:r>
      <w:proofErr w:type="gramEnd"/>
      <w:r w:rsidRPr="002C75B8">
        <w:rPr>
          <w:sz w:val="22"/>
          <w:lang w:val="en-GB"/>
        </w:rPr>
        <w:t xml:space="preserve"> </w:t>
      </w:r>
      <w:proofErr w:type="spellStart"/>
      <w:r w:rsidRPr="002C75B8">
        <w:rPr>
          <w:sz w:val="22"/>
          <w:lang w:val="en-GB"/>
        </w:rPr>
        <w:t>Emerg</w:t>
      </w:r>
      <w:proofErr w:type="spellEnd"/>
      <w:r w:rsidRPr="002C75B8">
        <w:rPr>
          <w:sz w:val="22"/>
          <w:lang w:val="en-GB"/>
        </w:rPr>
        <w:t xml:space="preserve"> Infect </w:t>
      </w:r>
      <w:proofErr w:type="spellStart"/>
      <w:r w:rsidRPr="002C75B8">
        <w:rPr>
          <w:sz w:val="22"/>
          <w:lang w:val="en-GB"/>
        </w:rPr>
        <w:t>Dis</w:t>
      </w:r>
      <w:proofErr w:type="spellEnd"/>
      <w:r>
        <w:rPr>
          <w:sz w:val="22"/>
          <w:lang w:val="en-GB"/>
        </w:rPr>
        <w:t xml:space="preserve"> </w:t>
      </w:r>
      <w:r w:rsidRPr="002C75B8">
        <w:rPr>
          <w:sz w:val="22"/>
          <w:lang w:val="en-GB"/>
        </w:rPr>
        <w:t>10(9):1681-4.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</w:p>
    <w:p w:rsidR="00817313" w:rsidRDefault="00817313" w:rsidP="0081731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>2</w:t>
      </w:r>
      <w:r>
        <w:rPr>
          <w:sz w:val="22"/>
          <w:lang w:val="en-GB"/>
        </w:rPr>
        <w:t>.</w:t>
      </w:r>
      <w:r w:rsidRPr="002C75B8">
        <w:rPr>
          <w:sz w:val="22"/>
          <w:lang w:val="en-GB"/>
        </w:rPr>
        <w:t xml:space="preserve"> Rowland M, </w:t>
      </w:r>
      <w:proofErr w:type="spellStart"/>
      <w:r w:rsidRPr="002C75B8">
        <w:rPr>
          <w:sz w:val="22"/>
          <w:lang w:val="en-GB"/>
        </w:rPr>
        <w:t>Munir</w:t>
      </w:r>
      <w:proofErr w:type="spellEnd"/>
      <w:r w:rsidRPr="002C75B8">
        <w:rPr>
          <w:sz w:val="22"/>
          <w:lang w:val="en-GB"/>
        </w:rPr>
        <w:t xml:space="preserve"> A, </w:t>
      </w:r>
      <w:proofErr w:type="spellStart"/>
      <w:r w:rsidRPr="002C75B8">
        <w:rPr>
          <w:sz w:val="22"/>
          <w:lang w:val="en-GB"/>
        </w:rPr>
        <w:t>Durrani</w:t>
      </w:r>
      <w:proofErr w:type="spellEnd"/>
      <w:r w:rsidRPr="002C75B8">
        <w:rPr>
          <w:sz w:val="22"/>
          <w:lang w:val="en-GB"/>
        </w:rPr>
        <w:t xml:space="preserve"> N, Noyes H, </w:t>
      </w:r>
      <w:proofErr w:type="spellStart"/>
      <w:r w:rsidRPr="002C75B8">
        <w:rPr>
          <w:sz w:val="22"/>
          <w:lang w:val="en-GB"/>
        </w:rPr>
        <w:t>Reyburn</w:t>
      </w:r>
      <w:proofErr w:type="spellEnd"/>
      <w:r w:rsidRPr="002C75B8">
        <w:rPr>
          <w:sz w:val="22"/>
          <w:lang w:val="en-GB"/>
        </w:rPr>
        <w:t xml:space="preserve"> H</w:t>
      </w:r>
      <w:r>
        <w:rPr>
          <w:sz w:val="22"/>
          <w:lang w:val="en-GB"/>
        </w:rPr>
        <w:t xml:space="preserve"> (1999)</w:t>
      </w:r>
      <w:r w:rsidRPr="002C75B8">
        <w:rPr>
          <w:sz w:val="22"/>
          <w:lang w:val="en-GB"/>
        </w:rPr>
        <w:t xml:space="preserve">. </w:t>
      </w:r>
      <w:proofErr w:type="gramStart"/>
      <w:r w:rsidRPr="002C75B8">
        <w:rPr>
          <w:sz w:val="22"/>
          <w:lang w:val="en-GB"/>
        </w:rPr>
        <w:t xml:space="preserve">An outbreak of cutaneous leishmaniasis in an Afghan refugee settlement in north-west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sz w:val="22"/>
              <w:lang w:val="en-GB"/>
            </w:rPr>
            <w:t>Pakistan</w:t>
          </w:r>
        </w:smartTag>
      </w:smartTag>
      <w:r w:rsidRPr="002C75B8">
        <w:rPr>
          <w:sz w:val="22"/>
          <w:lang w:val="en-GB"/>
        </w:rPr>
        <w:t>.</w:t>
      </w:r>
      <w:proofErr w:type="gramEnd"/>
      <w:r w:rsidRPr="002C75B8">
        <w:rPr>
          <w:sz w:val="22"/>
          <w:lang w:val="en-GB"/>
        </w:rPr>
        <w:t xml:space="preserve"> Trans R Soc </w:t>
      </w:r>
      <w:proofErr w:type="spellStart"/>
      <w:r w:rsidRPr="002C75B8">
        <w:rPr>
          <w:sz w:val="22"/>
          <w:lang w:val="en-GB"/>
        </w:rPr>
        <w:t>Trop</w:t>
      </w:r>
      <w:proofErr w:type="spellEnd"/>
      <w:r w:rsidRPr="002C75B8">
        <w:rPr>
          <w:sz w:val="22"/>
          <w:lang w:val="en-GB"/>
        </w:rPr>
        <w:t xml:space="preserve"> Med </w:t>
      </w:r>
      <w:proofErr w:type="spellStart"/>
      <w:r w:rsidRPr="002C75B8">
        <w:rPr>
          <w:sz w:val="22"/>
          <w:lang w:val="en-GB"/>
        </w:rPr>
        <w:t>Hyg</w:t>
      </w:r>
      <w:proofErr w:type="spellEnd"/>
      <w:r w:rsidRPr="002C75B8">
        <w:rPr>
          <w:sz w:val="22"/>
          <w:lang w:val="en-GB"/>
        </w:rPr>
        <w:t xml:space="preserve"> 93(2):133-6.</w:t>
      </w:r>
    </w:p>
    <w:p w:rsidR="00817313" w:rsidRPr="002C75B8" w:rsidRDefault="00817313" w:rsidP="00817313">
      <w:pPr>
        <w:ind w:left="0" w:firstLine="0"/>
        <w:rPr>
          <w:sz w:val="22"/>
          <w:lang w:val="en-GB"/>
        </w:rPr>
      </w:pPr>
    </w:p>
    <w:p w:rsidR="00817313" w:rsidRPr="00B37375" w:rsidRDefault="00817313" w:rsidP="00817313">
      <w:pPr>
        <w:ind w:left="0" w:firstLine="0"/>
        <w:rPr>
          <w:sz w:val="22"/>
          <w:lang w:val="en-GB"/>
        </w:rPr>
      </w:pPr>
      <w:r w:rsidRPr="005B3AA4">
        <w:rPr>
          <w:sz w:val="22"/>
          <w:lang w:val="en-GB"/>
        </w:rPr>
        <w:t xml:space="preserve">3. </w:t>
      </w:r>
      <w:proofErr w:type="spellStart"/>
      <w:r w:rsidRPr="005B3AA4">
        <w:rPr>
          <w:sz w:val="22"/>
          <w:lang w:val="en-GB"/>
        </w:rPr>
        <w:t>Kassi</w:t>
      </w:r>
      <w:proofErr w:type="spellEnd"/>
      <w:r w:rsidRPr="005B3AA4">
        <w:rPr>
          <w:sz w:val="22"/>
          <w:lang w:val="en-GB"/>
        </w:rPr>
        <w:t xml:space="preserve"> M, Afghan AK, </w:t>
      </w:r>
      <w:proofErr w:type="spellStart"/>
      <w:r w:rsidRPr="005B3AA4">
        <w:rPr>
          <w:sz w:val="22"/>
          <w:lang w:val="en-GB"/>
        </w:rPr>
        <w:t>Rehman</w:t>
      </w:r>
      <w:proofErr w:type="spellEnd"/>
      <w:r w:rsidRPr="005B3AA4">
        <w:rPr>
          <w:sz w:val="22"/>
          <w:lang w:val="en-GB"/>
        </w:rPr>
        <w:t xml:space="preserve"> R, </w:t>
      </w:r>
      <w:proofErr w:type="spellStart"/>
      <w:r w:rsidRPr="005B3AA4">
        <w:rPr>
          <w:sz w:val="22"/>
          <w:lang w:val="en-GB"/>
        </w:rPr>
        <w:t>Kasi</w:t>
      </w:r>
      <w:proofErr w:type="spellEnd"/>
      <w:r w:rsidRPr="005B3AA4">
        <w:rPr>
          <w:sz w:val="22"/>
          <w:lang w:val="en-GB"/>
        </w:rPr>
        <w:t xml:space="preserve"> PM</w:t>
      </w:r>
      <w:r>
        <w:rPr>
          <w:sz w:val="22"/>
          <w:lang w:val="en-GB"/>
        </w:rPr>
        <w:t xml:space="preserve"> (2008)</w:t>
      </w:r>
      <w:r w:rsidRPr="005B3AA4">
        <w:rPr>
          <w:sz w:val="22"/>
          <w:lang w:val="en-GB"/>
        </w:rPr>
        <w:t xml:space="preserve">. </w:t>
      </w:r>
      <w:proofErr w:type="gramStart"/>
      <w:r w:rsidRPr="002C75B8">
        <w:rPr>
          <w:sz w:val="22"/>
          <w:lang w:val="en-GB"/>
        </w:rPr>
        <w:t xml:space="preserve">Marring leishmaniasis: the stigmatization and the impact of cutaneous leishmaniasis in </w:t>
      </w:r>
      <w:smartTag w:uri="urn:schemas-microsoft-com:office:smarttags" w:element="country-region">
        <w:r w:rsidRPr="002C75B8">
          <w:rPr>
            <w:sz w:val="22"/>
            <w:lang w:val="en-GB"/>
          </w:rPr>
          <w:t>Pakistan</w:t>
        </w:r>
      </w:smartTag>
      <w:r w:rsidRPr="002C75B8">
        <w:rPr>
          <w:sz w:val="22"/>
          <w:lang w:val="en-GB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sz w:val="22"/>
              <w:lang w:val="en-GB"/>
            </w:rPr>
            <w:t>Afghanistan</w:t>
          </w:r>
        </w:smartTag>
      </w:smartTag>
      <w:r w:rsidRPr="002C75B8">
        <w:rPr>
          <w:sz w:val="22"/>
          <w:lang w:val="en-GB"/>
        </w:rPr>
        <w:t>.</w:t>
      </w:r>
      <w:proofErr w:type="gramEnd"/>
      <w:r w:rsidRPr="002C75B8">
        <w:rPr>
          <w:sz w:val="22"/>
          <w:lang w:val="en-GB"/>
        </w:rPr>
        <w:t xml:space="preserve"> </w:t>
      </w:r>
      <w:proofErr w:type="spellStart"/>
      <w:r w:rsidRPr="00B37375">
        <w:rPr>
          <w:sz w:val="22"/>
          <w:lang w:val="en-GB"/>
        </w:rPr>
        <w:t>PLoS</w:t>
      </w:r>
      <w:proofErr w:type="spellEnd"/>
      <w:r w:rsidRPr="00B37375">
        <w:rPr>
          <w:sz w:val="22"/>
          <w:lang w:val="en-GB"/>
        </w:rPr>
        <w:t xml:space="preserve"> </w:t>
      </w:r>
      <w:proofErr w:type="spellStart"/>
      <w:r w:rsidRPr="00B37375">
        <w:rPr>
          <w:sz w:val="22"/>
          <w:lang w:val="en-GB"/>
        </w:rPr>
        <w:t>Negl</w:t>
      </w:r>
      <w:proofErr w:type="spellEnd"/>
      <w:r w:rsidRPr="00B37375">
        <w:rPr>
          <w:sz w:val="22"/>
          <w:lang w:val="en-GB"/>
        </w:rPr>
        <w:t xml:space="preserve"> </w:t>
      </w:r>
      <w:proofErr w:type="spellStart"/>
      <w:r w:rsidRPr="00B37375">
        <w:rPr>
          <w:sz w:val="22"/>
          <w:lang w:val="en-GB"/>
        </w:rPr>
        <w:t>Trop</w:t>
      </w:r>
      <w:proofErr w:type="spellEnd"/>
      <w:r w:rsidRPr="00B37375">
        <w:rPr>
          <w:sz w:val="22"/>
          <w:lang w:val="en-GB"/>
        </w:rPr>
        <w:t xml:space="preserve"> </w:t>
      </w:r>
      <w:proofErr w:type="spellStart"/>
      <w:r w:rsidRPr="00B37375">
        <w:rPr>
          <w:sz w:val="22"/>
          <w:lang w:val="en-GB"/>
        </w:rPr>
        <w:t>Dis</w:t>
      </w:r>
      <w:proofErr w:type="spellEnd"/>
      <w:r w:rsidRPr="00B37375">
        <w:rPr>
          <w:sz w:val="22"/>
          <w:lang w:val="en-GB"/>
        </w:rPr>
        <w:t xml:space="preserve"> 2(10):e259.</w:t>
      </w:r>
    </w:p>
    <w:p w:rsidR="002F7C1A" w:rsidRDefault="002F7C1A" w:rsidP="00817313"/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C72441F"/>
    <w:multiLevelType w:val="hybridMultilevel"/>
    <w:tmpl w:val="B9929A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7313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17313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34FC8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13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NormalWeb">
    <w:name w:val="Normal (Web)"/>
    <w:basedOn w:val="Normal"/>
    <w:unhideWhenUsed/>
    <w:rsid w:val="0081731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313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2.xml"/><Relationship Id="rId5" Type="http://schemas.openxmlformats.org/officeDocument/2006/relationships/image" Target="media/image1.jpe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"/>
          <c:y val="7.0796460176991191E-2"/>
          <c:w val="0.88437500000000002"/>
          <c:h val="0.6858407079646017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cases</c:v>
                </c:pt>
              </c:strCache>
            </c:strRef>
          </c:tx>
          <c:spPr>
            <a:solidFill>
              <a:srgbClr val="0066CC"/>
            </a:solidFill>
            <a:ln w="12701">
              <a:solidFill>
                <a:srgbClr val="000000"/>
              </a:solidFill>
              <a:prstDash val="solid"/>
            </a:ln>
          </c:spPr>
          <c:cat>
            <c:numRef>
              <c:f>Sheet1!$B$1:$K$1</c:f>
              <c:numCache>
                <c:formatCode>General</c:formatCode>
                <c:ptCount val="10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5843</c:v>
                </c:pt>
                <c:pt idx="1">
                  <c:v>15224</c:v>
                </c:pt>
                <c:pt idx="2">
                  <c:v>1167</c:v>
                </c:pt>
                <c:pt idx="3">
                  <c:v>16328</c:v>
                </c:pt>
                <c:pt idx="4">
                  <c:v>10441</c:v>
                </c:pt>
                <c:pt idx="5">
                  <c:v>4151</c:v>
                </c:pt>
                <c:pt idx="6">
                  <c:v>4390</c:v>
                </c:pt>
                <c:pt idx="7">
                  <c:v>3451</c:v>
                </c:pt>
                <c:pt idx="8">
                  <c:v>3731</c:v>
                </c:pt>
                <c:pt idx="9">
                  <c:v>1387</c:v>
                </c:pt>
              </c:numCache>
            </c:numRef>
          </c:val>
        </c:ser>
        <c:gapDepth val="0"/>
        <c:shape val="box"/>
        <c:axId val="526064640"/>
        <c:axId val="552377728"/>
        <c:axId val="0"/>
      </c:bar3DChart>
      <c:catAx>
        <c:axId val="5260646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52377728"/>
        <c:crosses val="autoZero"/>
        <c:auto val="1"/>
        <c:lblAlgn val="ctr"/>
        <c:lblOffset val="100"/>
        <c:tickLblSkip val="1"/>
        <c:tickMarkSkip val="1"/>
      </c:catAx>
      <c:valAx>
        <c:axId val="552377728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60646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5403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2264150943396226"/>
          <c:y val="9.6899224806201514E-2"/>
          <c:w val="0.86037735849056629"/>
          <c:h val="0.60465116279069764"/>
        </c:manualLayout>
      </c:layout>
      <c:lineChart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cases in refugee camps</c:v>
                </c:pt>
              </c:strCache>
            </c:strRef>
          </c:tx>
          <c:spPr>
            <a:ln w="38086">
              <a:solidFill>
                <a:srgbClr val="FF000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Sheet1!$B$1:$K$1</c:f>
              <c:numCache>
                <c:formatCode>General</c:formatCode>
                <c:ptCount val="10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4061</c:v>
                </c:pt>
                <c:pt idx="1">
                  <c:v>11235</c:v>
                </c:pt>
                <c:pt idx="2">
                  <c:v>619</c:v>
                </c:pt>
                <c:pt idx="3">
                  <c:v>8877</c:v>
                </c:pt>
                <c:pt idx="4">
                  <c:v>5644</c:v>
                </c:pt>
                <c:pt idx="5">
                  <c:v>1878</c:v>
                </c:pt>
                <c:pt idx="6">
                  <c:v>2068</c:v>
                </c:pt>
                <c:pt idx="7">
                  <c:v>1646</c:v>
                </c:pt>
                <c:pt idx="8">
                  <c:v>1603</c:v>
                </c:pt>
                <c:pt idx="9">
                  <c:v>699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local cases</c:v>
                </c:pt>
              </c:strCache>
            </c:strRef>
          </c:tx>
          <c:spPr>
            <a:ln w="38086">
              <a:solidFill>
                <a:srgbClr val="000080"/>
              </a:solidFill>
              <a:prstDash val="solid"/>
            </a:ln>
          </c:spPr>
          <c:marker>
            <c:symbol val="square"/>
            <c:size val="8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Sheet1!$B$1:$K$1</c:f>
              <c:numCache>
                <c:formatCode>General</c:formatCode>
                <c:ptCount val="10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1925</c:v>
                </c:pt>
                <c:pt idx="1">
                  <c:v>4059</c:v>
                </c:pt>
                <c:pt idx="2">
                  <c:v>548</c:v>
                </c:pt>
                <c:pt idx="3">
                  <c:v>7451</c:v>
                </c:pt>
                <c:pt idx="4">
                  <c:v>4797</c:v>
                </c:pt>
                <c:pt idx="5">
                  <c:v>2273</c:v>
                </c:pt>
                <c:pt idx="6">
                  <c:v>2253</c:v>
                </c:pt>
                <c:pt idx="7">
                  <c:v>1773</c:v>
                </c:pt>
                <c:pt idx="8">
                  <c:v>2150</c:v>
                </c:pt>
                <c:pt idx="9">
                  <c:v>686</c:v>
                </c:pt>
              </c:numCache>
            </c:numRef>
          </c:val>
        </c:ser>
        <c:marker val="1"/>
        <c:axId val="571763328"/>
        <c:axId val="571799040"/>
      </c:lineChart>
      <c:catAx>
        <c:axId val="571763328"/>
        <c:scaling>
          <c:orientation val="minMax"/>
        </c:scaling>
        <c:axPos val="b"/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71799040"/>
        <c:crosses val="autoZero"/>
        <c:auto val="1"/>
        <c:lblAlgn val="ctr"/>
        <c:lblOffset val="100"/>
        <c:tickLblSkip val="1"/>
        <c:tickMarkSkip val="1"/>
      </c:catAx>
      <c:valAx>
        <c:axId val="571799040"/>
        <c:scaling>
          <c:orientation val="minMax"/>
        </c:scaling>
        <c:axPos val="l"/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71763328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layout>
        <c:manualLayout>
          <c:xMode val="edge"/>
          <c:yMode val="edge"/>
          <c:x val="0.23962264150943396"/>
          <c:y val="0.88759689922480622"/>
          <c:w val="0.62264150943396246"/>
          <c:h val="0.10077519379844962"/>
        </c:manualLayout>
      </c:layout>
      <c:spPr>
        <a:solidFill>
          <a:srgbClr val="FFFFFF"/>
        </a:solidFill>
        <a:ln w="12695">
          <a:solidFill>
            <a:srgbClr val="FFFFFF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2012-04-02T12:43:00Z</dcterms:created>
  <dcterms:modified xsi:type="dcterms:W3CDTF">2012-04-02T12:45:00Z</dcterms:modified>
</cp:coreProperties>
</file>